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DEBSHAN (PRIVATE) LIMITED</w:t>
      </w:r>
    </w:p>
    <w:p w:rsidR="007A330D" w:rsidRPr="007A330D" w:rsidRDefault="007A330D" w:rsidP="007A330D">
      <w:pPr>
        <w:spacing w:line="240" w:lineRule="auto"/>
        <w:contextualSpacing/>
        <w:rPr>
          <w:rFonts w:ascii="Times New Roman" w:hAnsi="Times New Roman" w:cs="Times New Roman"/>
          <w:b/>
          <w:sz w:val="24"/>
        </w:rPr>
      </w:pPr>
      <w:proofErr w:type="gramStart"/>
      <w:r w:rsidRPr="007A330D">
        <w:rPr>
          <w:rFonts w:ascii="Times New Roman" w:hAnsi="Times New Roman" w:cs="Times New Roman"/>
          <w:b/>
          <w:sz w:val="24"/>
        </w:rPr>
        <w:t>versus</w:t>
      </w:r>
      <w:proofErr w:type="gramEnd"/>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THE PROVINCIAL MINING DIRECTOR,</w:t>
      </w:r>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MATABELELAND SOUTH PROVINCE</w:t>
      </w:r>
    </w:p>
    <w:p w:rsidR="007A330D" w:rsidRDefault="007A330D" w:rsidP="007A330D">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THE PROVINCIAL MINING DIRECTOR,</w:t>
      </w:r>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MATABELELAND NORTH PROVINCE</w:t>
      </w:r>
    </w:p>
    <w:p w:rsidR="007A330D" w:rsidRDefault="007A330D" w:rsidP="007A330D">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 xml:space="preserve">THE MINISTER OF MINES &amp; MININNG </w:t>
      </w:r>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DEVELOPMENT</w:t>
      </w:r>
    </w:p>
    <w:p w:rsidR="007A330D" w:rsidRDefault="007A330D" w:rsidP="007A330D">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THE SECRETARY FOR MINING AND MINING</w:t>
      </w:r>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DEVELOPMENT</w:t>
      </w:r>
    </w:p>
    <w:p w:rsidR="007A330D" w:rsidRDefault="007A330D" w:rsidP="007A330D">
      <w:pPr>
        <w:spacing w:line="240" w:lineRule="auto"/>
        <w:contextualSpacing/>
        <w:rPr>
          <w:rFonts w:ascii="Times New Roman" w:hAnsi="Times New Roman" w:cs="Times New Roman"/>
          <w:sz w:val="24"/>
        </w:rPr>
      </w:pPr>
    </w:p>
    <w:p w:rsidR="007A330D" w:rsidRDefault="007A330D" w:rsidP="007A330D">
      <w:pPr>
        <w:spacing w:line="240" w:lineRule="auto"/>
        <w:contextualSpacing/>
        <w:rPr>
          <w:rFonts w:ascii="Times New Roman" w:hAnsi="Times New Roman" w:cs="Times New Roman"/>
          <w:sz w:val="24"/>
        </w:rPr>
      </w:pPr>
    </w:p>
    <w:p w:rsidR="007A330D" w:rsidRDefault="00DD73C5" w:rsidP="007A330D">
      <w:pPr>
        <w:spacing w:line="240" w:lineRule="auto"/>
        <w:contextualSpacing/>
        <w:rPr>
          <w:rFonts w:ascii="Times New Roman" w:hAnsi="Times New Roman" w:cs="Times New Roman"/>
          <w:sz w:val="24"/>
        </w:rPr>
      </w:pPr>
      <w:r>
        <w:rPr>
          <w:rFonts w:ascii="Times New Roman" w:hAnsi="Times New Roman" w:cs="Times New Roman"/>
          <w:sz w:val="24"/>
        </w:rPr>
        <w:t>HIGH COURT OF ZIMBAB</w:t>
      </w:r>
      <w:r w:rsidR="007A330D">
        <w:rPr>
          <w:rFonts w:ascii="Times New Roman" w:hAnsi="Times New Roman" w:cs="Times New Roman"/>
          <w:sz w:val="24"/>
        </w:rPr>
        <w:t>WE</w:t>
      </w:r>
    </w:p>
    <w:p w:rsidR="007A330D" w:rsidRDefault="007A330D" w:rsidP="007A330D">
      <w:pPr>
        <w:spacing w:line="240" w:lineRule="auto"/>
        <w:contextualSpacing/>
        <w:rPr>
          <w:rFonts w:ascii="Times New Roman" w:hAnsi="Times New Roman" w:cs="Times New Roman"/>
          <w:sz w:val="24"/>
        </w:rPr>
      </w:pPr>
      <w:r>
        <w:rPr>
          <w:rFonts w:ascii="Times New Roman" w:hAnsi="Times New Roman" w:cs="Times New Roman"/>
          <w:sz w:val="24"/>
        </w:rPr>
        <w:t>MATHONSI J</w:t>
      </w:r>
    </w:p>
    <w:p w:rsidR="007A330D" w:rsidRDefault="00C90769" w:rsidP="007A330D">
      <w:pPr>
        <w:spacing w:line="240" w:lineRule="auto"/>
        <w:contextualSpacing/>
        <w:rPr>
          <w:rFonts w:ascii="Times New Roman" w:hAnsi="Times New Roman" w:cs="Times New Roman"/>
          <w:sz w:val="24"/>
        </w:rPr>
      </w:pPr>
      <w:r>
        <w:rPr>
          <w:rFonts w:ascii="Times New Roman" w:hAnsi="Times New Roman" w:cs="Times New Roman"/>
          <w:sz w:val="24"/>
        </w:rPr>
        <w:t>BULA</w:t>
      </w:r>
      <w:r w:rsidR="007A330D">
        <w:rPr>
          <w:rFonts w:ascii="Times New Roman" w:hAnsi="Times New Roman" w:cs="Times New Roman"/>
          <w:sz w:val="24"/>
        </w:rPr>
        <w:t>WAYO 17 JANUARY 2017 AND 26 JANUARY 2017</w:t>
      </w:r>
    </w:p>
    <w:p w:rsidR="007A330D" w:rsidRDefault="007A330D" w:rsidP="007A330D">
      <w:pPr>
        <w:spacing w:line="240" w:lineRule="auto"/>
        <w:contextualSpacing/>
        <w:rPr>
          <w:rFonts w:ascii="Times New Roman" w:hAnsi="Times New Roman" w:cs="Times New Roman"/>
          <w:sz w:val="24"/>
        </w:rPr>
      </w:pPr>
    </w:p>
    <w:p w:rsidR="007A330D" w:rsidRDefault="007A330D" w:rsidP="007A330D">
      <w:pPr>
        <w:spacing w:line="240" w:lineRule="auto"/>
        <w:contextualSpacing/>
        <w:rPr>
          <w:rFonts w:ascii="Times New Roman" w:hAnsi="Times New Roman" w:cs="Times New Roman"/>
          <w:sz w:val="24"/>
        </w:rPr>
      </w:pPr>
    </w:p>
    <w:p w:rsidR="007A330D" w:rsidRPr="007A330D" w:rsidRDefault="007A330D" w:rsidP="007A330D">
      <w:pPr>
        <w:spacing w:line="240" w:lineRule="auto"/>
        <w:contextualSpacing/>
        <w:rPr>
          <w:rFonts w:ascii="Times New Roman" w:hAnsi="Times New Roman" w:cs="Times New Roman"/>
          <w:b/>
          <w:sz w:val="24"/>
        </w:rPr>
      </w:pPr>
      <w:r w:rsidRPr="007A330D">
        <w:rPr>
          <w:rFonts w:ascii="Times New Roman" w:hAnsi="Times New Roman" w:cs="Times New Roman"/>
          <w:b/>
          <w:sz w:val="24"/>
        </w:rPr>
        <w:t>Opposed Application</w:t>
      </w:r>
    </w:p>
    <w:p w:rsidR="007A330D" w:rsidRDefault="007A330D" w:rsidP="007A330D">
      <w:pPr>
        <w:spacing w:line="240" w:lineRule="auto"/>
        <w:contextualSpacing/>
        <w:rPr>
          <w:rFonts w:ascii="Times New Roman" w:hAnsi="Times New Roman" w:cs="Times New Roman"/>
          <w:sz w:val="24"/>
        </w:rPr>
      </w:pPr>
    </w:p>
    <w:p w:rsidR="007A330D" w:rsidRDefault="007A330D" w:rsidP="007A330D">
      <w:pPr>
        <w:spacing w:line="240" w:lineRule="auto"/>
        <w:contextualSpacing/>
        <w:rPr>
          <w:rFonts w:ascii="Times New Roman" w:hAnsi="Times New Roman" w:cs="Times New Roman"/>
          <w:sz w:val="24"/>
        </w:rPr>
      </w:pPr>
      <w:r w:rsidRPr="007A330D">
        <w:rPr>
          <w:rFonts w:ascii="Times New Roman" w:hAnsi="Times New Roman" w:cs="Times New Roman"/>
          <w:i/>
          <w:sz w:val="24"/>
        </w:rPr>
        <w:t xml:space="preserve">K </w:t>
      </w:r>
      <w:proofErr w:type="spellStart"/>
      <w:r w:rsidRPr="007A330D">
        <w:rPr>
          <w:rFonts w:ascii="Times New Roman" w:hAnsi="Times New Roman" w:cs="Times New Roman"/>
          <w:i/>
          <w:sz w:val="24"/>
        </w:rPr>
        <w:t>Manika</w:t>
      </w:r>
      <w:proofErr w:type="spellEnd"/>
      <w:r>
        <w:rPr>
          <w:rFonts w:ascii="Times New Roman" w:hAnsi="Times New Roman" w:cs="Times New Roman"/>
          <w:sz w:val="24"/>
        </w:rPr>
        <w:t xml:space="preserve"> for the applicant</w:t>
      </w:r>
    </w:p>
    <w:p w:rsidR="007A330D" w:rsidRDefault="007A330D" w:rsidP="007A330D">
      <w:pPr>
        <w:spacing w:line="240" w:lineRule="auto"/>
        <w:contextualSpacing/>
        <w:rPr>
          <w:rFonts w:ascii="Times New Roman" w:hAnsi="Times New Roman" w:cs="Times New Roman"/>
          <w:sz w:val="24"/>
        </w:rPr>
      </w:pPr>
      <w:proofErr w:type="spellStart"/>
      <w:r w:rsidRPr="007A330D">
        <w:rPr>
          <w:rFonts w:ascii="Times New Roman" w:hAnsi="Times New Roman" w:cs="Times New Roman"/>
          <w:i/>
          <w:sz w:val="24"/>
        </w:rPr>
        <w:t>Ms</w:t>
      </w:r>
      <w:proofErr w:type="spellEnd"/>
      <w:r w:rsidRPr="007A330D">
        <w:rPr>
          <w:rFonts w:ascii="Times New Roman" w:hAnsi="Times New Roman" w:cs="Times New Roman"/>
          <w:i/>
          <w:sz w:val="24"/>
        </w:rPr>
        <w:t xml:space="preserve"> R. Hove</w:t>
      </w:r>
      <w:r>
        <w:rPr>
          <w:rFonts w:ascii="Times New Roman" w:hAnsi="Times New Roman" w:cs="Times New Roman"/>
          <w:sz w:val="24"/>
        </w:rPr>
        <w:t xml:space="preserve"> for the respondents</w:t>
      </w:r>
    </w:p>
    <w:p w:rsidR="007A330D" w:rsidRDefault="007A330D" w:rsidP="007A330D">
      <w:pPr>
        <w:spacing w:line="240" w:lineRule="auto"/>
        <w:contextualSpacing/>
        <w:rPr>
          <w:rFonts w:ascii="Times New Roman" w:hAnsi="Times New Roman" w:cs="Times New Roman"/>
          <w:sz w:val="24"/>
        </w:rPr>
      </w:pPr>
    </w:p>
    <w:p w:rsidR="007A330D" w:rsidRDefault="007A330D" w:rsidP="007A330D">
      <w:pPr>
        <w:spacing w:line="240" w:lineRule="auto"/>
        <w:contextualSpacing/>
        <w:rPr>
          <w:rFonts w:ascii="Times New Roman" w:hAnsi="Times New Roman" w:cs="Times New Roman"/>
          <w:sz w:val="24"/>
        </w:rPr>
      </w:pPr>
    </w:p>
    <w:p w:rsidR="007A330D" w:rsidRDefault="007A330D" w:rsidP="007A330D">
      <w:pPr>
        <w:spacing w:line="360" w:lineRule="auto"/>
        <w:ind w:firstLine="720"/>
        <w:contextualSpacing/>
        <w:rPr>
          <w:rFonts w:ascii="Times New Roman" w:hAnsi="Times New Roman" w:cs="Times New Roman"/>
          <w:sz w:val="24"/>
        </w:rPr>
      </w:pPr>
      <w:r w:rsidRPr="007A330D">
        <w:rPr>
          <w:rFonts w:ascii="Times New Roman" w:hAnsi="Times New Roman" w:cs="Times New Roman"/>
          <w:b/>
          <w:sz w:val="24"/>
        </w:rPr>
        <w:t>MATHONSI J:</w:t>
      </w:r>
      <w:r w:rsidRPr="007A330D">
        <w:rPr>
          <w:rFonts w:ascii="Times New Roman" w:hAnsi="Times New Roman" w:cs="Times New Roman"/>
          <w:b/>
          <w:sz w:val="24"/>
        </w:rPr>
        <w:tab/>
      </w:r>
      <w:r w:rsidR="005369FA">
        <w:rPr>
          <w:rFonts w:ascii="Times New Roman" w:hAnsi="Times New Roman" w:cs="Times New Roman"/>
          <w:sz w:val="24"/>
        </w:rPr>
        <w:t xml:space="preserve">The applicant is an incorporation which owns </w:t>
      </w:r>
      <w:proofErr w:type="spellStart"/>
      <w:r w:rsidR="005369FA">
        <w:rPr>
          <w:rFonts w:ascii="Times New Roman" w:hAnsi="Times New Roman" w:cs="Times New Roman"/>
          <w:sz w:val="24"/>
        </w:rPr>
        <w:t>Shangani</w:t>
      </w:r>
      <w:proofErr w:type="spellEnd"/>
      <w:r w:rsidR="005369FA">
        <w:rPr>
          <w:rFonts w:ascii="Times New Roman" w:hAnsi="Times New Roman" w:cs="Times New Roman"/>
          <w:sz w:val="24"/>
        </w:rPr>
        <w:t xml:space="preserve"> Ranch located in </w:t>
      </w:r>
      <w:proofErr w:type="spellStart"/>
      <w:r w:rsidR="005369FA">
        <w:rPr>
          <w:rFonts w:ascii="Times New Roman" w:hAnsi="Times New Roman" w:cs="Times New Roman"/>
          <w:sz w:val="24"/>
        </w:rPr>
        <w:t>Insiza</w:t>
      </w:r>
      <w:proofErr w:type="spellEnd"/>
      <w:r w:rsidR="005369FA">
        <w:rPr>
          <w:rFonts w:ascii="Times New Roman" w:hAnsi="Times New Roman" w:cs="Times New Roman"/>
          <w:sz w:val="24"/>
        </w:rPr>
        <w:t xml:space="preserve"> District in Matabeleland South where it is engaged in cattle ranching and wildlife safari operations.  That vast expanse of land has been the target of many people desirous to conduct mining activities given that it has mineral deposits coveted by many.</w:t>
      </w:r>
      <w:r w:rsidR="00550B40">
        <w:rPr>
          <w:rFonts w:ascii="Times New Roman" w:hAnsi="Times New Roman" w:cs="Times New Roman"/>
          <w:sz w:val="24"/>
        </w:rPr>
        <w:t xml:space="preserve">  </w:t>
      </w:r>
    </w:p>
    <w:p w:rsidR="00550B40" w:rsidRDefault="00550B40" w:rsidP="007A330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In this application </w:t>
      </w:r>
      <w:r w:rsidR="00391C2B">
        <w:rPr>
          <w:rFonts w:ascii="Times New Roman" w:hAnsi="Times New Roman" w:cs="Times New Roman"/>
          <w:sz w:val="24"/>
        </w:rPr>
        <w:t xml:space="preserve">the applicant seeks a </w:t>
      </w:r>
      <w:proofErr w:type="spellStart"/>
      <w:r w:rsidR="00391C2B">
        <w:rPr>
          <w:rFonts w:ascii="Times New Roman" w:hAnsi="Times New Roman" w:cs="Times New Roman"/>
          <w:sz w:val="24"/>
        </w:rPr>
        <w:t>declaratur</w:t>
      </w:r>
      <w:proofErr w:type="spellEnd"/>
      <w:r w:rsidR="00391C2B">
        <w:rPr>
          <w:rFonts w:ascii="Times New Roman" w:hAnsi="Times New Roman" w:cs="Times New Roman"/>
          <w:sz w:val="24"/>
        </w:rPr>
        <w:t xml:space="preserve"> against the mining authorities that it has cited that any mining </w:t>
      </w:r>
      <w:proofErr w:type="spellStart"/>
      <w:r w:rsidR="00391C2B">
        <w:rPr>
          <w:rFonts w:ascii="Times New Roman" w:hAnsi="Times New Roman" w:cs="Times New Roman"/>
          <w:sz w:val="24"/>
        </w:rPr>
        <w:t>licences</w:t>
      </w:r>
      <w:proofErr w:type="spellEnd"/>
      <w:r w:rsidR="00391C2B">
        <w:rPr>
          <w:rFonts w:ascii="Times New Roman" w:hAnsi="Times New Roman" w:cs="Times New Roman"/>
          <w:sz w:val="24"/>
        </w:rPr>
        <w:t xml:space="preserve">, permits or certificates that they issue to prospective miners targeting the farm without the prior issuance of an Environmental Impact </w:t>
      </w:r>
      <w:r w:rsidR="008D571D">
        <w:rPr>
          <w:rFonts w:ascii="Times New Roman" w:hAnsi="Times New Roman" w:cs="Times New Roman"/>
          <w:sz w:val="24"/>
        </w:rPr>
        <w:t>Assessment Certificate are null and void and of no force and effect.  The applicant also seek</w:t>
      </w:r>
      <w:r w:rsidR="00550D71">
        <w:rPr>
          <w:rFonts w:ascii="Times New Roman" w:hAnsi="Times New Roman" w:cs="Times New Roman"/>
          <w:sz w:val="24"/>
        </w:rPr>
        <w:t>s</w:t>
      </w:r>
      <w:r w:rsidR="008D571D">
        <w:rPr>
          <w:rFonts w:ascii="Times New Roman" w:hAnsi="Times New Roman" w:cs="Times New Roman"/>
          <w:sz w:val="24"/>
        </w:rPr>
        <w:t xml:space="preserve"> an order preventing the Provincial Mining Directors for Matabeleland South and North from issuing mining </w:t>
      </w:r>
      <w:proofErr w:type="spellStart"/>
      <w:r w:rsidR="008D571D">
        <w:rPr>
          <w:rFonts w:ascii="Times New Roman" w:hAnsi="Times New Roman" w:cs="Times New Roman"/>
          <w:sz w:val="24"/>
        </w:rPr>
        <w:t>licences</w:t>
      </w:r>
      <w:proofErr w:type="spellEnd"/>
      <w:r w:rsidR="008D571D">
        <w:rPr>
          <w:rFonts w:ascii="Times New Roman" w:hAnsi="Times New Roman" w:cs="Times New Roman"/>
          <w:sz w:val="24"/>
        </w:rPr>
        <w:t xml:space="preserve">, permits or certificates in respect of any mining claim situated on </w:t>
      </w:r>
      <w:proofErr w:type="spellStart"/>
      <w:r w:rsidR="008D571D">
        <w:rPr>
          <w:rFonts w:ascii="Times New Roman" w:hAnsi="Times New Roman" w:cs="Times New Roman"/>
          <w:sz w:val="24"/>
        </w:rPr>
        <w:t>Shangani</w:t>
      </w:r>
      <w:proofErr w:type="spellEnd"/>
      <w:r w:rsidR="008D571D">
        <w:rPr>
          <w:rFonts w:ascii="Times New Roman" w:hAnsi="Times New Roman" w:cs="Times New Roman"/>
          <w:sz w:val="24"/>
        </w:rPr>
        <w:t xml:space="preserve"> Ranch (the farm) without an Environmental Impact Assessment Certificate issued in terms of s97 of the Environmental Management Act [Chapter 20:27].</w:t>
      </w:r>
    </w:p>
    <w:p w:rsidR="008D571D" w:rsidRDefault="008D571D" w:rsidP="008D571D">
      <w:pPr>
        <w:spacing w:line="360" w:lineRule="auto"/>
        <w:contextualSpacing/>
        <w:rPr>
          <w:rFonts w:ascii="Times New Roman" w:hAnsi="Times New Roman" w:cs="Times New Roman"/>
          <w:sz w:val="24"/>
        </w:rPr>
      </w:pPr>
      <w:r>
        <w:rPr>
          <w:rFonts w:ascii="Times New Roman" w:hAnsi="Times New Roman" w:cs="Times New Roman"/>
          <w:sz w:val="24"/>
        </w:rPr>
        <w:lastRenderedPageBreak/>
        <w:t>In its founding affidavit, deposed to by its General Manager Colin Richard Edwards, the applicant sta</w:t>
      </w:r>
      <w:r w:rsidR="00550D71">
        <w:rPr>
          <w:rFonts w:ascii="Times New Roman" w:hAnsi="Times New Roman" w:cs="Times New Roman"/>
          <w:sz w:val="24"/>
        </w:rPr>
        <w:t>tes that it is a cattle rancher</w:t>
      </w:r>
      <w:r>
        <w:rPr>
          <w:rFonts w:ascii="Times New Roman" w:hAnsi="Times New Roman" w:cs="Times New Roman"/>
          <w:sz w:val="24"/>
        </w:rPr>
        <w:t xml:space="preserve"> and wildlife safari operator at the farm where it rears about 4200 beef cattle and keeps 4000 wild animals.  It employs 120 employees for the purpose of its operations which operations contribute significantly to the economy of the country as regards the beef and tourism industries.  Any unlawful or illegal </w:t>
      </w:r>
      <w:proofErr w:type="gramStart"/>
      <w:r>
        <w:rPr>
          <w:rFonts w:ascii="Times New Roman" w:hAnsi="Times New Roman" w:cs="Times New Roman"/>
          <w:sz w:val="24"/>
        </w:rPr>
        <w:t>activities at the farm adversely affects</w:t>
      </w:r>
      <w:proofErr w:type="gramEnd"/>
      <w:r>
        <w:rPr>
          <w:rFonts w:ascii="Times New Roman" w:hAnsi="Times New Roman" w:cs="Times New Roman"/>
          <w:sz w:val="24"/>
        </w:rPr>
        <w:t xml:space="preserve"> the applicant’s operations.</w:t>
      </w:r>
    </w:p>
    <w:p w:rsidR="008D571D" w:rsidRDefault="008D571D" w:rsidP="008D571D">
      <w:pPr>
        <w:spacing w:line="360" w:lineRule="auto"/>
        <w:contextualSpacing/>
        <w:rPr>
          <w:rFonts w:ascii="Times New Roman" w:hAnsi="Times New Roman" w:cs="Times New Roman"/>
          <w:sz w:val="24"/>
        </w:rPr>
      </w:pPr>
      <w:r>
        <w:rPr>
          <w:rFonts w:ascii="Times New Roman" w:hAnsi="Times New Roman" w:cs="Times New Roman"/>
          <w:sz w:val="24"/>
        </w:rPr>
        <w:tab/>
        <w:t>Illegal and unplanned activities at the farm have a negative impact in that they pose a real risk of fire outbreaks which destroy vast grazing areas</w:t>
      </w:r>
      <w:r w:rsidR="00F30466">
        <w:rPr>
          <w:rFonts w:ascii="Times New Roman" w:hAnsi="Times New Roman" w:cs="Times New Roman"/>
          <w:sz w:val="24"/>
        </w:rPr>
        <w:t xml:space="preserve"> for livestock and wildlife.  Poaching and killing of livestock by those coming onto the farm ostensibly for mining purposes is</w:t>
      </w:r>
      <w:r w:rsidR="00550D71">
        <w:rPr>
          <w:rFonts w:ascii="Times New Roman" w:hAnsi="Times New Roman" w:cs="Times New Roman"/>
          <w:sz w:val="24"/>
        </w:rPr>
        <w:t xml:space="preserve"> a</w:t>
      </w:r>
      <w:r w:rsidR="00F30466">
        <w:rPr>
          <w:rFonts w:ascii="Times New Roman" w:hAnsi="Times New Roman" w:cs="Times New Roman"/>
          <w:sz w:val="24"/>
        </w:rPr>
        <w:t xml:space="preserve"> real problem.  Uncontrolled mining activities like prospecting, excavations and unprotected mine shafts pose physical danger to the applicant’s personnel</w:t>
      </w:r>
      <w:r w:rsidR="00550D71">
        <w:rPr>
          <w:rFonts w:ascii="Times New Roman" w:hAnsi="Times New Roman" w:cs="Times New Roman"/>
          <w:sz w:val="24"/>
        </w:rPr>
        <w:t>,</w:t>
      </w:r>
      <w:r w:rsidR="00F30466">
        <w:rPr>
          <w:rFonts w:ascii="Times New Roman" w:hAnsi="Times New Roman" w:cs="Times New Roman"/>
          <w:sz w:val="24"/>
        </w:rPr>
        <w:t xml:space="preserve"> clients</w:t>
      </w:r>
      <w:r w:rsidR="00550D71">
        <w:rPr>
          <w:rFonts w:ascii="Times New Roman" w:hAnsi="Times New Roman" w:cs="Times New Roman"/>
          <w:sz w:val="24"/>
        </w:rPr>
        <w:t>,</w:t>
      </w:r>
      <w:r w:rsidR="00F30466">
        <w:rPr>
          <w:rFonts w:ascii="Times New Roman" w:hAnsi="Times New Roman" w:cs="Times New Roman"/>
          <w:sz w:val="24"/>
        </w:rPr>
        <w:t xml:space="preserve"> visitors</w:t>
      </w:r>
      <w:r w:rsidR="00550D71">
        <w:rPr>
          <w:rFonts w:ascii="Times New Roman" w:hAnsi="Times New Roman" w:cs="Times New Roman"/>
          <w:sz w:val="24"/>
        </w:rPr>
        <w:t>,</w:t>
      </w:r>
      <w:r w:rsidR="00F30466">
        <w:rPr>
          <w:rFonts w:ascii="Times New Roman" w:hAnsi="Times New Roman" w:cs="Times New Roman"/>
          <w:sz w:val="24"/>
        </w:rPr>
        <w:t xml:space="preserve"> cattle and wildlife, apart from degradation and damage to the environment.</w:t>
      </w:r>
    </w:p>
    <w:p w:rsidR="00F30466" w:rsidRDefault="00F30466" w:rsidP="008D571D">
      <w:pPr>
        <w:spacing w:line="360" w:lineRule="auto"/>
        <w:contextualSpacing/>
        <w:rPr>
          <w:rFonts w:ascii="Times New Roman" w:hAnsi="Times New Roman" w:cs="Times New Roman"/>
          <w:sz w:val="24"/>
        </w:rPr>
      </w:pPr>
      <w:r>
        <w:rPr>
          <w:rFonts w:ascii="Times New Roman" w:hAnsi="Times New Roman" w:cs="Times New Roman"/>
          <w:sz w:val="24"/>
        </w:rPr>
        <w:tab/>
        <w:t>Edwards states that sinc</w:t>
      </w:r>
      <w:r w:rsidR="00550D71">
        <w:rPr>
          <w:rFonts w:ascii="Times New Roman" w:hAnsi="Times New Roman" w:cs="Times New Roman"/>
          <w:sz w:val="24"/>
        </w:rPr>
        <w:t>e about February 2013 there has</w:t>
      </w:r>
      <w:r>
        <w:rPr>
          <w:rFonts w:ascii="Times New Roman" w:hAnsi="Times New Roman" w:cs="Times New Roman"/>
          <w:sz w:val="24"/>
        </w:rPr>
        <w:t xml:space="preserve"> been several incursions onto the farm by various groups of people intending to carry out mining activities on the strength of certificates, permits and </w:t>
      </w:r>
      <w:proofErr w:type="spellStart"/>
      <w:r>
        <w:rPr>
          <w:rFonts w:ascii="Times New Roman" w:hAnsi="Times New Roman" w:cs="Times New Roman"/>
          <w:sz w:val="24"/>
        </w:rPr>
        <w:t>licences</w:t>
      </w:r>
      <w:proofErr w:type="spellEnd"/>
      <w:r>
        <w:rPr>
          <w:rFonts w:ascii="Times New Roman" w:hAnsi="Times New Roman" w:cs="Times New Roman"/>
          <w:sz w:val="24"/>
        </w:rPr>
        <w:t xml:space="preserve"> issued by the first and second respondents, the Provincial Mining Directors for Matabeleland South and North respectively.  In all situations the respondents would have issued certificates, permits or </w:t>
      </w:r>
      <w:proofErr w:type="spellStart"/>
      <w:r>
        <w:rPr>
          <w:rFonts w:ascii="Times New Roman" w:hAnsi="Times New Roman" w:cs="Times New Roman"/>
          <w:sz w:val="24"/>
        </w:rPr>
        <w:t>licences</w:t>
      </w:r>
      <w:proofErr w:type="spellEnd"/>
      <w:r>
        <w:rPr>
          <w:rFonts w:ascii="Times New Roman" w:hAnsi="Times New Roman" w:cs="Times New Roman"/>
          <w:sz w:val="24"/>
        </w:rPr>
        <w:t xml:space="preserve"> without the prior issue to those people, of an Environmental Impact Assessment Ce</w:t>
      </w:r>
      <w:r w:rsidR="00C90769">
        <w:rPr>
          <w:rFonts w:ascii="Times New Roman" w:hAnsi="Times New Roman" w:cs="Times New Roman"/>
          <w:sz w:val="24"/>
        </w:rPr>
        <w:t>rtificate by the Environmental M</w:t>
      </w:r>
      <w:r>
        <w:rPr>
          <w:rFonts w:ascii="Times New Roman" w:hAnsi="Times New Roman" w:cs="Times New Roman"/>
          <w:sz w:val="24"/>
        </w:rPr>
        <w:t xml:space="preserve">anagement Agency in terms of s100 as read with s97 of the Environmental Management Act [Chapter 20:27].  The </w:t>
      </w:r>
      <w:r w:rsidR="000F004A">
        <w:rPr>
          <w:rFonts w:ascii="Times New Roman" w:hAnsi="Times New Roman" w:cs="Times New Roman"/>
          <w:sz w:val="24"/>
        </w:rPr>
        <w:t>grant of such a certificate is a pre-requisi</w:t>
      </w:r>
      <w:r w:rsidR="00B47737">
        <w:rPr>
          <w:rFonts w:ascii="Times New Roman" w:hAnsi="Times New Roman" w:cs="Times New Roman"/>
          <w:sz w:val="24"/>
        </w:rPr>
        <w:t>te for the issuance</w:t>
      </w:r>
      <w:r w:rsidR="000F004A">
        <w:rPr>
          <w:rFonts w:ascii="Times New Roman" w:hAnsi="Times New Roman" w:cs="Times New Roman"/>
          <w:sz w:val="24"/>
        </w:rPr>
        <w:t xml:space="preserve"> of </w:t>
      </w:r>
      <w:r w:rsidR="00B47737">
        <w:rPr>
          <w:rFonts w:ascii="Times New Roman" w:hAnsi="Times New Roman" w:cs="Times New Roman"/>
          <w:sz w:val="24"/>
        </w:rPr>
        <w:t xml:space="preserve">a </w:t>
      </w:r>
      <w:r w:rsidR="000F004A">
        <w:rPr>
          <w:rFonts w:ascii="Times New Roman" w:hAnsi="Times New Roman" w:cs="Times New Roman"/>
          <w:sz w:val="24"/>
        </w:rPr>
        <w:t xml:space="preserve">mining certificate, permit or </w:t>
      </w:r>
      <w:proofErr w:type="spellStart"/>
      <w:r w:rsidR="000F004A">
        <w:rPr>
          <w:rFonts w:ascii="Times New Roman" w:hAnsi="Times New Roman" w:cs="Times New Roman"/>
          <w:sz w:val="24"/>
        </w:rPr>
        <w:t>licence</w:t>
      </w:r>
      <w:proofErr w:type="spellEnd"/>
      <w:r w:rsidR="000F004A">
        <w:rPr>
          <w:rFonts w:ascii="Times New Roman" w:hAnsi="Times New Roman" w:cs="Times New Roman"/>
          <w:sz w:val="24"/>
        </w:rPr>
        <w:t>.</w:t>
      </w:r>
    </w:p>
    <w:p w:rsidR="000F004A" w:rsidRDefault="000F004A" w:rsidP="008D571D">
      <w:pPr>
        <w:spacing w:line="360" w:lineRule="auto"/>
        <w:contextualSpacing/>
        <w:rPr>
          <w:rFonts w:ascii="Times New Roman" w:hAnsi="Times New Roman" w:cs="Times New Roman"/>
          <w:sz w:val="24"/>
        </w:rPr>
      </w:pPr>
      <w:r>
        <w:rPr>
          <w:rFonts w:ascii="Times New Roman" w:hAnsi="Times New Roman" w:cs="Times New Roman"/>
          <w:sz w:val="24"/>
        </w:rPr>
        <w:tab/>
        <w:t>As a result of the respondent’s conduct, the applicant has been constrained to engage in costly litigation against those coming to the farm to conduct mining activities without the requisite certificate</w:t>
      </w:r>
      <w:r w:rsidR="00B47737">
        <w:rPr>
          <w:rFonts w:ascii="Times New Roman" w:hAnsi="Times New Roman" w:cs="Times New Roman"/>
          <w:sz w:val="24"/>
        </w:rPr>
        <w:t>s</w:t>
      </w:r>
      <w:r>
        <w:rPr>
          <w:rFonts w:ascii="Times New Roman" w:hAnsi="Times New Roman" w:cs="Times New Roman"/>
          <w:sz w:val="24"/>
        </w:rPr>
        <w:t xml:space="preserve"> but having been issued with permits or </w:t>
      </w:r>
      <w:proofErr w:type="spellStart"/>
      <w:r>
        <w:rPr>
          <w:rFonts w:ascii="Times New Roman" w:hAnsi="Times New Roman" w:cs="Times New Roman"/>
          <w:sz w:val="24"/>
        </w:rPr>
        <w:t>licences</w:t>
      </w:r>
      <w:proofErr w:type="spellEnd"/>
      <w:r>
        <w:rPr>
          <w:rFonts w:ascii="Times New Roman" w:hAnsi="Times New Roman" w:cs="Times New Roman"/>
          <w:sz w:val="24"/>
        </w:rPr>
        <w:t xml:space="preserve"> by the respondents.  The applicant makes reference to four such cases namely HC 595/13; HC 772/13; HC 1619/15 and HC 33/16.  In all those cases it has had to obtain interdicts to award off mining operators coming with authority from the first and second respondents.</w:t>
      </w:r>
    </w:p>
    <w:p w:rsidR="00EC3889" w:rsidRDefault="00EC3889" w:rsidP="008D571D">
      <w:pPr>
        <w:spacing w:line="360" w:lineRule="auto"/>
        <w:contextualSpacing/>
        <w:rPr>
          <w:rFonts w:ascii="Times New Roman" w:hAnsi="Times New Roman" w:cs="Times New Roman"/>
          <w:sz w:val="24"/>
        </w:rPr>
      </w:pPr>
      <w:r>
        <w:rPr>
          <w:rFonts w:ascii="Times New Roman" w:hAnsi="Times New Roman" w:cs="Times New Roman"/>
          <w:sz w:val="24"/>
        </w:rPr>
        <w:tab/>
        <w:t xml:space="preserve">The applicant has therefore now had enough.  It would like an order to be issued against the respondents to respect the provisions </w:t>
      </w:r>
      <w:r w:rsidR="00EC60D3">
        <w:rPr>
          <w:rFonts w:ascii="Times New Roman" w:hAnsi="Times New Roman" w:cs="Times New Roman"/>
          <w:sz w:val="24"/>
        </w:rPr>
        <w:t>of the Environmental Management Act [Chapte</w:t>
      </w:r>
      <w:r w:rsidR="00EB58F2">
        <w:rPr>
          <w:rFonts w:ascii="Times New Roman" w:hAnsi="Times New Roman" w:cs="Times New Roman"/>
          <w:sz w:val="24"/>
        </w:rPr>
        <w:t>r</w:t>
      </w:r>
      <w:r w:rsidR="00EC60D3">
        <w:rPr>
          <w:rFonts w:ascii="Times New Roman" w:hAnsi="Times New Roman" w:cs="Times New Roman"/>
          <w:sz w:val="24"/>
        </w:rPr>
        <w:t xml:space="preserve"> 20:27] </w:t>
      </w:r>
      <w:r w:rsidR="00EC60D3">
        <w:rPr>
          <w:rFonts w:ascii="Times New Roman" w:hAnsi="Times New Roman" w:cs="Times New Roman"/>
          <w:sz w:val="24"/>
        </w:rPr>
        <w:lastRenderedPageBreak/>
        <w:t xml:space="preserve">and not to issue certificates, permits or </w:t>
      </w:r>
      <w:proofErr w:type="spellStart"/>
      <w:r w:rsidR="00EC60D3">
        <w:rPr>
          <w:rFonts w:ascii="Times New Roman" w:hAnsi="Times New Roman" w:cs="Times New Roman"/>
          <w:sz w:val="24"/>
        </w:rPr>
        <w:t>licences</w:t>
      </w:r>
      <w:proofErr w:type="spellEnd"/>
      <w:r w:rsidR="00EC60D3">
        <w:rPr>
          <w:rFonts w:ascii="Times New Roman" w:hAnsi="Times New Roman" w:cs="Times New Roman"/>
          <w:sz w:val="24"/>
        </w:rPr>
        <w:t xml:space="preserve"> for mining purposes at the farm without compliance with the Act.</w:t>
      </w:r>
    </w:p>
    <w:p w:rsidR="00EC60D3" w:rsidRDefault="00EC60D3" w:rsidP="008D571D">
      <w:pPr>
        <w:spacing w:line="360" w:lineRule="auto"/>
        <w:contextualSpacing/>
        <w:rPr>
          <w:rFonts w:ascii="Times New Roman" w:hAnsi="Times New Roman" w:cs="Times New Roman"/>
          <w:sz w:val="24"/>
        </w:rPr>
      </w:pPr>
      <w:r>
        <w:rPr>
          <w:rFonts w:ascii="Times New Roman" w:hAnsi="Times New Roman" w:cs="Times New Roman"/>
          <w:sz w:val="24"/>
        </w:rPr>
        <w:tab/>
        <w:t>The first and second respondents have opposed the application.  The basis for their opposition is that an Environmental Impact Assessment Certificate is not a pre-requisite for the issuance of a mining certificate.  As far as they are concerned an applicant for a registration certificate is only required to comply with s45 (2) of the Mines and Minerals Act [Chapter 21:05].</w:t>
      </w:r>
    </w:p>
    <w:p w:rsidR="00EB58F2" w:rsidRDefault="00EB58F2" w:rsidP="008D571D">
      <w:pPr>
        <w:spacing w:line="360" w:lineRule="auto"/>
        <w:contextualSpacing/>
        <w:rPr>
          <w:rFonts w:ascii="Times New Roman" w:hAnsi="Times New Roman" w:cs="Times New Roman"/>
          <w:sz w:val="24"/>
        </w:rPr>
      </w:pPr>
      <w:r>
        <w:rPr>
          <w:rFonts w:ascii="Times New Roman" w:hAnsi="Times New Roman" w:cs="Times New Roman"/>
          <w:sz w:val="24"/>
        </w:rPr>
        <w:tab/>
        <w:t xml:space="preserve">In other words, such an applicant must lodge with the Mining Commissioner the prospecting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and a power of attorney or other document by virtue of which the mining block was located</w:t>
      </w:r>
      <w:r w:rsidR="00B47737">
        <w:rPr>
          <w:rFonts w:ascii="Times New Roman" w:hAnsi="Times New Roman" w:cs="Times New Roman"/>
          <w:sz w:val="24"/>
        </w:rPr>
        <w:t>,</w:t>
      </w:r>
      <w:r>
        <w:rPr>
          <w:rFonts w:ascii="Times New Roman" w:hAnsi="Times New Roman" w:cs="Times New Roman"/>
          <w:sz w:val="24"/>
        </w:rPr>
        <w:t xml:space="preserve"> a copy of the prospecting notice, a plan, a certificate stating that the facts are correct and the consent of the owner where the claim</w:t>
      </w:r>
      <w:r w:rsidR="00092186">
        <w:rPr>
          <w:rFonts w:ascii="Times New Roman" w:hAnsi="Times New Roman" w:cs="Times New Roman"/>
          <w:sz w:val="24"/>
        </w:rPr>
        <w:t xml:space="preserve"> is pegged on some ground for which such consent is required.  The res</w:t>
      </w:r>
      <w:r w:rsidR="00834CE6">
        <w:rPr>
          <w:rFonts w:ascii="Times New Roman" w:hAnsi="Times New Roman" w:cs="Times New Roman"/>
          <w:sz w:val="24"/>
        </w:rPr>
        <w:t>p</w:t>
      </w:r>
      <w:r w:rsidR="00092186">
        <w:rPr>
          <w:rFonts w:ascii="Times New Roman" w:hAnsi="Times New Roman" w:cs="Times New Roman"/>
          <w:sz w:val="24"/>
        </w:rPr>
        <w:t>ondents maintain that the Environmental Impact Assessment Certificate is only required by the min</w:t>
      </w:r>
      <w:r w:rsidR="00B47737">
        <w:rPr>
          <w:rFonts w:ascii="Times New Roman" w:hAnsi="Times New Roman" w:cs="Times New Roman"/>
          <w:sz w:val="24"/>
        </w:rPr>
        <w:t>e</w:t>
      </w:r>
      <w:r w:rsidR="00092186">
        <w:rPr>
          <w:rFonts w:ascii="Times New Roman" w:hAnsi="Times New Roman" w:cs="Times New Roman"/>
          <w:sz w:val="24"/>
        </w:rPr>
        <w:t xml:space="preserve">r </w:t>
      </w:r>
      <w:r w:rsidR="00B47737">
        <w:rPr>
          <w:rFonts w:ascii="Times New Roman" w:hAnsi="Times New Roman" w:cs="Times New Roman"/>
          <w:sz w:val="24"/>
        </w:rPr>
        <w:t>for</w:t>
      </w:r>
      <w:r w:rsidR="00092186">
        <w:rPr>
          <w:rFonts w:ascii="Times New Roman" w:hAnsi="Times New Roman" w:cs="Times New Roman"/>
          <w:sz w:val="24"/>
        </w:rPr>
        <w:t xml:space="preserve"> commencement of operations and not before.</w:t>
      </w:r>
    </w:p>
    <w:p w:rsidR="00043E0A" w:rsidRDefault="00092186" w:rsidP="008D571D">
      <w:pPr>
        <w:spacing w:line="360" w:lineRule="auto"/>
        <w:contextualSpacing/>
        <w:rPr>
          <w:rFonts w:ascii="Times New Roman" w:hAnsi="Times New Roman" w:cs="Times New Roman"/>
          <w:sz w:val="24"/>
        </w:rPr>
      </w:pPr>
      <w:r>
        <w:rPr>
          <w:rFonts w:ascii="Times New Roman" w:hAnsi="Times New Roman" w:cs="Times New Roman"/>
          <w:sz w:val="24"/>
        </w:rPr>
        <w:tab/>
        <w:t>Curiously the respondents s</w:t>
      </w:r>
      <w:r w:rsidR="00C90769">
        <w:rPr>
          <w:rFonts w:ascii="Times New Roman" w:hAnsi="Times New Roman" w:cs="Times New Roman"/>
          <w:sz w:val="24"/>
        </w:rPr>
        <w:t>t</w:t>
      </w:r>
      <w:r>
        <w:rPr>
          <w:rFonts w:ascii="Times New Roman" w:hAnsi="Times New Roman" w:cs="Times New Roman"/>
          <w:sz w:val="24"/>
        </w:rPr>
        <w:t xml:space="preserve">ated in opposition that this court should allow them to send their inspectors to the farm to assess the issue of dangers being posed by the miners they have </w:t>
      </w:r>
      <w:proofErr w:type="spellStart"/>
      <w:r>
        <w:rPr>
          <w:rFonts w:ascii="Times New Roman" w:hAnsi="Times New Roman" w:cs="Times New Roman"/>
          <w:sz w:val="24"/>
        </w:rPr>
        <w:t>licenced</w:t>
      </w:r>
      <w:proofErr w:type="spellEnd"/>
      <w:r>
        <w:rPr>
          <w:rFonts w:ascii="Times New Roman" w:hAnsi="Times New Roman" w:cs="Times New Roman"/>
          <w:sz w:val="24"/>
        </w:rPr>
        <w:t xml:space="preserve"> to operate at the farm without impact certificates.  They would like an opportunity to do that because miners should not “be allowed to carry out their mining activities posing dangers to the applicant’s cattle ranching</w:t>
      </w:r>
      <w:r w:rsidR="00043E0A">
        <w:rPr>
          <w:rFonts w:ascii="Times New Roman" w:hAnsi="Times New Roman" w:cs="Times New Roman"/>
          <w:sz w:val="24"/>
        </w:rPr>
        <w:t xml:space="preserve"> and wildlife safari operations.</w:t>
      </w:r>
    </w:p>
    <w:p w:rsidR="00043E0A" w:rsidRDefault="00043E0A" w:rsidP="008D571D">
      <w:pPr>
        <w:spacing w:line="360" w:lineRule="auto"/>
        <w:contextualSpacing/>
        <w:rPr>
          <w:rFonts w:ascii="Times New Roman" w:hAnsi="Times New Roman" w:cs="Times New Roman"/>
          <w:sz w:val="24"/>
        </w:rPr>
      </w:pPr>
      <w:r>
        <w:rPr>
          <w:rFonts w:ascii="Times New Roman" w:hAnsi="Times New Roman" w:cs="Times New Roman"/>
          <w:sz w:val="24"/>
        </w:rPr>
        <w:tab/>
        <w:t>It is indeed a question of trying to close the gate after the horse has bolted.</w:t>
      </w:r>
    </w:p>
    <w:p w:rsidR="00043E0A" w:rsidRDefault="00043E0A" w:rsidP="008D571D">
      <w:pPr>
        <w:spacing w:line="360" w:lineRule="auto"/>
        <w:contextualSpacing/>
        <w:rPr>
          <w:rFonts w:ascii="Times New Roman" w:hAnsi="Times New Roman" w:cs="Times New Roman"/>
          <w:sz w:val="24"/>
        </w:rPr>
      </w:pPr>
      <w:r>
        <w:rPr>
          <w:rFonts w:ascii="Times New Roman" w:hAnsi="Times New Roman" w:cs="Times New Roman"/>
          <w:sz w:val="24"/>
        </w:rPr>
        <w:tab/>
      </w:r>
      <w:proofErr w:type="spellStart"/>
      <w:r w:rsidRPr="003D40FD">
        <w:rPr>
          <w:rFonts w:ascii="Times New Roman" w:hAnsi="Times New Roman" w:cs="Times New Roman"/>
          <w:i/>
          <w:sz w:val="24"/>
        </w:rPr>
        <w:t>Mr</w:t>
      </w:r>
      <w:proofErr w:type="spellEnd"/>
      <w:r w:rsidRPr="003D40FD">
        <w:rPr>
          <w:rFonts w:ascii="Times New Roman" w:hAnsi="Times New Roman" w:cs="Times New Roman"/>
          <w:i/>
          <w:sz w:val="24"/>
        </w:rPr>
        <w:t xml:space="preserve"> </w:t>
      </w:r>
      <w:proofErr w:type="spellStart"/>
      <w:r w:rsidRPr="003D40FD">
        <w:rPr>
          <w:rFonts w:ascii="Times New Roman" w:hAnsi="Times New Roman" w:cs="Times New Roman"/>
          <w:i/>
          <w:sz w:val="24"/>
        </w:rPr>
        <w:t>Manika</w:t>
      </w:r>
      <w:proofErr w:type="spellEnd"/>
      <w:r>
        <w:rPr>
          <w:rFonts w:ascii="Times New Roman" w:hAnsi="Times New Roman" w:cs="Times New Roman"/>
          <w:sz w:val="24"/>
        </w:rPr>
        <w:t xml:space="preserve"> who appeared for the applicant submitted that the relief that the applicant seeks is a declaratory order.  As the </w:t>
      </w:r>
      <w:r w:rsidR="000D77AC">
        <w:rPr>
          <w:rFonts w:ascii="Times New Roman" w:hAnsi="Times New Roman" w:cs="Times New Roman"/>
          <w:sz w:val="24"/>
        </w:rPr>
        <w:t>applicant has shown that it is an interested person having a direct and substantial interest in the subject matter of the suit which could be prejudicially affected by the judgment of the court</w:t>
      </w:r>
      <w:r w:rsidR="00091677">
        <w:rPr>
          <w:rFonts w:ascii="Times New Roman" w:hAnsi="Times New Roman" w:cs="Times New Roman"/>
          <w:sz w:val="24"/>
        </w:rPr>
        <w:t>,</w:t>
      </w:r>
      <w:r w:rsidR="000D77AC">
        <w:rPr>
          <w:rFonts w:ascii="Times New Roman" w:hAnsi="Times New Roman" w:cs="Times New Roman"/>
          <w:sz w:val="24"/>
        </w:rPr>
        <w:t xml:space="preserve"> it is its ranching and wildlife operations that are affected by the respondents’ conduct, the applicant has established the requirements for the grant of a </w:t>
      </w:r>
      <w:proofErr w:type="spellStart"/>
      <w:r w:rsidR="000D77AC">
        <w:rPr>
          <w:rFonts w:ascii="Times New Roman" w:hAnsi="Times New Roman" w:cs="Times New Roman"/>
          <w:sz w:val="24"/>
        </w:rPr>
        <w:t>declaratur</w:t>
      </w:r>
      <w:proofErr w:type="spellEnd"/>
      <w:r w:rsidR="000D77AC">
        <w:rPr>
          <w:rFonts w:ascii="Times New Roman" w:hAnsi="Times New Roman" w:cs="Times New Roman"/>
          <w:sz w:val="24"/>
        </w:rPr>
        <w:t xml:space="preserve">.  This is particularly so as this is a matter wherein the court should exercise its discretion in </w:t>
      </w:r>
      <w:proofErr w:type="spellStart"/>
      <w:r w:rsidR="000D77AC">
        <w:rPr>
          <w:rFonts w:ascii="Times New Roman" w:hAnsi="Times New Roman" w:cs="Times New Roman"/>
          <w:sz w:val="24"/>
        </w:rPr>
        <w:t>favour</w:t>
      </w:r>
      <w:proofErr w:type="spellEnd"/>
      <w:r w:rsidR="000D77AC">
        <w:rPr>
          <w:rFonts w:ascii="Times New Roman" w:hAnsi="Times New Roman" w:cs="Times New Roman"/>
          <w:sz w:val="24"/>
        </w:rPr>
        <w:t xml:space="preserve"> of the applicant.</w:t>
      </w:r>
    </w:p>
    <w:p w:rsidR="000D77AC" w:rsidRDefault="000D77AC" w:rsidP="008D571D">
      <w:pPr>
        <w:spacing w:line="360" w:lineRule="auto"/>
        <w:contextualSpacing/>
        <w:rPr>
          <w:rFonts w:ascii="Times New Roman" w:hAnsi="Times New Roman" w:cs="Times New Roman"/>
          <w:sz w:val="24"/>
        </w:rPr>
      </w:pPr>
      <w:r>
        <w:rPr>
          <w:rFonts w:ascii="Times New Roman" w:hAnsi="Times New Roman" w:cs="Times New Roman"/>
          <w:sz w:val="24"/>
        </w:rPr>
        <w:tab/>
      </w:r>
      <w:proofErr w:type="spellStart"/>
      <w:r w:rsidRPr="00CD05A6">
        <w:rPr>
          <w:rFonts w:ascii="Times New Roman" w:hAnsi="Times New Roman" w:cs="Times New Roman"/>
          <w:i/>
          <w:sz w:val="24"/>
        </w:rPr>
        <w:t>Ms</w:t>
      </w:r>
      <w:proofErr w:type="spellEnd"/>
      <w:r w:rsidRPr="00CD05A6">
        <w:rPr>
          <w:rFonts w:ascii="Times New Roman" w:hAnsi="Times New Roman" w:cs="Times New Roman"/>
          <w:i/>
          <w:sz w:val="24"/>
        </w:rPr>
        <w:t xml:space="preserve"> Hove</w:t>
      </w:r>
      <w:r>
        <w:rPr>
          <w:rFonts w:ascii="Times New Roman" w:hAnsi="Times New Roman" w:cs="Times New Roman"/>
          <w:sz w:val="24"/>
        </w:rPr>
        <w:t xml:space="preserve"> for the respondents was of a different view.  She submitted that the respondents are only required to have regard to the </w:t>
      </w:r>
      <w:r w:rsidR="00482F6C">
        <w:rPr>
          <w:rFonts w:ascii="Times New Roman" w:hAnsi="Times New Roman" w:cs="Times New Roman"/>
          <w:sz w:val="24"/>
        </w:rPr>
        <w:t>provisions</w:t>
      </w:r>
      <w:r>
        <w:rPr>
          <w:rFonts w:ascii="Times New Roman" w:hAnsi="Times New Roman" w:cs="Times New Roman"/>
          <w:sz w:val="24"/>
        </w:rPr>
        <w:t xml:space="preserve"> of s45 (2) of the Min</w:t>
      </w:r>
      <w:r w:rsidR="00C90769">
        <w:rPr>
          <w:rFonts w:ascii="Times New Roman" w:hAnsi="Times New Roman" w:cs="Times New Roman"/>
          <w:sz w:val="24"/>
        </w:rPr>
        <w:t>es and Minerals Act [Chapter 21:</w:t>
      </w:r>
      <w:r>
        <w:rPr>
          <w:rFonts w:ascii="Times New Roman" w:hAnsi="Times New Roman" w:cs="Times New Roman"/>
          <w:sz w:val="24"/>
        </w:rPr>
        <w:t xml:space="preserve">05] before issuing a certificate or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The provisions of s97 (2) of the Environmental Management Act [Chapter 20:27] are only relevant to the commencement of </w:t>
      </w:r>
      <w:r>
        <w:rPr>
          <w:rFonts w:ascii="Times New Roman" w:hAnsi="Times New Roman" w:cs="Times New Roman"/>
          <w:sz w:val="24"/>
        </w:rPr>
        <w:lastRenderedPageBreak/>
        <w:t xml:space="preserve">operations.  She did not explain how this could be so </w:t>
      </w:r>
      <w:r w:rsidR="00482F6C">
        <w:rPr>
          <w:rFonts w:ascii="Times New Roman" w:hAnsi="Times New Roman" w:cs="Times New Roman"/>
          <w:sz w:val="24"/>
        </w:rPr>
        <w:t>where</w:t>
      </w:r>
      <w:r>
        <w:rPr>
          <w:rFonts w:ascii="Times New Roman" w:hAnsi="Times New Roman" w:cs="Times New Roman"/>
          <w:sz w:val="24"/>
        </w:rPr>
        <w:t xml:space="preserve"> a miner has already been granted a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to operate or to prospect entitling such miner to undertake the activity.</w:t>
      </w:r>
    </w:p>
    <w:p w:rsidR="003D40FD" w:rsidRDefault="003D40FD" w:rsidP="008D571D">
      <w:pPr>
        <w:spacing w:line="360" w:lineRule="auto"/>
        <w:contextualSpacing/>
        <w:rPr>
          <w:rFonts w:ascii="Times New Roman" w:hAnsi="Times New Roman" w:cs="Times New Roman"/>
          <w:sz w:val="24"/>
        </w:rPr>
      </w:pPr>
      <w:r>
        <w:rPr>
          <w:rFonts w:ascii="Times New Roman" w:hAnsi="Times New Roman" w:cs="Times New Roman"/>
          <w:sz w:val="24"/>
        </w:rPr>
        <w:tab/>
        <w:t xml:space="preserve">The remedy which the applicant seeks is one provided for in s14 of the High Court Act [Chapter 7:06].  The section provides that this court may, at the instance of any interested party, inquire into and determine any existing, future or contingent right or obligation.  It has been stated, in interpreting that provision, that it is a condition precedent to the grant of a declaratory order that the applicant must have a direct and substantial interest in the subject matter of the suit which could be prejudicially affected by the judgment of the court.  See </w:t>
      </w:r>
      <w:r w:rsidRPr="003D40FD">
        <w:rPr>
          <w:rFonts w:ascii="Times New Roman" w:hAnsi="Times New Roman" w:cs="Times New Roman"/>
          <w:i/>
          <w:sz w:val="24"/>
        </w:rPr>
        <w:t>Munn Publishing (</w:t>
      </w:r>
      <w:proofErr w:type="spellStart"/>
      <w:r w:rsidRPr="003D40FD">
        <w:rPr>
          <w:rFonts w:ascii="Times New Roman" w:hAnsi="Times New Roman" w:cs="Times New Roman"/>
          <w:i/>
          <w:sz w:val="24"/>
        </w:rPr>
        <w:t>Pvt</w:t>
      </w:r>
      <w:proofErr w:type="spellEnd"/>
      <w:r w:rsidRPr="003D40FD">
        <w:rPr>
          <w:rFonts w:ascii="Times New Roman" w:hAnsi="Times New Roman" w:cs="Times New Roman"/>
          <w:i/>
          <w:sz w:val="24"/>
        </w:rPr>
        <w:t xml:space="preserve">) Ltd </w:t>
      </w:r>
      <w:r>
        <w:rPr>
          <w:rFonts w:ascii="Times New Roman" w:hAnsi="Times New Roman" w:cs="Times New Roman"/>
          <w:sz w:val="24"/>
        </w:rPr>
        <w:t xml:space="preserve">v </w:t>
      </w:r>
      <w:r w:rsidRPr="003D40FD">
        <w:rPr>
          <w:rFonts w:ascii="Times New Roman" w:hAnsi="Times New Roman" w:cs="Times New Roman"/>
          <w:i/>
          <w:sz w:val="24"/>
        </w:rPr>
        <w:t xml:space="preserve">ZBC </w:t>
      </w:r>
      <w:r>
        <w:rPr>
          <w:rFonts w:ascii="Times New Roman" w:hAnsi="Times New Roman" w:cs="Times New Roman"/>
          <w:sz w:val="24"/>
        </w:rPr>
        <w:t>1994 (1) ZLR 337 (S) 343G; 344 A –E;</w:t>
      </w:r>
    </w:p>
    <w:p w:rsidR="003D07EC" w:rsidRDefault="003D40FD" w:rsidP="008D571D">
      <w:pPr>
        <w:spacing w:line="360" w:lineRule="auto"/>
        <w:contextualSpacing/>
        <w:rPr>
          <w:rFonts w:ascii="Times New Roman" w:hAnsi="Times New Roman" w:cs="Times New Roman"/>
          <w:sz w:val="24"/>
        </w:rPr>
      </w:pPr>
      <w:r>
        <w:rPr>
          <w:rFonts w:ascii="Times New Roman" w:hAnsi="Times New Roman" w:cs="Times New Roman"/>
          <w:sz w:val="24"/>
        </w:rPr>
        <w:tab/>
        <w:t xml:space="preserve">As the court will not decide abstract, academic or hypothetical questions unrelated to such an interest, the interest must relate </w:t>
      </w:r>
      <w:r w:rsidR="00AE3B23">
        <w:rPr>
          <w:rFonts w:ascii="Times New Roman" w:hAnsi="Times New Roman" w:cs="Times New Roman"/>
          <w:sz w:val="24"/>
        </w:rPr>
        <w:t xml:space="preserve">to an existing, future or contingent right.  </w:t>
      </w:r>
      <w:proofErr w:type="gramStart"/>
      <w:r w:rsidR="00AE3B23">
        <w:rPr>
          <w:rFonts w:ascii="Times New Roman" w:hAnsi="Times New Roman" w:cs="Times New Roman"/>
          <w:sz w:val="24"/>
        </w:rPr>
        <w:t>See</w:t>
      </w:r>
      <w:r w:rsidR="00AE3B23" w:rsidRPr="00AE3B23">
        <w:rPr>
          <w:rFonts w:ascii="Times New Roman" w:hAnsi="Times New Roman" w:cs="Times New Roman"/>
          <w:i/>
          <w:sz w:val="24"/>
        </w:rPr>
        <w:t xml:space="preserve"> Anglo-Transvaal Collieries Ltd</w:t>
      </w:r>
      <w:r w:rsidR="00AE3B23">
        <w:rPr>
          <w:rFonts w:ascii="Times New Roman" w:hAnsi="Times New Roman" w:cs="Times New Roman"/>
          <w:sz w:val="24"/>
        </w:rPr>
        <w:t xml:space="preserve"> v </w:t>
      </w:r>
      <w:r w:rsidR="00AE3B23" w:rsidRPr="00AE3B23">
        <w:rPr>
          <w:rFonts w:ascii="Times New Roman" w:hAnsi="Times New Roman" w:cs="Times New Roman"/>
          <w:i/>
          <w:sz w:val="24"/>
        </w:rPr>
        <w:t xml:space="preserve">SA Mutual Life Assurance </w:t>
      </w:r>
      <w:proofErr w:type="spellStart"/>
      <w:r w:rsidR="00AE3B23" w:rsidRPr="00AE3B23">
        <w:rPr>
          <w:rFonts w:ascii="Times New Roman" w:hAnsi="Times New Roman" w:cs="Times New Roman"/>
          <w:i/>
          <w:sz w:val="24"/>
        </w:rPr>
        <w:t>Soc</w:t>
      </w:r>
      <w:proofErr w:type="spellEnd"/>
      <w:r w:rsidR="00AE3B23">
        <w:rPr>
          <w:rFonts w:ascii="Times New Roman" w:hAnsi="Times New Roman" w:cs="Times New Roman"/>
          <w:sz w:val="24"/>
        </w:rPr>
        <w:t xml:space="preserve"> 1977 (3) SA 631 (T) 635 G-H; </w:t>
      </w:r>
      <w:r w:rsidR="00AE3B23" w:rsidRPr="00AE3B23">
        <w:rPr>
          <w:rFonts w:ascii="Times New Roman" w:hAnsi="Times New Roman" w:cs="Times New Roman"/>
          <w:i/>
          <w:sz w:val="24"/>
        </w:rPr>
        <w:t>Munn Publishing (</w:t>
      </w:r>
      <w:proofErr w:type="spellStart"/>
      <w:r w:rsidR="00AE3B23" w:rsidRPr="00AE3B23">
        <w:rPr>
          <w:rFonts w:ascii="Times New Roman" w:hAnsi="Times New Roman" w:cs="Times New Roman"/>
          <w:i/>
          <w:sz w:val="24"/>
        </w:rPr>
        <w:t>Pvt</w:t>
      </w:r>
      <w:proofErr w:type="spellEnd"/>
      <w:r w:rsidR="00AE3B23" w:rsidRPr="00AE3B23">
        <w:rPr>
          <w:rFonts w:ascii="Times New Roman" w:hAnsi="Times New Roman" w:cs="Times New Roman"/>
          <w:i/>
          <w:sz w:val="24"/>
        </w:rPr>
        <w:t xml:space="preserve">) Ltd </w:t>
      </w:r>
      <w:r w:rsidR="00AE3B23">
        <w:rPr>
          <w:rFonts w:ascii="Times New Roman" w:hAnsi="Times New Roman" w:cs="Times New Roman"/>
          <w:sz w:val="24"/>
        </w:rPr>
        <w:t xml:space="preserve">v </w:t>
      </w:r>
      <w:r w:rsidR="00AE3B23" w:rsidRPr="00AE3B23">
        <w:rPr>
          <w:rFonts w:ascii="Times New Roman" w:hAnsi="Times New Roman" w:cs="Times New Roman"/>
          <w:i/>
          <w:sz w:val="24"/>
        </w:rPr>
        <w:t>ZBC, supra</w:t>
      </w:r>
      <w:r w:rsidR="00AE3B23">
        <w:rPr>
          <w:rFonts w:ascii="Times New Roman" w:hAnsi="Times New Roman" w:cs="Times New Roman"/>
          <w:sz w:val="24"/>
        </w:rPr>
        <w:t>.</w:t>
      </w:r>
      <w:proofErr w:type="gramEnd"/>
      <w:r w:rsidR="00AE3B23">
        <w:rPr>
          <w:rFonts w:ascii="Times New Roman" w:hAnsi="Times New Roman" w:cs="Times New Roman"/>
          <w:sz w:val="24"/>
        </w:rPr>
        <w:t xml:space="preserve">  The other requirement for a declaratory order is that the court must decide whether or not the case in question is one in which it should properly</w:t>
      </w:r>
      <w:r w:rsidR="00020A9A">
        <w:rPr>
          <w:rFonts w:ascii="Times New Roman" w:hAnsi="Times New Roman" w:cs="Times New Roman"/>
          <w:sz w:val="24"/>
        </w:rPr>
        <w:t xml:space="preserve"> exercise its discretion </w:t>
      </w:r>
      <w:r w:rsidR="00091677">
        <w:rPr>
          <w:rFonts w:ascii="Times New Roman" w:hAnsi="Times New Roman" w:cs="Times New Roman"/>
          <w:sz w:val="24"/>
        </w:rPr>
        <w:t xml:space="preserve">as provided for in s14.  The court’s discretion </w:t>
      </w:r>
      <w:r w:rsidR="00020A9A">
        <w:rPr>
          <w:rFonts w:ascii="Times New Roman" w:hAnsi="Times New Roman" w:cs="Times New Roman"/>
          <w:sz w:val="24"/>
        </w:rPr>
        <w:t xml:space="preserve">will be exercised where, despite the fact that no consequential relief is </w:t>
      </w:r>
      <w:proofErr w:type="gramStart"/>
      <w:r w:rsidR="00020A9A">
        <w:rPr>
          <w:rFonts w:ascii="Times New Roman" w:hAnsi="Times New Roman" w:cs="Times New Roman"/>
          <w:sz w:val="24"/>
        </w:rPr>
        <w:t>sought,</w:t>
      </w:r>
      <w:proofErr w:type="gramEnd"/>
      <w:r w:rsidR="00020A9A">
        <w:rPr>
          <w:rFonts w:ascii="Times New Roman" w:hAnsi="Times New Roman" w:cs="Times New Roman"/>
          <w:sz w:val="24"/>
        </w:rPr>
        <w:t xml:space="preserve"> justice or convenience </w:t>
      </w:r>
      <w:r w:rsidR="003D07EC">
        <w:rPr>
          <w:rFonts w:ascii="Times New Roman" w:hAnsi="Times New Roman" w:cs="Times New Roman"/>
          <w:sz w:val="24"/>
        </w:rPr>
        <w:t>demands</w:t>
      </w:r>
      <w:r w:rsidR="00020A9A">
        <w:rPr>
          <w:rFonts w:ascii="Times New Roman" w:hAnsi="Times New Roman" w:cs="Times New Roman"/>
          <w:sz w:val="24"/>
        </w:rPr>
        <w:t xml:space="preserve"> that a declaration be made as to the existe</w:t>
      </w:r>
      <w:r w:rsidR="003D07EC">
        <w:rPr>
          <w:rFonts w:ascii="Times New Roman" w:hAnsi="Times New Roman" w:cs="Times New Roman"/>
          <w:sz w:val="24"/>
        </w:rPr>
        <w:t xml:space="preserve">nce of or the nature of a legal </w:t>
      </w:r>
      <w:r w:rsidR="00020A9A">
        <w:rPr>
          <w:rFonts w:ascii="Times New Roman" w:hAnsi="Times New Roman" w:cs="Times New Roman"/>
          <w:sz w:val="24"/>
        </w:rPr>
        <w:t>right claimed by the applicant or the e</w:t>
      </w:r>
      <w:r w:rsidR="003D07EC">
        <w:rPr>
          <w:rFonts w:ascii="Times New Roman" w:hAnsi="Times New Roman" w:cs="Times New Roman"/>
          <w:sz w:val="24"/>
        </w:rPr>
        <w:t xml:space="preserve">xistence of a legal obligation due by the respondent.  </w:t>
      </w:r>
      <w:proofErr w:type="gramStart"/>
      <w:r w:rsidR="003D07EC">
        <w:rPr>
          <w:rFonts w:ascii="Times New Roman" w:hAnsi="Times New Roman" w:cs="Times New Roman"/>
          <w:sz w:val="24"/>
        </w:rPr>
        <w:t xml:space="preserve">See </w:t>
      </w:r>
      <w:proofErr w:type="spellStart"/>
      <w:r w:rsidR="003D07EC" w:rsidRPr="00F81A18">
        <w:rPr>
          <w:rFonts w:ascii="Times New Roman" w:hAnsi="Times New Roman" w:cs="Times New Roman"/>
          <w:i/>
          <w:sz w:val="24"/>
        </w:rPr>
        <w:t>Adbro</w:t>
      </w:r>
      <w:proofErr w:type="spellEnd"/>
      <w:r w:rsidR="003D07EC" w:rsidRPr="00F81A18">
        <w:rPr>
          <w:rFonts w:ascii="Times New Roman" w:hAnsi="Times New Roman" w:cs="Times New Roman"/>
          <w:i/>
          <w:sz w:val="24"/>
        </w:rPr>
        <w:t xml:space="preserve"> Investment Co Ltd</w:t>
      </w:r>
      <w:r w:rsidR="003D07EC">
        <w:rPr>
          <w:rFonts w:ascii="Times New Roman" w:hAnsi="Times New Roman" w:cs="Times New Roman"/>
          <w:sz w:val="24"/>
        </w:rPr>
        <w:t xml:space="preserve"> v </w:t>
      </w:r>
      <w:r w:rsidR="003D07EC" w:rsidRPr="00F81A18">
        <w:rPr>
          <w:rFonts w:ascii="Times New Roman" w:hAnsi="Times New Roman" w:cs="Times New Roman"/>
          <w:i/>
          <w:sz w:val="24"/>
        </w:rPr>
        <w:t>Minister of the Interior and Others</w:t>
      </w:r>
      <w:r w:rsidR="003D07EC">
        <w:rPr>
          <w:rFonts w:ascii="Times New Roman" w:hAnsi="Times New Roman" w:cs="Times New Roman"/>
          <w:sz w:val="24"/>
        </w:rPr>
        <w:t xml:space="preserve"> 1961 (3) SA 283 (T) 285 B – C; </w:t>
      </w:r>
      <w:proofErr w:type="spellStart"/>
      <w:r w:rsidR="003D07EC" w:rsidRPr="00F81A18">
        <w:rPr>
          <w:rFonts w:ascii="Times New Roman" w:hAnsi="Times New Roman" w:cs="Times New Roman"/>
          <w:i/>
          <w:sz w:val="24"/>
        </w:rPr>
        <w:t>Johnsen</w:t>
      </w:r>
      <w:proofErr w:type="spellEnd"/>
      <w:r w:rsidR="003D07EC" w:rsidRPr="00F81A18">
        <w:rPr>
          <w:rFonts w:ascii="Times New Roman" w:hAnsi="Times New Roman" w:cs="Times New Roman"/>
          <w:i/>
          <w:sz w:val="24"/>
        </w:rPr>
        <w:t xml:space="preserve"> </w:t>
      </w:r>
      <w:r w:rsidR="003D07EC">
        <w:rPr>
          <w:rFonts w:ascii="Times New Roman" w:hAnsi="Times New Roman" w:cs="Times New Roman"/>
          <w:sz w:val="24"/>
        </w:rPr>
        <w:t xml:space="preserve">v </w:t>
      </w:r>
      <w:r w:rsidR="003D07EC" w:rsidRPr="00F81A18">
        <w:rPr>
          <w:rFonts w:ascii="Times New Roman" w:hAnsi="Times New Roman" w:cs="Times New Roman"/>
          <w:i/>
          <w:sz w:val="24"/>
        </w:rPr>
        <w:t>AFC</w:t>
      </w:r>
      <w:r w:rsidR="003D07EC">
        <w:rPr>
          <w:rFonts w:ascii="Times New Roman" w:hAnsi="Times New Roman" w:cs="Times New Roman"/>
          <w:sz w:val="24"/>
        </w:rPr>
        <w:t xml:space="preserve"> 1995 (1) ZLR 65 (H).</w:t>
      </w:r>
      <w:proofErr w:type="gramEnd"/>
    </w:p>
    <w:p w:rsidR="003D07EC" w:rsidRDefault="003D07EC" w:rsidP="008D571D">
      <w:pPr>
        <w:spacing w:line="360" w:lineRule="auto"/>
        <w:contextualSpacing/>
        <w:rPr>
          <w:rFonts w:ascii="Times New Roman" w:hAnsi="Times New Roman" w:cs="Times New Roman"/>
          <w:sz w:val="24"/>
        </w:rPr>
      </w:pPr>
      <w:r>
        <w:rPr>
          <w:rFonts w:ascii="Times New Roman" w:hAnsi="Times New Roman" w:cs="Times New Roman"/>
          <w:sz w:val="24"/>
        </w:rPr>
        <w:tab/>
        <w:t xml:space="preserve">In my view, to the extent that the applicant complains that the manner in which the first and second respondents have been issuing out certificates, permits and </w:t>
      </w:r>
      <w:proofErr w:type="spellStart"/>
      <w:r>
        <w:rPr>
          <w:rFonts w:ascii="Times New Roman" w:hAnsi="Times New Roman" w:cs="Times New Roman"/>
          <w:sz w:val="24"/>
        </w:rPr>
        <w:t>licences</w:t>
      </w:r>
      <w:proofErr w:type="spellEnd"/>
      <w:r>
        <w:rPr>
          <w:rFonts w:ascii="Times New Roman" w:hAnsi="Times New Roman" w:cs="Times New Roman"/>
          <w:sz w:val="24"/>
        </w:rPr>
        <w:t xml:space="preserve"> to prospective miners targeting its farm like confetti at a wedding resulting in those given certificates, permits and </w:t>
      </w:r>
      <w:proofErr w:type="spellStart"/>
      <w:r>
        <w:rPr>
          <w:rFonts w:ascii="Times New Roman" w:hAnsi="Times New Roman" w:cs="Times New Roman"/>
          <w:sz w:val="24"/>
        </w:rPr>
        <w:t>licences</w:t>
      </w:r>
      <w:proofErr w:type="spellEnd"/>
      <w:r>
        <w:rPr>
          <w:rFonts w:ascii="Times New Roman" w:hAnsi="Times New Roman" w:cs="Times New Roman"/>
          <w:sz w:val="24"/>
        </w:rPr>
        <w:t xml:space="preserve"> using them to invade the farm, there can be no doubt that the applicant has an interest in that exercise.   Whether those respondents are discharging their duties lawfully is therefore a matter affecting the applicant’s rights and interests.</w:t>
      </w:r>
    </w:p>
    <w:p w:rsidR="003D64F5" w:rsidRDefault="003D64F5" w:rsidP="008D571D">
      <w:pPr>
        <w:spacing w:line="360" w:lineRule="auto"/>
        <w:contextualSpacing/>
        <w:rPr>
          <w:rFonts w:ascii="Times New Roman" w:hAnsi="Times New Roman" w:cs="Times New Roman"/>
          <w:sz w:val="24"/>
        </w:rPr>
      </w:pPr>
      <w:r>
        <w:rPr>
          <w:rFonts w:ascii="Times New Roman" w:hAnsi="Times New Roman" w:cs="Times New Roman"/>
          <w:sz w:val="24"/>
        </w:rPr>
        <w:tab/>
        <w:t>Section 14 reposes upon this court the discretion to inquire into and determine such rights and obligation</w:t>
      </w:r>
      <w:r w:rsidR="00091677">
        <w:rPr>
          <w:rFonts w:ascii="Times New Roman" w:hAnsi="Times New Roman" w:cs="Times New Roman"/>
          <w:sz w:val="24"/>
        </w:rPr>
        <w:t>s</w:t>
      </w:r>
      <w:r>
        <w:rPr>
          <w:rFonts w:ascii="Times New Roman" w:hAnsi="Times New Roman" w:cs="Times New Roman"/>
          <w:sz w:val="24"/>
        </w:rPr>
        <w:t>, the obligation of the first and second respondents being to abide by the law when issuing mining certificates</w:t>
      </w:r>
      <w:r w:rsidR="00091677">
        <w:rPr>
          <w:rFonts w:ascii="Times New Roman" w:hAnsi="Times New Roman" w:cs="Times New Roman"/>
          <w:sz w:val="24"/>
        </w:rPr>
        <w:t>,</w:t>
      </w:r>
      <w:r>
        <w:rPr>
          <w:rFonts w:ascii="Times New Roman" w:hAnsi="Times New Roman" w:cs="Times New Roman"/>
          <w:sz w:val="24"/>
        </w:rPr>
        <w:t xml:space="preserve"> permits or </w:t>
      </w:r>
      <w:proofErr w:type="spellStart"/>
      <w:r>
        <w:rPr>
          <w:rFonts w:ascii="Times New Roman" w:hAnsi="Times New Roman" w:cs="Times New Roman"/>
          <w:sz w:val="24"/>
        </w:rPr>
        <w:t>licences</w:t>
      </w:r>
      <w:proofErr w:type="spellEnd"/>
      <w:r>
        <w:rPr>
          <w:rFonts w:ascii="Times New Roman" w:hAnsi="Times New Roman" w:cs="Times New Roman"/>
          <w:sz w:val="24"/>
        </w:rPr>
        <w:t>.  I am satisfied that this is an appropriate matter for the exercise of the court’s discretion as provided for in s14 of the Act.</w:t>
      </w:r>
    </w:p>
    <w:p w:rsidR="003D64F5" w:rsidRDefault="003D64F5" w:rsidP="008D571D">
      <w:pPr>
        <w:spacing w:line="360" w:lineRule="auto"/>
        <w:contextualSpacing/>
        <w:rPr>
          <w:rFonts w:ascii="Times New Roman" w:hAnsi="Times New Roman" w:cs="Times New Roman"/>
          <w:sz w:val="24"/>
        </w:rPr>
      </w:pPr>
      <w:r>
        <w:rPr>
          <w:rFonts w:ascii="Times New Roman" w:hAnsi="Times New Roman" w:cs="Times New Roman"/>
          <w:sz w:val="24"/>
        </w:rPr>
        <w:lastRenderedPageBreak/>
        <w:t xml:space="preserve">I now turn to examine the relevant provisions of the Environmental Management Act [Chapter 20:27].  The scope of that Act and its application </w:t>
      </w:r>
      <w:proofErr w:type="spellStart"/>
      <w:r w:rsidRPr="002D2414">
        <w:rPr>
          <w:rFonts w:ascii="Times New Roman" w:hAnsi="Times New Roman" w:cs="Times New Roman"/>
          <w:i/>
          <w:sz w:val="24"/>
        </w:rPr>
        <w:t>viz</w:t>
      </w:r>
      <w:proofErr w:type="spellEnd"/>
      <w:r w:rsidRPr="002D2414">
        <w:rPr>
          <w:rFonts w:ascii="Times New Roman" w:hAnsi="Times New Roman" w:cs="Times New Roman"/>
          <w:i/>
          <w:sz w:val="24"/>
        </w:rPr>
        <w:t>-a-</w:t>
      </w:r>
      <w:proofErr w:type="spellStart"/>
      <w:r w:rsidRPr="002D2414">
        <w:rPr>
          <w:rFonts w:ascii="Times New Roman" w:hAnsi="Times New Roman" w:cs="Times New Roman"/>
          <w:i/>
          <w:sz w:val="24"/>
        </w:rPr>
        <w:t>viz</w:t>
      </w:r>
      <w:proofErr w:type="spellEnd"/>
      <w:r>
        <w:rPr>
          <w:rFonts w:ascii="Times New Roman" w:hAnsi="Times New Roman" w:cs="Times New Roman"/>
          <w:sz w:val="24"/>
        </w:rPr>
        <w:t xml:space="preserve"> other laws can be found in s3 which provides:</w:t>
      </w:r>
    </w:p>
    <w:p w:rsidR="003D64F5" w:rsidRDefault="003D64F5" w:rsidP="00F81A18">
      <w:pPr>
        <w:spacing w:line="240" w:lineRule="auto"/>
        <w:ind w:left="1440" w:hanging="720"/>
        <w:contextualSpacing/>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Except where it is expressly provided to the contrary, this Act shall be construed as being in add</w:t>
      </w:r>
      <w:r w:rsidR="002D2414">
        <w:rPr>
          <w:rFonts w:ascii="Times New Roman" w:hAnsi="Times New Roman" w:cs="Times New Roman"/>
          <w:sz w:val="24"/>
        </w:rPr>
        <w:t>ition to and not in substitution for any other law which is not in conflict or inconsistent with this Act.</w:t>
      </w:r>
    </w:p>
    <w:p w:rsidR="002D2414" w:rsidRDefault="002D2414" w:rsidP="00F81A18">
      <w:pPr>
        <w:spacing w:line="240" w:lineRule="auto"/>
        <w:contextualSpacing/>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 xml:space="preserve">If any other law is in conflict with this Act, </w:t>
      </w:r>
      <w:r w:rsidR="00684F9B">
        <w:rPr>
          <w:rFonts w:ascii="Times New Roman" w:hAnsi="Times New Roman" w:cs="Times New Roman"/>
          <w:sz w:val="24"/>
        </w:rPr>
        <w:t>this Act shall prevail.”</w:t>
      </w:r>
    </w:p>
    <w:p w:rsidR="00F81A18" w:rsidRDefault="00F81A18" w:rsidP="00F81A18">
      <w:pPr>
        <w:spacing w:line="240" w:lineRule="auto"/>
        <w:contextualSpacing/>
        <w:rPr>
          <w:rFonts w:ascii="Times New Roman" w:hAnsi="Times New Roman" w:cs="Times New Roman"/>
          <w:sz w:val="24"/>
        </w:rPr>
      </w:pPr>
    </w:p>
    <w:p w:rsidR="00684F9B" w:rsidRDefault="00684F9B" w:rsidP="008D571D">
      <w:pPr>
        <w:spacing w:line="360" w:lineRule="auto"/>
        <w:contextualSpacing/>
        <w:rPr>
          <w:rFonts w:ascii="Times New Roman" w:hAnsi="Times New Roman" w:cs="Times New Roman"/>
          <w:sz w:val="24"/>
        </w:rPr>
      </w:pPr>
      <w:r>
        <w:rPr>
          <w:rFonts w:ascii="Times New Roman" w:hAnsi="Times New Roman" w:cs="Times New Roman"/>
          <w:sz w:val="24"/>
        </w:rPr>
        <w:tab/>
        <w:t xml:space="preserve">The basic rule of statutory interpretation counsels that words of a statute must be given their grammatical and ordinary meaning unless that would lead to an absurdity. I can do no better than refer to the pronouncement </w:t>
      </w:r>
      <w:proofErr w:type="gramStart"/>
      <w:r>
        <w:rPr>
          <w:rFonts w:ascii="Times New Roman" w:hAnsi="Times New Roman" w:cs="Times New Roman"/>
          <w:sz w:val="24"/>
        </w:rPr>
        <w:t xml:space="preserve">of </w:t>
      </w:r>
      <w:r w:rsidR="00646DEA">
        <w:rPr>
          <w:rFonts w:ascii="Times New Roman" w:hAnsi="Times New Roman" w:cs="Times New Roman"/>
          <w:sz w:val="24"/>
        </w:rPr>
        <w:t xml:space="preserve"> </w:t>
      </w:r>
      <w:proofErr w:type="spellStart"/>
      <w:r w:rsidRPr="00646DEA">
        <w:rPr>
          <w:rFonts w:ascii="Times New Roman" w:hAnsi="Times New Roman" w:cs="Times New Roman"/>
        </w:rPr>
        <w:t>McNALLY</w:t>
      </w:r>
      <w:proofErr w:type="spellEnd"/>
      <w:proofErr w:type="gramEnd"/>
      <w:r w:rsidRPr="00646DEA">
        <w:rPr>
          <w:rFonts w:ascii="Times New Roman" w:hAnsi="Times New Roman" w:cs="Times New Roman"/>
        </w:rPr>
        <w:t xml:space="preserve"> JA </w:t>
      </w:r>
      <w:r>
        <w:rPr>
          <w:rFonts w:ascii="Times New Roman" w:hAnsi="Times New Roman" w:cs="Times New Roman"/>
          <w:sz w:val="24"/>
        </w:rPr>
        <w:t xml:space="preserve">in </w:t>
      </w:r>
      <w:proofErr w:type="spellStart"/>
      <w:r w:rsidRPr="00684F9B">
        <w:rPr>
          <w:rFonts w:ascii="Times New Roman" w:hAnsi="Times New Roman" w:cs="Times New Roman"/>
          <w:i/>
          <w:sz w:val="24"/>
        </w:rPr>
        <w:t>Chegutu</w:t>
      </w:r>
      <w:proofErr w:type="spellEnd"/>
      <w:r w:rsidRPr="00684F9B">
        <w:rPr>
          <w:rFonts w:ascii="Times New Roman" w:hAnsi="Times New Roman" w:cs="Times New Roman"/>
          <w:i/>
          <w:sz w:val="24"/>
        </w:rPr>
        <w:t xml:space="preserve"> Municipality</w:t>
      </w:r>
      <w:r>
        <w:rPr>
          <w:rFonts w:ascii="Times New Roman" w:hAnsi="Times New Roman" w:cs="Times New Roman"/>
          <w:sz w:val="24"/>
        </w:rPr>
        <w:t xml:space="preserve"> v </w:t>
      </w:r>
      <w:proofErr w:type="spellStart"/>
      <w:r w:rsidRPr="00684F9B">
        <w:rPr>
          <w:rFonts w:ascii="Times New Roman" w:hAnsi="Times New Roman" w:cs="Times New Roman"/>
          <w:i/>
          <w:sz w:val="24"/>
        </w:rPr>
        <w:t>Manyora</w:t>
      </w:r>
      <w:proofErr w:type="spellEnd"/>
      <w:r w:rsidRPr="00684F9B">
        <w:rPr>
          <w:rFonts w:ascii="Times New Roman" w:hAnsi="Times New Roman" w:cs="Times New Roman"/>
          <w:i/>
          <w:sz w:val="24"/>
        </w:rPr>
        <w:t xml:space="preserve"> </w:t>
      </w:r>
      <w:r>
        <w:rPr>
          <w:rFonts w:ascii="Times New Roman" w:hAnsi="Times New Roman" w:cs="Times New Roman"/>
          <w:sz w:val="24"/>
        </w:rPr>
        <w:t>1996 (1) ZLR 262 (S) 264 D-E:</w:t>
      </w:r>
    </w:p>
    <w:p w:rsidR="00684F9B" w:rsidRDefault="00684F9B" w:rsidP="00F81A18">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“There is no magic about interpretation.  Words must be taken in their context.  The grammatical and ordinary sense of the words is to be adhered to, as LORD WENSLEYDALE said in </w:t>
      </w:r>
      <w:r w:rsidRPr="00684F9B">
        <w:rPr>
          <w:rFonts w:ascii="Times New Roman" w:hAnsi="Times New Roman" w:cs="Times New Roman"/>
          <w:i/>
          <w:sz w:val="24"/>
        </w:rPr>
        <w:t>Grey</w:t>
      </w:r>
      <w:r>
        <w:rPr>
          <w:rFonts w:ascii="Times New Roman" w:hAnsi="Times New Roman" w:cs="Times New Roman"/>
          <w:sz w:val="24"/>
        </w:rPr>
        <w:t xml:space="preserve"> v </w:t>
      </w:r>
      <w:r w:rsidRPr="00684F9B">
        <w:rPr>
          <w:rFonts w:ascii="Times New Roman" w:hAnsi="Times New Roman" w:cs="Times New Roman"/>
          <w:i/>
          <w:sz w:val="24"/>
        </w:rPr>
        <w:t>Pearson</w:t>
      </w:r>
      <w:r>
        <w:rPr>
          <w:rFonts w:ascii="Times New Roman" w:hAnsi="Times New Roman" w:cs="Times New Roman"/>
          <w:sz w:val="24"/>
        </w:rPr>
        <w:t xml:space="preserve"> (1857) 10 </w:t>
      </w:r>
      <w:r w:rsidR="00091677">
        <w:rPr>
          <w:rFonts w:ascii="Times New Roman" w:hAnsi="Times New Roman" w:cs="Times New Roman"/>
          <w:sz w:val="24"/>
        </w:rPr>
        <w:t>E</w:t>
      </w:r>
      <w:r>
        <w:rPr>
          <w:rFonts w:ascii="Times New Roman" w:hAnsi="Times New Roman" w:cs="Times New Roman"/>
          <w:sz w:val="24"/>
        </w:rPr>
        <w:t>R 1216 at 1234,</w:t>
      </w:r>
      <w:r w:rsidR="00F81A18">
        <w:rPr>
          <w:rFonts w:ascii="Times New Roman" w:hAnsi="Times New Roman" w:cs="Times New Roman"/>
          <w:sz w:val="24"/>
        </w:rPr>
        <w:t xml:space="preserve"> </w:t>
      </w:r>
      <w:r>
        <w:rPr>
          <w:rFonts w:ascii="Times New Roman" w:hAnsi="Times New Roman" w:cs="Times New Roman"/>
          <w:sz w:val="24"/>
        </w:rPr>
        <w:t>‘unless that would lead to some absurdity, or some repugnance or inconsistency with the rest of the instrument, in which case the grammatical and ordinary sense of the words may be modified so as to avoid that absurdity and inconsistency, but no further.’”</w:t>
      </w:r>
    </w:p>
    <w:p w:rsidR="00F81A18" w:rsidRDefault="00F81A18" w:rsidP="00F81A18">
      <w:pPr>
        <w:spacing w:line="240" w:lineRule="auto"/>
        <w:ind w:left="720"/>
        <w:contextualSpacing/>
        <w:rPr>
          <w:rFonts w:ascii="Times New Roman" w:hAnsi="Times New Roman" w:cs="Times New Roman"/>
          <w:sz w:val="24"/>
        </w:rPr>
      </w:pPr>
    </w:p>
    <w:p w:rsidR="00684F9B" w:rsidRDefault="00086A34" w:rsidP="00684F9B">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See also </w:t>
      </w:r>
      <w:proofErr w:type="spellStart"/>
      <w:r w:rsidRPr="00086A34">
        <w:rPr>
          <w:rFonts w:ascii="Times New Roman" w:hAnsi="Times New Roman" w:cs="Times New Roman"/>
          <w:i/>
          <w:sz w:val="24"/>
        </w:rPr>
        <w:t>Madoda</w:t>
      </w:r>
      <w:proofErr w:type="spellEnd"/>
      <w:r>
        <w:rPr>
          <w:rFonts w:ascii="Times New Roman" w:hAnsi="Times New Roman" w:cs="Times New Roman"/>
          <w:sz w:val="24"/>
        </w:rPr>
        <w:t xml:space="preserve"> v </w:t>
      </w:r>
      <w:proofErr w:type="spellStart"/>
      <w:r w:rsidRPr="00086A34">
        <w:rPr>
          <w:rFonts w:ascii="Times New Roman" w:hAnsi="Times New Roman" w:cs="Times New Roman"/>
          <w:i/>
          <w:sz w:val="24"/>
        </w:rPr>
        <w:t>T</w:t>
      </w:r>
      <w:r w:rsidR="00684F9B" w:rsidRPr="00086A34">
        <w:rPr>
          <w:rFonts w:ascii="Times New Roman" w:hAnsi="Times New Roman" w:cs="Times New Roman"/>
          <w:i/>
          <w:sz w:val="24"/>
        </w:rPr>
        <w:t>anganda</w:t>
      </w:r>
      <w:proofErr w:type="spellEnd"/>
      <w:r w:rsidR="00684F9B" w:rsidRPr="00086A34">
        <w:rPr>
          <w:rFonts w:ascii="Times New Roman" w:hAnsi="Times New Roman" w:cs="Times New Roman"/>
          <w:i/>
          <w:sz w:val="24"/>
        </w:rPr>
        <w:t xml:space="preserve"> Tea Company Ltd</w:t>
      </w:r>
      <w:r w:rsidR="00684F9B">
        <w:rPr>
          <w:rFonts w:ascii="Times New Roman" w:hAnsi="Times New Roman" w:cs="Times New Roman"/>
          <w:sz w:val="24"/>
        </w:rPr>
        <w:t xml:space="preserve"> 199</w:t>
      </w:r>
      <w:r>
        <w:rPr>
          <w:rFonts w:ascii="Times New Roman" w:hAnsi="Times New Roman" w:cs="Times New Roman"/>
          <w:sz w:val="24"/>
        </w:rPr>
        <w:t xml:space="preserve">9 (1) ZLR 374 (S); </w:t>
      </w:r>
      <w:r w:rsidRPr="00086A34">
        <w:rPr>
          <w:rFonts w:ascii="Times New Roman" w:hAnsi="Times New Roman" w:cs="Times New Roman"/>
          <w:i/>
          <w:sz w:val="24"/>
        </w:rPr>
        <w:t>S</w:t>
      </w:r>
      <w:r>
        <w:rPr>
          <w:rFonts w:ascii="Times New Roman" w:hAnsi="Times New Roman" w:cs="Times New Roman"/>
          <w:sz w:val="24"/>
        </w:rPr>
        <w:t xml:space="preserve"> v </w:t>
      </w:r>
      <w:r w:rsidRPr="00086A34">
        <w:rPr>
          <w:rFonts w:ascii="Times New Roman" w:hAnsi="Times New Roman" w:cs="Times New Roman"/>
          <w:i/>
          <w:sz w:val="24"/>
        </w:rPr>
        <w:t>Nottingha</w:t>
      </w:r>
      <w:r w:rsidR="00684F9B" w:rsidRPr="00086A34">
        <w:rPr>
          <w:rFonts w:ascii="Times New Roman" w:hAnsi="Times New Roman" w:cs="Times New Roman"/>
          <w:i/>
          <w:sz w:val="24"/>
        </w:rPr>
        <w:t>m Estates (</w:t>
      </w:r>
      <w:proofErr w:type="spellStart"/>
      <w:r w:rsidR="00684F9B" w:rsidRPr="00086A34">
        <w:rPr>
          <w:rFonts w:ascii="Times New Roman" w:hAnsi="Times New Roman" w:cs="Times New Roman"/>
          <w:i/>
          <w:sz w:val="24"/>
        </w:rPr>
        <w:t>Pvt</w:t>
      </w:r>
      <w:proofErr w:type="spellEnd"/>
      <w:r w:rsidR="00684F9B" w:rsidRPr="00086A34">
        <w:rPr>
          <w:rFonts w:ascii="Times New Roman" w:hAnsi="Times New Roman" w:cs="Times New Roman"/>
          <w:i/>
          <w:sz w:val="24"/>
        </w:rPr>
        <w:t>) Ltd</w:t>
      </w:r>
      <w:r w:rsidR="00684F9B">
        <w:rPr>
          <w:rFonts w:ascii="Times New Roman" w:hAnsi="Times New Roman" w:cs="Times New Roman"/>
          <w:sz w:val="24"/>
        </w:rPr>
        <w:t xml:space="preserve"> 1995 (1) ZLR 253 (S).</w:t>
      </w:r>
    </w:p>
    <w:p w:rsidR="00684F9B" w:rsidRDefault="00684F9B" w:rsidP="00684F9B">
      <w:pPr>
        <w:spacing w:line="360" w:lineRule="auto"/>
        <w:ind w:firstLine="720"/>
        <w:contextualSpacing/>
        <w:rPr>
          <w:rFonts w:ascii="Times New Roman" w:hAnsi="Times New Roman" w:cs="Times New Roman"/>
          <w:sz w:val="24"/>
        </w:rPr>
      </w:pPr>
      <w:r>
        <w:rPr>
          <w:rFonts w:ascii="Times New Roman" w:hAnsi="Times New Roman" w:cs="Times New Roman"/>
          <w:sz w:val="24"/>
        </w:rPr>
        <w:t>In my view there is no absurdity in s3 of the Environmental Management Act.  It makes it clear that its provisions are to be taken as additional to any other existing law which is not in conflict with it and wh</w:t>
      </w:r>
      <w:r w:rsidR="00086A34">
        <w:rPr>
          <w:rFonts w:ascii="Times New Roman" w:hAnsi="Times New Roman" w:cs="Times New Roman"/>
          <w:sz w:val="24"/>
        </w:rPr>
        <w:t>e</w:t>
      </w:r>
      <w:r>
        <w:rPr>
          <w:rFonts w:ascii="Times New Roman" w:hAnsi="Times New Roman" w:cs="Times New Roman"/>
          <w:sz w:val="24"/>
        </w:rPr>
        <w:t xml:space="preserve">re that law is in conflict with its provisions, it is the Act which shall prevail.  Accordingly </w:t>
      </w:r>
      <w:r w:rsidR="00086A34">
        <w:rPr>
          <w:rFonts w:ascii="Times New Roman" w:hAnsi="Times New Roman" w:cs="Times New Roman"/>
          <w:sz w:val="24"/>
        </w:rPr>
        <w:t>whatever</w:t>
      </w:r>
      <w:r>
        <w:rPr>
          <w:rFonts w:ascii="Times New Roman" w:hAnsi="Times New Roman" w:cs="Times New Roman"/>
          <w:sz w:val="24"/>
        </w:rPr>
        <w:t xml:space="preserve"> procedure for the grant of mining certificates, permits or </w:t>
      </w:r>
      <w:proofErr w:type="spellStart"/>
      <w:r>
        <w:rPr>
          <w:rFonts w:ascii="Times New Roman" w:hAnsi="Times New Roman" w:cs="Times New Roman"/>
          <w:sz w:val="24"/>
        </w:rPr>
        <w:t>licences</w:t>
      </w:r>
      <w:proofErr w:type="spellEnd"/>
      <w:r>
        <w:rPr>
          <w:rFonts w:ascii="Times New Roman" w:hAnsi="Times New Roman" w:cs="Times New Roman"/>
          <w:sz w:val="24"/>
        </w:rPr>
        <w:t xml:space="preserve"> set out in s45 (2) of the Mines and Minerals Act [Chapter 21:05] is supplemented by the provisions of the Environmental Management</w:t>
      </w:r>
      <w:r w:rsidR="00086A34">
        <w:rPr>
          <w:rFonts w:ascii="Times New Roman" w:hAnsi="Times New Roman" w:cs="Times New Roman"/>
          <w:sz w:val="24"/>
        </w:rPr>
        <w:t xml:space="preserve"> Act [Chapter 20:27].</w:t>
      </w:r>
    </w:p>
    <w:p w:rsidR="00086A34" w:rsidRDefault="00086A34" w:rsidP="00684F9B">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If the procedure contained in s45 (2) of the Mines and Minerals Act had been in conflict with the former, which happily it is not, still the former Act would override it to the extent of that conflict.  Clearly therefore the first </w:t>
      </w:r>
      <w:r w:rsidR="0027559B">
        <w:rPr>
          <w:rFonts w:ascii="Times New Roman" w:hAnsi="Times New Roman" w:cs="Times New Roman"/>
          <w:sz w:val="24"/>
        </w:rPr>
        <w:t xml:space="preserve">and second respondents are bound by whatever additional requirements for the issuance of mining certificates, permits or </w:t>
      </w:r>
      <w:proofErr w:type="spellStart"/>
      <w:r w:rsidR="0027559B">
        <w:rPr>
          <w:rFonts w:ascii="Times New Roman" w:hAnsi="Times New Roman" w:cs="Times New Roman"/>
          <w:sz w:val="24"/>
        </w:rPr>
        <w:t>licences</w:t>
      </w:r>
      <w:proofErr w:type="spellEnd"/>
      <w:r w:rsidR="0027559B">
        <w:rPr>
          <w:rFonts w:ascii="Times New Roman" w:hAnsi="Times New Roman" w:cs="Times New Roman"/>
          <w:sz w:val="24"/>
        </w:rPr>
        <w:t xml:space="preserve"> as are introduced by the Environmental Management Act.</w:t>
      </w:r>
    </w:p>
    <w:p w:rsidR="0027559B" w:rsidRDefault="00977946" w:rsidP="00977946">
      <w:pPr>
        <w:spacing w:line="360" w:lineRule="auto"/>
        <w:contextualSpacing/>
        <w:rPr>
          <w:rFonts w:ascii="Times New Roman" w:hAnsi="Times New Roman" w:cs="Times New Roman"/>
          <w:sz w:val="24"/>
        </w:rPr>
      </w:pPr>
      <w:r>
        <w:rPr>
          <w:rFonts w:ascii="Times New Roman" w:hAnsi="Times New Roman" w:cs="Times New Roman"/>
          <w:sz w:val="24"/>
        </w:rPr>
        <w:lastRenderedPageBreak/>
        <w:t xml:space="preserve">The question which then arises is whether the first and second respondents have complied with that Act in the manner they have been issuing authority to </w:t>
      </w:r>
      <w:proofErr w:type="gramStart"/>
      <w:r>
        <w:rPr>
          <w:rFonts w:ascii="Times New Roman" w:hAnsi="Times New Roman" w:cs="Times New Roman"/>
          <w:sz w:val="24"/>
        </w:rPr>
        <w:t>individuals</w:t>
      </w:r>
      <w:proofErr w:type="gramEnd"/>
      <w:r>
        <w:rPr>
          <w:rFonts w:ascii="Times New Roman" w:hAnsi="Times New Roman" w:cs="Times New Roman"/>
          <w:sz w:val="24"/>
        </w:rPr>
        <w:t xml:space="preserve"> intent on carrying out mining activities at </w:t>
      </w:r>
      <w:proofErr w:type="spellStart"/>
      <w:r>
        <w:rPr>
          <w:rFonts w:ascii="Times New Roman" w:hAnsi="Times New Roman" w:cs="Times New Roman"/>
          <w:sz w:val="24"/>
        </w:rPr>
        <w:t>Shangani</w:t>
      </w:r>
      <w:proofErr w:type="spellEnd"/>
      <w:r>
        <w:rPr>
          <w:rFonts w:ascii="Times New Roman" w:hAnsi="Times New Roman" w:cs="Times New Roman"/>
          <w:sz w:val="24"/>
        </w:rPr>
        <w:t xml:space="preserve"> Ranch.  In terms of s97 (1):</w:t>
      </w:r>
    </w:p>
    <w:p w:rsidR="00977946" w:rsidRDefault="00977946" w:rsidP="00F81A18">
      <w:pPr>
        <w:spacing w:line="240" w:lineRule="auto"/>
        <w:ind w:left="720"/>
        <w:contextualSpacing/>
        <w:rPr>
          <w:rFonts w:ascii="Times New Roman" w:hAnsi="Times New Roman" w:cs="Times New Roman"/>
          <w:sz w:val="24"/>
        </w:rPr>
      </w:pPr>
      <w:r>
        <w:rPr>
          <w:rFonts w:ascii="Times New Roman" w:hAnsi="Times New Roman" w:cs="Times New Roman"/>
          <w:sz w:val="24"/>
        </w:rPr>
        <w:t>“The projects listed in the First Schedule are projects which must not be implemented unless in each case, subject to this Part—</w:t>
      </w:r>
    </w:p>
    <w:p w:rsidR="00977946" w:rsidRDefault="00091677" w:rsidP="00F81A18">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w:t>
      </w:r>
      <w:r w:rsidR="00977946">
        <w:rPr>
          <w:rFonts w:ascii="Times New Roman" w:hAnsi="Times New Roman" w:cs="Times New Roman"/>
          <w:sz w:val="24"/>
        </w:rPr>
        <w:t>he Director-General has issued a certificate in respect of the project in terms of section one hundred, following the submission of an environmental impact assessment report in terms of section ninety-nine, and;</w:t>
      </w:r>
    </w:p>
    <w:p w:rsidR="00977946" w:rsidRDefault="00091677" w:rsidP="00F81A18">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w:t>
      </w:r>
      <w:r w:rsidR="00977946">
        <w:rPr>
          <w:rFonts w:ascii="Times New Roman" w:hAnsi="Times New Roman" w:cs="Times New Roman"/>
          <w:sz w:val="24"/>
        </w:rPr>
        <w:t>he certificate remains valid; and</w:t>
      </w:r>
    </w:p>
    <w:p w:rsidR="00977946" w:rsidRDefault="00091677" w:rsidP="00F81A18">
      <w:pPr>
        <w:pStyle w:val="ListParagraph"/>
        <w:numPr>
          <w:ilvl w:val="0"/>
          <w:numId w:val="1"/>
        </w:numPr>
        <w:spacing w:line="240" w:lineRule="auto"/>
        <w:rPr>
          <w:rFonts w:ascii="Times New Roman" w:hAnsi="Times New Roman" w:cs="Times New Roman"/>
          <w:sz w:val="24"/>
        </w:rPr>
      </w:pPr>
      <w:proofErr w:type="gramStart"/>
      <w:r>
        <w:rPr>
          <w:rFonts w:ascii="Times New Roman" w:hAnsi="Times New Roman" w:cs="Times New Roman"/>
          <w:sz w:val="24"/>
        </w:rPr>
        <w:t>a</w:t>
      </w:r>
      <w:r w:rsidR="00977946">
        <w:rPr>
          <w:rFonts w:ascii="Times New Roman" w:hAnsi="Times New Roman" w:cs="Times New Roman"/>
          <w:sz w:val="24"/>
        </w:rPr>
        <w:t>ny</w:t>
      </w:r>
      <w:proofErr w:type="gramEnd"/>
      <w:r w:rsidR="00977946">
        <w:rPr>
          <w:rFonts w:ascii="Times New Roman" w:hAnsi="Times New Roman" w:cs="Times New Roman"/>
          <w:sz w:val="24"/>
        </w:rPr>
        <w:t xml:space="preserve"> conditions imposed by the Director-General in regard to the issue of the certificate are complied with.”</w:t>
      </w:r>
    </w:p>
    <w:p w:rsidR="00977946" w:rsidRDefault="00977946" w:rsidP="00977946">
      <w:pPr>
        <w:spacing w:line="360" w:lineRule="auto"/>
        <w:ind w:firstLine="720"/>
        <w:contextualSpacing/>
        <w:rPr>
          <w:rFonts w:ascii="Times New Roman" w:hAnsi="Times New Roman" w:cs="Times New Roman"/>
          <w:sz w:val="24"/>
        </w:rPr>
      </w:pPr>
      <w:r>
        <w:rPr>
          <w:rFonts w:ascii="Times New Roman" w:hAnsi="Times New Roman" w:cs="Times New Roman"/>
          <w:sz w:val="24"/>
        </w:rPr>
        <w:t>Section 99 sets out what should be contained in the environmental impact assessment report including whether the environment is likely to be affected by the proposed project.  Section 100 provides for consideration of an environmental impact assessment report and the issuance of a certificate.</w:t>
      </w:r>
    </w:p>
    <w:p w:rsidR="00977946" w:rsidRDefault="00977946" w:rsidP="00977946">
      <w:pPr>
        <w:spacing w:line="360" w:lineRule="auto"/>
        <w:ind w:firstLine="720"/>
        <w:contextualSpacing/>
        <w:rPr>
          <w:rFonts w:ascii="Times New Roman" w:hAnsi="Times New Roman" w:cs="Times New Roman"/>
          <w:sz w:val="24"/>
        </w:rPr>
      </w:pPr>
      <w:r>
        <w:rPr>
          <w:rFonts w:ascii="Times New Roman" w:hAnsi="Times New Roman" w:cs="Times New Roman"/>
          <w:sz w:val="24"/>
        </w:rPr>
        <w:t>I must add that projects that require environmental impact assessment listed in the First Schedule applicable to s97 include item 7:</w:t>
      </w:r>
    </w:p>
    <w:p w:rsidR="00977946" w:rsidRDefault="00977946" w:rsidP="004D0E0E">
      <w:pPr>
        <w:spacing w:line="240" w:lineRule="auto"/>
        <w:ind w:firstLine="720"/>
        <w:contextualSpacing/>
        <w:rPr>
          <w:rFonts w:ascii="Times New Roman" w:hAnsi="Times New Roman" w:cs="Times New Roman"/>
          <w:sz w:val="24"/>
        </w:rPr>
      </w:pPr>
      <w:r>
        <w:rPr>
          <w:rFonts w:ascii="Times New Roman" w:hAnsi="Times New Roman" w:cs="Times New Roman"/>
          <w:sz w:val="24"/>
        </w:rPr>
        <w:t>“Mining and quarrying—</w:t>
      </w:r>
    </w:p>
    <w:p w:rsidR="00977946" w:rsidRDefault="00977946" w:rsidP="004D0E0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Mineral prospecting;</w:t>
      </w:r>
    </w:p>
    <w:p w:rsidR="00977946" w:rsidRDefault="00977946" w:rsidP="004D0E0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Mineral mining;</w:t>
      </w:r>
    </w:p>
    <w:p w:rsidR="00977946" w:rsidRDefault="00977946" w:rsidP="004D0E0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Ore processing and concentrating;</w:t>
      </w:r>
    </w:p>
    <w:p w:rsidR="00977946" w:rsidRDefault="004D0E0E" w:rsidP="004D0E0E">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Q</w:t>
      </w:r>
      <w:r w:rsidR="00977946">
        <w:rPr>
          <w:rFonts w:ascii="Times New Roman" w:hAnsi="Times New Roman" w:cs="Times New Roman"/>
          <w:sz w:val="24"/>
        </w:rPr>
        <w:t>uarr</w:t>
      </w:r>
      <w:r>
        <w:rPr>
          <w:rFonts w:ascii="Times New Roman" w:hAnsi="Times New Roman" w:cs="Times New Roman"/>
          <w:sz w:val="24"/>
        </w:rPr>
        <w:t>ying.”</w:t>
      </w:r>
    </w:p>
    <w:p w:rsidR="004D0E0E" w:rsidRDefault="004D0E0E" w:rsidP="004D0E0E">
      <w:pPr>
        <w:spacing w:line="360" w:lineRule="auto"/>
        <w:ind w:firstLine="720"/>
        <w:contextualSpacing/>
        <w:rPr>
          <w:rFonts w:ascii="Times New Roman" w:hAnsi="Times New Roman" w:cs="Times New Roman"/>
          <w:sz w:val="24"/>
        </w:rPr>
      </w:pPr>
      <w:proofErr w:type="spellStart"/>
      <w:r w:rsidRPr="004D0E0E">
        <w:rPr>
          <w:rFonts w:ascii="Times New Roman" w:hAnsi="Times New Roman" w:cs="Times New Roman"/>
          <w:i/>
          <w:sz w:val="24"/>
        </w:rPr>
        <w:t>Ms</w:t>
      </w:r>
      <w:proofErr w:type="spellEnd"/>
      <w:r w:rsidRPr="004D0E0E">
        <w:rPr>
          <w:rFonts w:ascii="Times New Roman" w:hAnsi="Times New Roman" w:cs="Times New Roman"/>
          <w:i/>
          <w:sz w:val="24"/>
        </w:rPr>
        <w:t xml:space="preserve"> Hove</w:t>
      </w:r>
      <w:r>
        <w:rPr>
          <w:rFonts w:ascii="Times New Roman" w:hAnsi="Times New Roman" w:cs="Times New Roman"/>
          <w:sz w:val="24"/>
        </w:rPr>
        <w:t xml:space="preserve"> was therefore wrong to say that the environmental impact assessment certificate is not a pre-requisite for the grant of a prospecting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or indeed a mining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The foregoing provisions clearly make it a requirement which the first and second respondents are enjoined to enforce.  They cannot limit the scope of an application made to them in terms of the Mines and Minerals Act </w:t>
      </w:r>
      <w:r w:rsidR="004033C1">
        <w:rPr>
          <w:rFonts w:ascii="Times New Roman" w:hAnsi="Times New Roman" w:cs="Times New Roman"/>
          <w:sz w:val="24"/>
        </w:rPr>
        <w:t xml:space="preserve">to the provisions of that Act </w:t>
      </w:r>
      <w:r>
        <w:rPr>
          <w:rFonts w:ascii="Times New Roman" w:hAnsi="Times New Roman" w:cs="Times New Roman"/>
          <w:sz w:val="24"/>
        </w:rPr>
        <w:t>only.  The other Act has added the pre-requisite of an environmental impact assessment certificate before mineral prospecting, mineral mining, ore processing and concentrating and indeed quarrying can be undertaken.</w:t>
      </w:r>
    </w:p>
    <w:p w:rsidR="004D0E0E" w:rsidRDefault="004D0E0E" w:rsidP="004D0E0E">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applicant has made out a case for the relief that it seeks.  It is a matter in which a </w:t>
      </w:r>
      <w:proofErr w:type="spellStart"/>
      <w:r>
        <w:rPr>
          <w:rFonts w:ascii="Times New Roman" w:hAnsi="Times New Roman" w:cs="Times New Roman"/>
          <w:sz w:val="24"/>
        </w:rPr>
        <w:t>declaratur</w:t>
      </w:r>
      <w:proofErr w:type="spellEnd"/>
      <w:r>
        <w:rPr>
          <w:rFonts w:ascii="Times New Roman" w:hAnsi="Times New Roman" w:cs="Times New Roman"/>
          <w:sz w:val="24"/>
        </w:rPr>
        <w:t xml:space="preserve"> should be granted.</w:t>
      </w:r>
    </w:p>
    <w:p w:rsidR="004D0E0E" w:rsidRDefault="004D0E0E" w:rsidP="004D0E0E">
      <w:pPr>
        <w:spacing w:line="360" w:lineRule="auto"/>
        <w:ind w:firstLine="720"/>
        <w:contextualSpacing/>
        <w:rPr>
          <w:rFonts w:ascii="Times New Roman" w:hAnsi="Times New Roman" w:cs="Times New Roman"/>
          <w:sz w:val="24"/>
        </w:rPr>
      </w:pPr>
      <w:r>
        <w:rPr>
          <w:rFonts w:ascii="Times New Roman" w:hAnsi="Times New Roman" w:cs="Times New Roman"/>
          <w:sz w:val="24"/>
        </w:rPr>
        <w:t>In the result, it is ordered that;</w:t>
      </w:r>
    </w:p>
    <w:p w:rsidR="004D0E0E" w:rsidRDefault="004D0E0E" w:rsidP="004D0E0E">
      <w:pPr>
        <w:spacing w:line="360" w:lineRule="auto"/>
        <w:ind w:left="720" w:hanging="720"/>
        <w:rPr>
          <w:rFonts w:ascii="Times New Roman" w:hAnsi="Times New Roman" w:cs="Times New Roman"/>
          <w:sz w:val="24"/>
        </w:rPr>
      </w:pPr>
      <w:r w:rsidRPr="004D0E0E">
        <w:rPr>
          <w:rFonts w:ascii="Times New Roman" w:hAnsi="Times New Roman" w:cs="Times New Roman"/>
          <w:sz w:val="24"/>
        </w:rPr>
        <w:lastRenderedPageBreak/>
        <w:t>1.</w:t>
      </w:r>
      <w:r>
        <w:rPr>
          <w:rFonts w:ascii="Times New Roman" w:hAnsi="Times New Roman" w:cs="Times New Roman"/>
          <w:sz w:val="24"/>
        </w:rPr>
        <w:tab/>
        <w:t>The 1</w:t>
      </w:r>
      <w:r w:rsidRPr="004D0E0E">
        <w:rPr>
          <w:rFonts w:ascii="Times New Roman" w:hAnsi="Times New Roman" w:cs="Times New Roman"/>
          <w:sz w:val="24"/>
          <w:vertAlign w:val="superscript"/>
        </w:rPr>
        <w:t>st</w:t>
      </w:r>
      <w:r w:rsidR="00646DEA">
        <w:rPr>
          <w:rFonts w:ascii="Times New Roman" w:hAnsi="Times New Roman" w:cs="Times New Roman"/>
          <w:sz w:val="24"/>
        </w:rPr>
        <w:t xml:space="preserve"> and the </w:t>
      </w:r>
      <w:r>
        <w:rPr>
          <w:rFonts w:ascii="Times New Roman" w:hAnsi="Times New Roman" w:cs="Times New Roman"/>
          <w:sz w:val="24"/>
        </w:rPr>
        <w:t>2</w:t>
      </w:r>
      <w:r w:rsidRPr="00646DEA">
        <w:rPr>
          <w:rFonts w:ascii="Times New Roman" w:hAnsi="Times New Roman" w:cs="Times New Roman"/>
          <w:sz w:val="24"/>
          <w:vertAlign w:val="superscript"/>
        </w:rPr>
        <w:t>nd</w:t>
      </w:r>
      <w:r w:rsidR="00646DEA">
        <w:rPr>
          <w:rFonts w:ascii="Times New Roman" w:hAnsi="Times New Roman" w:cs="Times New Roman"/>
          <w:sz w:val="24"/>
        </w:rPr>
        <w:t xml:space="preserve"> </w:t>
      </w:r>
      <w:r>
        <w:rPr>
          <w:rFonts w:ascii="Times New Roman" w:hAnsi="Times New Roman" w:cs="Times New Roman"/>
          <w:sz w:val="24"/>
        </w:rPr>
        <w:t xml:space="preserve">respondents, their agents, appointees or any persons acting in their place and stead shall not issue any mining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prospecting </w:t>
      </w:r>
      <w:proofErr w:type="spellStart"/>
      <w:r>
        <w:rPr>
          <w:rFonts w:ascii="Times New Roman" w:hAnsi="Times New Roman" w:cs="Times New Roman"/>
          <w:sz w:val="24"/>
        </w:rPr>
        <w:t>licence</w:t>
      </w:r>
      <w:proofErr w:type="spellEnd"/>
      <w:r>
        <w:rPr>
          <w:rFonts w:ascii="Times New Roman" w:hAnsi="Times New Roman" w:cs="Times New Roman"/>
          <w:sz w:val="24"/>
        </w:rPr>
        <w:t xml:space="preserve">, permit or certificate in terms of the Mines and Minerals Act [Chapter 21;)5] relating to any mining claim situate on </w:t>
      </w:r>
      <w:proofErr w:type="spellStart"/>
      <w:r>
        <w:rPr>
          <w:rFonts w:ascii="Times New Roman" w:hAnsi="Times New Roman" w:cs="Times New Roman"/>
          <w:sz w:val="24"/>
        </w:rPr>
        <w:t>Shangani</w:t>
      </w:r>
      <w:proofErr w:type="spellEnd"/>
      <w:r>
        <w:rPr>
          <w:rFonts w:ascii="Times New Roman" w:hAnsi="Times New Roman" w:cs="Times New Roman"/>
          <w:sz w:val="24"/>
        </w:rPr>
        <w:t xml:space="preserve"> Ranch, </w:t>
      </w:r>
      <w:proofErr w:type="spellStart"/>
      <w:r>
        <w:rPr>
          <w:rFonts w:ascii="Times New Roman" w:hAnsi="Times New Roman" w:cs="Times New Roman"/>
          <w:sz w:val="24"/>
        </w:rPr>
        <w:t>Insiza</w:t>
      </w:r>
      <w:proofErr w:type="spellEnd"/>
      <w:r>
        <w:rPr>
          <w:rFonts w:ascii="Times New Roman" w:hAnsi="Times New Roman" w:cs="Times New Roman"/>
          <w:sz w:val="24"/>
        </w:rPr>
        <w:t xml:space="preserve"> District, Matabeleland South Province, unless an Environmental Impact Assessment Certificate in respect of such clai</w:t>
      </w:r>
      <w:r w:rsidR="00646DEA">
        <w:rPr>
          <w:rFonts w:ascii="Times New Roman" w:hAnsi="Times New Roman" w:cs="Times New Roman"/>
          <w:sz w:val="24"/>
        </w:rPr>
        <w:t>m has first been issued by the E</w:t>
      </w:r>
      <w:r>
        <w:rPr>
          <w:rFonts w:ascii="Times New Roman" w:hAnsi="Times New Roman" w:cs="Times New Roman"/>
          <w:sz w:val="24"/>
        </w:rPr>
        <w:t>nvironmental Management Agency in terms of s97 of the environmental management Act [Chapter 20:27].</w:t>
      </w:r>
    </w:p>
    <w:p w:rsidR="004D0E0E" w:rsidRDefault="004D0E0E" w:rsidP="004D0E0E">
      <w:pPr>
        <w:spacing w:line="360" w:lineRule="auto"/>
        <w:ind w:left="720" w:hanging="72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Any mining </w:t>
      </w:r>
      <w:proofErr w:type="spellStart"/>
      <w:r>
        <w:rPr>
          <w:rFonts w:ascii="Times New Roman" w:hAnsi="Times New Roman" w:cs="Times New Roman"/>
          <w:sz w:val="24"/>
        </w:rPr>
        <w:t>licences</w:t>
      </w:r>
      <w:proofErr w:type="spellEnd"/>
      <w:r>
        <w:rPr>
          <w:rFonts w:ascii="Times New Roman" w:hAnsi="Times New Roman" w:cs="Times New Roman"/>
          <w:sz w:val="24"/>
        </w:rPr>
        <w:t>, permits or certificates to be issued in respect of such claims by the 1</w:t>
      </w:r>
      <w:r w:rsidRPr="004D0E0E">
        <w:rPr>
          <w:rFonts w:ascii="Times New Roman" w:hAnsi="Times New Roman" w:cs="Times New Roman"/>
          <w:sz w:val="24"/>
          <w:vertAlign w:val="superscript"/>
        </w:rPr>
        <w:t>st</w:t>
      </w:r>
      <w:r>
        <w:rPr>
          <w:rFonts w:ascii="Times New Roman" w:hAnsi="Times New Roman" w:cs="Times New Roman"/>
          <w:sz w:val="24"/>
        </w:rPr>
        <w:t xml:space="preserve"> and 2</w:t>
      </w:r>
      <w:r w:rsidRPr="004D0E0E">
        <w:rPr>
          <w:rFonts w:ascii="Times New Roman" w:hAnsi="Times New Roman" w:cs="Times New Roman"/>
          <w:sz w:val="24"/>
          <w:vertAlign w:val="superscript"/>
        </w:rPr>
        <w:t>nd</w:t>
      </w:r>
      <w:r>
        <w:rPr>
          <w:rFonts w:ascii="Times New Roman" w:hAnsi="Times New Roman" w:cs="Times New Roman"/>
          <w:sz w:val="24"/>
        </w:rPr>
        <w:t xml:space="preserve"> responden</w:t>
      </w:r>
      <w:r w:rsidR="00646DEA">
        <w:rPr>
          <w:rFonts w:ascii="Times New Roman" w:hAnsi="Times New Roman" w:cs="Times New Roman"/>
          <w:sz w:val="24"/>
        </w:rPr>
        <w:t>ts without an E</w:t>
      </w:r>
      <w:r>
        <w:rPr>
          <w:rFonts w:ascii="Times New Roman" w:hAnsi="Times New Roman" w:cs="Times New Roman"/>
          <w:sz w:val="24"/>
        </w:rPr>
        <w:t>nvironmental Impact Assessment Certificate having first been issued shall be null and void and of no force and effect.</w:t>
      </w:r>
    </w:p>
    <w:p w:rsidR="004D0E0E" w:rsidRDefault="004D0E0E" w:rsidP="004D0E0E">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There is no order as to costs.</w:t>
      </w:r>
    </w:p>
    <w:p w:rsidR="004D0E0E" w:rsidRDefault="004D0E0E" w:rsidP="004D0E0E">
      <w:pPr>
        <w:spacing w:line="360" w:lineRule="auto"/>
        <w:rPr>
          <w:rFonts w:ascii="Times New Roman" w:hAnsi="Times New Roman" w:cs="Times New Roman"/>
          <w:sz w:val="24"/>
        </w:rPr>
      </w:pPr>
    </w:p>
    <w:p w:rsidR="004D0E0E" w:rsidRDefault="004D0E0E" w:rsidP="004D0E0E">
      <w:pPr>
        <w:spacing w:line="360" w:lineRule="auto"/>
        <w:rPr>
          <w:rFonts w:ascii="Times New Roman" w:hAnsi="Times New Roman" w:cs="Times New Roman"/>
          <w:sz w:val="24"/>
        </w:rPr>
      </w:pPr>
    </w:p>
    <w:p w:rsidR="004D0E0E" w:rsidRDefault="004D0E0E" w:rsidP="004D0E0E">
      <w:pPr>
        <w:spacing w:line="240" w:lineRule="auto"/>
        <w:contextualSpacing/>
        <w:rPr>
          <w:rFonts w:ascii="Times New Roman" w:hAnsi="Times New Roman" w:cs="Times New Roman"/>
          <w:sz w:val="24"/>
        </w:rPr>
      </w:pPr>
      <w:proofErr w:type="spellStart"/>
      <w:r w:rsidRPr="004D0E0E">
        <w:rPr>
          <w:rFonts w:ascii="Times New Roman" w:hAnsi="Times New Roman" w:cs="Times New Roman"/>
          <w:i/>
          <w:sz w:val="24"/>
        </w:rPr>
        <w:t>Jumo</w:t>
      </w:r>
      <w:proofErr w:type="spellEnd"/>
      <w:r w:rsidRPr="004D0E0E">
        <w:rPr>
          <w:rFonts w:ascii="Times New Roman" w:hAnsi="Times New Roman" w:cs="Times New Roman"/>
          <w:i/>
          <w:sz w:val="24"/>
        </w:rPr>
        <w:t xml:space="preserve"> </w:t>
      </w:r>
      <w:proofErr w:type="spellStart"/>
      <w:r w:rsidRPr="004D0E0E">
        <w:rPr>
          <w:rFonts w:ascii="Times New Roman" w:hAnsi="Times New Roman" w:cs="Times New Roman"/>
          <w:i/>
          <w:sz w:val="24"/>
        </w:rPr>
        <w:t>Mashoko</w:t>
      </w:r>
      <w:proofErr w:type="spellEnd"/>
      <w:r w:rsidRPr="004D0E0E">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4D0E0E" w:rsidRPr="004D0E0E" w:rsidRDefault="004D0E0E" w:rsidP="004D0E0E">
      <w:pPr>
        <w:spacing w:line="240" w:lineRule="auto"/>
        <w:contextualSpacing/>
        <w:rPr>
          <w:rFonts w:ascii="Times New Roman" w:hAnsi="Times New Roman" w:cs="Times New Roman"/>
          <w:sz w:val="24"/>
        </w:rPr>
      </w:pPr>
      <w:r w:rsidRPr="004D0E0E">
        <w:rPr>
          <w:rFonts w:ascii="Times New Roman" w:hAnsi="Times New Roman" w:cs="Times New Roman"/>
          <w:i/>
          <w:sz w:val="24"/>
        </w:rPr>
        <w:t>Civil Division, Attorney General’s Office</w:t>
      </w:r>
      <w:r>
        <w:rPr>
          <w:rFonts w:ascii="Times New Roman" w:hAnsi="Times New Roman" w:cs="Times New Roman"/>
          <w:sz w:val="24"/>
        </w:rPr>
        <w:t>, respondents’ legal practitioners</w:t>
      </w:r>
    </w:p>
    <w:p w:rsidR="004D0E0E" w:rsidRPr="004D0E0E" w:rsidRDefault="004D0E0E" w:rsidP="004D0E0E">
      <w:pPr>
        <w:spacing w:line="360" w:lineRule="auto"/>
        <w:ind w:left="720"/>
        <w:rPr>
          <w:rFonts w:ascii="Times New Roman" w:hAnsi="Times New Roman" w:cs="Times New Roman"/>
          <w:sz w:val="24"/>
        </w:rPr>
      </w:pPr>
    </w:p>
    <w:p w:rsidR="00977946" w:rsidRPr="00977946" w:rsidRDefault="00977946" w:rsidP="00977946">
      <w:pPr>
        <w:spacing w:line="360" w:lineRule="auto"/>
        <w:ind w:left="720"/>
        <w:rPr>
          <w:rFonts w:ascii="Times New Roman" w:hAnsi="Times New Roman" w:cs="Times New Roman"/>
          <w:sz w:val="24"/>
        </w:rPr>
      </w:pPr>
    </w:p>
    <w:p w:rsidR="00977946" w:rsidRDefault="00977946" w:rsidP="00977946">
      <w:pPr>
        <w:spacing w:line="360" w:lineRule="auto"/>
        <w:contextualSpacing/>
        <w:rPr>
          <w:rFonts w:ascii="Times New Roman" w:hAnsi="Times New Roman" w:cs="Times New Roman"/>
          <w:sz w:val="24"/>
        </w:rPr>
      </w:pPr>
      <w:r>
        <w:rPr>
          <w:rFonts w:ascii="Times New Roman" w:hAnsi="Times New Roman" w:cs="Times New Roman"/>
          <w:sz w:val="24"/>
        </w:rPr>
        <w:tab/>
      </w:r>
    </w:p>
    <w:p w:rsidR="0027559B" w:rsidRDefault="0027559B" w:rsidP="00684F9B">
      <w:pPr>
        <w:spacing w:line="360" w:lineRule="auto"/>
        <w:ind w:firstLine="720"/>
        <w:contextualSpacing/>
        <w:rPr>
          <w:rFonts w:ascii="Times New Roman" w:hAnsi="Times New Roman" w:cs="Times New Roman"/>
          <w:sz w:val="24"/>
        </w:rPr>
      </w:pPr>
    </w:p>
    <w:p w:rsidR="00684F9B" w:rsidRDefault="00684F9B" w:rsidP="008D571D">
      <w:pPr>
        <w:spacing w:line="360" w:lineRule="auto"/>
        <w:contextualSpacing/>
        <w:rPr>
          <w:rFonts w:ascii="Times New Roman" w:hAnsi="Times New Roman" w:cs="Times New Roman"/>
          <w:sz w:val="24"/>
        </w:rPr>
      </w:pPr>
    </w:p>
    <w:p w:rsidR="00684F9B" w:rsidRDefault="00684F9B" w:rsidP="008D571D">
      <w:pPr>
        <w:spacing w:line="360" w:lineRule="auto"/>
        <w:contextualSpacing/>
        <w:rPr>
          <w:rFonts w:ascii="Times New Roman" w:hAnsi="Times New Roman" w:cs="Times New Roman"/>
          <w:sz w:val="24"/>
        </w:rPr>
      </w:pPr>
    </w:p>
    <w:p w:rsidR="003D64F5" w:rsidRDefault="003D64F5" w:rsidP="008D571D">
      <w:pPr>
        <w:spacing w:line="360" w:lineRule="auto"/>
        <w:contextualSpacing/>
        <w:rPr>
          <w:rFonts w:ascii="Times New Roman" w:hAnsi="Times New Roman" w:cs="Times New Roman"/>
          <w:sz w:val="24"/>
        </w:rPr>
      </w:pPr>
    </w:p>
    <w:p w:rsidR="003D40FD" w:rsidRDefault="00AE3B23" w:rsidP="008D571D">
      <w:pPr>
        <w:spacing w:line="360" w:lineRule="auto"/>
        <w:contextualSpacing/>
        <w:rPr>
          <w:rFonts w:ascii="Times New Roman" w:hAnsi="Times New Roman" w:cs="Times New Roman"/>
          <w:sz w:val="24"/>
        </w:rPr>
      </w:pPr>
      <w:r>
        <w:rPr>
          <w:rFonts w:ascii="Times New Roman" w:hAnsi="Times New Roman" w:cs="Times New Roman"/>
          <w:sz w:val="24"/>
        </w:rPr>
        <w:t xml:space="preserve"> </w:t>
      </w:r>
    </w:p>
    <w:p w:rsidR="003D40FD" w:rsidRDefault="003D40FD" w:rsidP="008D571D">
      <w:pPr>
        <w:spacing w:line="360" w:lineRule="auto"/>
        <w:contextualSpacing/>
        <w:rPr>
          <w:rFonts w:ascii="Times New Roman" w:hAnsi="Times New Roman" w:cs="Times New Roman"/>
          <w:sz w:val="24"/>
        </w:rPr>
      </w:pPr>
    </w:p>
    <w:p w:rsidR="00EC60D3" w:rsidRDefault="00EC60D3" w:rsidP="008D571D">
      <w:pPr>
        <w:spacing w:line="360" w:lineRule="auto"/>
        <w:contextualSpacing/>
        <w:rPr>
          <w:rFonts w:ascii="Times New Roman" w:hAnsi="Times New Roman" w:cs="Times New Roman"/>
          <w:sz w:val="24"/>
        </w:rPr>
      </w:pPr>
    </w:p>
    <w:p w:rsidR="000F004A" w:rsidRDefault="000F004A" w:rsidP="008D571D">
      <w:pPr>
        <w:spacing w:line="360" w:lineRule="auto"/>
        <w:contextualSpacing/>
        <w:rPr>
          <w:rFonts w:ascii="Times New Roman" w:hAnsi="Times New Roman" w:cs="Times New Roman"/>
          <w:sz w:val="24"/>
        </w:rPr>
      </w:pPr>
    </w:p>
    <w:p w:rsidR="00F30466" w:rsidRDefault="00F30466" w:rsidP="008D571D">
      <w:pPr>
        <w:spacing w:line="360" w:lineRule="auto"/>
        <w:contextualSpacing/>
        <w:rPr>
          <w:rFonts w:ascii="Times New Roman" w:hAnsi="Times New Roman" w:cs="Times New Roman"/>
          <w:sz w:val="24"/>
        </w:rPr>
      </w:pPr>
      <w:bookmarkStart w:id="0" w:name="_GoBack"/>
      <w:bookmarkEnd w:id="0"/>
    </w:p>
    <w:sectPr w:rsidR="00F304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A7" w:rsidRDefault="00315EA7" w:rsidP="007A330D">
      <w:pPr>
        <w:spacing w:after="0" w:line="240" w:lineRule="auto"/>
      </w:pPr>
      <w:r>
        <w:separator/>
      </w:r>
    </w:p>
  </w:endnote>
  <w:endnote w:type="continuationSeparator" w:id="0">
    <w:p w:rsidR="00315EA7" w:rsidRDefault="00315EA7" w:rsidP="007A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A7" w:rsidRDefault="00315EA7" w:rsidP="007A330D">
      <w:pPr>
        <w:spacing w:after="0" w:line="240" w:lineRule="auto"/>
      </w:pPr>
      <w:r>
        <w:separator/>
      </w:r>
    </w:p>
  </w:footnote>
  <w:footnote w:type="continuationSeparator" w:id="0">
    <w:p w:rsidR="00315EA7" w:rsidRDefault="00315EA7" w:rsidP="007A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99649"/>
      <w:docPartObj>
        <w:docPartGallery w:val="Page Numbers (Top of Page)"/>
        <w:docPartUnique/>
      </w:docPartObj>
    </w:sdtPr>
    <w:sdtEndPr>
      <w:rPr>
        <w:noProof/>
      </w:rPr>
    </w:sdtEndPr>
    <w:sdtContent>
      <w:p w:rsidR="004D0E0E" w:rsidRDefault="004D0E0E">
        <w:pPr>
          <w:pStyle w:val="Header"/>
          <w:jc w:val="right"/>
        </w:pPr>
        <w:r>
          <w:fldChar w:fldCharType="begin"/>
        </w:r>
        <w:r>
          <w:instrText xml:space="preserve"> PAGE   \* MERGEFORMAT </w:instrText>
        </w:r>
        <w:r>
          <w:fldChar w:fldCharType="separate"/>
        </w:r>
        <w:r w:rsidR="00D175FA">
          <w:rPr>
            <w:noProof/>
          </w:rPr>
          <w:t>7</w:t>
        </w:r>
        <w:r>
          <w:rPr>
            <w:noProof/>
          </w:rPr>
          <w:fldChar w:fldCharType="end"/>
        </w:r>
      </w:p>
    </w:sdtContent>
  </w:sdt>
  <w:p w:rsidR="004D0E0E" w:rsidRDefault="004D0E0E">
    <w:pPr>
      <w:pStyle w:val="Header"/>
    </w:pPr>
  </w:p>
  <w:p w:rsidR="004D0E0E" w:rsidRDefault="004D0E0E">
    <w:pPr>
      <w:pStyle w:val="Header"/>
    </w:pPr>
    <w:r>
      <w:tab/>
    </w:r>
    <w:r>
      <w:tab/>
      <w:t>HB 11-17</w:t>
    </w:r>
  </w:p>
  <w:p w:rsidR="004D0E0E" w:rsidRDefault="004D0E0E">
    <w:pPr>
      <w:pStyle w:val="Header"/>
    </w:pPr>
    <w:r>
      <w:tab/>
    </w:r>
    <w:r>
      <w:tab/>
      <w:t>HC 538-16</w:t>
    </w:r>
  </w:p>
  <w:p w:rsidR="004D0E0E" w:rsidRDefault="004D0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3B7"/>
    <w:multiLevelType w:val="hybridMultilevel"/>
    <w:tmpl w:val="ECB8E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01680"/>
    <w:multiLevelType w:val="hybridMultilevel"/>
    <w:tmpl w:val="867008F4"/>
    <w:lvl w:ilvl="0" w:tplc="1C06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E1683"/>
    <w:multiLevelType w:val="hybridMultilevel"/>
    <w:tmpl w:val="DBE0A54E"/>
    <w:lvl w:ilvl="0" w:tplc="89B0B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0D"/>
    <w:rsid w:val="00020A9A"/>
    <w:rsid w:val="00043E0A"/>
    <w:rsid w:val="00086A34"/>
    <w:rsid w:val="00091677"/>
    <w:rsid w:val="00092186"/>
    <w:rsid w:val="000D77AC"/>
    <w:rsid w:val="000F004A"/>
    <w:rsid w:val="0027559B"/>
    <w:rsid w:val="002A7328"/>
    <w:rsid w:val="002D2414"/>
    <w:rsid w:val="002D7259"/>
    <w:rsid w:val="00315EA7"/>
    <w:rsid w:val="00391C2B"/>
    <w:rsid w:val="003D07EC"/>
    <w:rsid w:val="003D40FD"/>
    <w:rsid w:val="003D64F5"/>
    <w:rsid w:val="004033C1"/>
    <w:rsid w:val="00482F6C"/>
    <w:rsid w:val="004D0E0E"/>
    <w:rsid w:val="005369FA"/>
    <w:rsid w:val="00550B40"/>
    <w:rsid w:val="00550D71"/>
    <w:rsid w:val="00646DEA"/>
    <w:rsid w:val="00684F9B"/>
    <w:rsid w:val="007A330D"/>
    <w:rsid w:val="00834CE6"/>
    <w:rsid w:val="008D571D"/>
    <w:rsid w:val="0093306C"/>
    <w:rsid w:val="00977946"/>
    <w:rsid w:val="009F4C80"/>
    <w:rsid w:val="00A72489"/>
    <w:rsid w:val="00AE3B23"/>
    <w:rsid w:val="00B47737"/>
    <w:rsid w:val="00C90769"/>
    <w:rsid w:val="00CD05A6"/>
    <w:rsid w:val="00CF0088"/>
    <w:rsid w:val="00D175FA"/>
    <w:rsid w:val="00DD73C5"/>
    <w:rsid w:val="00EB58F2"/>
    <w:rsid w:val="00EC3889"/>
    <w:rsid w:val="00EC60D3"/>
    <w:rsid w:val="00F30466"/>
    <w:rsid w:val="00F8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0D"/>
  </w:style>
  <w:style w:type="paragraph" w:styleId="ListParagraph">
    <w:name w:val="List Paragraph"/>
    <w:basedOn w:val="Normal"/>
    <w:uiPriority w:val="34"/>
    <w:qFormat/>
    <w:rsid w:val="00977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0D"/>
  </w:style>
  <w:style w:type="paragraph" w:styleId="ListParagraph">
    <w:name w:val="List Paragraph"/>
    <w:basedOn w:val="Normal"/>
    <w:uiPriority w:val="34"/>
    <w:qFormat/>
    <w:rsid w:val="00977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27</cp:revision>
  <cp:lastPrinted>2017-01-20T15:01:00Z</cp:lastPrinted>
  <dcterms:created xsi:type="dcterms:W3CDTF">2017-01-20T12:17:00Z</dcterms:created>
  <dcterms:modified xsi:type="dcterms:W3CDTF">2017-01-20T15:06:00Z</dcterms:modified>
</cp:coreProperties>
</file>