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4C" w:rsidRPr="00586115" w:rsidRDefault="00AC454C" w:rsidP="00F058E3">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 xml:space="preserve">                                                                                                                 </w:t>
      </w:r>
    </w:p>
    <w:p w:rsidR="00AC454C" w:rsidRPr="00586115" w:rsidRDefault="00AC454C" w:rsidP="00865B38">
      <w:pPr>
        <w:spacing w:after="0" w:line="240" w:lineRule="auto"/>
        <w:jc w:val="both"/>
        <w:rPr>
          <w:rFonts w:ascii="Times New Roman" w:hAnsi="Times New Roman"/>
          <w:sz w:val="24"/>
          <w:szCs w:val="24"/>
        </w:rPr>
      </w:pPr>
    </w:p>
    <w:p w:rsidR="00AC454C" w:rsidRDefault="006E29AB" w:rsidP="00865B38">
      <w:pPr>
        <w:spacing w:after="0" w:line="240" w:lineRule="auto"/>
        <w:jc w:val="both"/>
        <w:rPr>
          <w:rFonts w:ascii="Times New Roman" w:hAnsi="Times New Roman"/>
          <w:sz w:val="24"/>
          <w:szCs w:val="24"/>
        </w:rPr>
      </w:pPr>
      <w:r>
        <w:rPr>
          <w:rFonts w:ascii="Times New Roman" w:hAnsi="Times New Roman"/>
          <w:sz w:val="24"/>
          <w:szCs w:val="24"/>
        </w:rPr>
        <w:t>PROSECUTOR GEN</w:t>
      </w:r>
      <w:r w:rsidR="00DC69F4">
        <w:rPr>
          <w:rFonts w:ascii="Times New Roman" w:hAnsi="Times New Roman"/>
          <w:sz w:val="24"/>
          <w:szCs w:val="24"/>
        </w:rPr>
        <w:t>E</w:t>
      </w:r>
      <w:r>
        <w:rPr>
          <w:rFonts w:ascii="Times New Roman" w:hAnsi="Times New Roman"/>
          <w:sz w:val="24"/>
          <w:szCs w:val="24"/>
        </w:rPr>
        <w:t>RAL OF ZIMBABWE</w:t>
      </w:r>
    </w:p>
    <w:p w:rsidR="00AC454C" w:rsidRDefault="008A0AA3" w:rsidP="00865B38">
      <w:pPr>
        <w:spacing w:after="0" w:line="240" w:lineRule="auto"/>
        <w:jc w:val="both"/>
        <w:rPr>
          <w:rFonts w:ascii="Times New Roman" w:hAnsi="Times New Roman"/>
          <w:sz w:val="24"/>
          <w:szCs w:val="24"/>
        </w:rPr>
      </w:pPr>
      <w:proofErr w:type="gramStart"/>
      <w:r>
        <w:rPr>
          <w:rFonts w:ascii="Times New Roman" w:hAnsi="Times New Roman"/>
          <w:sz w:val="24"/>
          <w:szCs w:val="24"/>
        </w:rPr>
        <w:t>versus</w:t>
      </w:r>
      <w:proofErr w:type="gramEnd"/>
    </w:p>
    <w:p w:rsidR="00AC454C" w:rsidRDefault="006E29AB" w:rsidP="00865B38">
      <w:pPr>
        <w:spacing w:after="0" w:line="240" w:lineRule="auto"/>
        <w:jc w:val="both"/>
        <w:rPr>
          <w:rFonts w:ascii="Times New Roman" w:hAnsi="Times New Roman"/>
          <w:sz w:val="24"/>
          <w:szCs w:val="24"/>
        </w:rPr>
      </w:pPr>
      <w:r>
        <w:rPr>
          <w:rFonts w:ascii="Times New Roman" w:hAnsi="Times New Roman"/>
          <w:sz w:val="24"/>
          <w:szCs w:val="24"/>
        </w:rPr>
        <w:t>DOUGLAS TOGARASEI MWONZORA</w:t>
      </w:r>
    </w:p>
    <w:p w:rsidR="006E29AB" w:rsidRDefault="00DC69F4" w:rsidP="00865B38">
      <w:pPr>
        <w:spacing w:after="0" w:line="240" w:lineRule="auto"/>
        <w:jc w:val="both"/>
        <w:rPr>
          <w:rFonts w:ascii="Times New Roman" w:hAnsi="Times New Roman"/>
          <w:sz w:val="24"/>
          <w:szCs w:val="24"/>
        </w:rPr>
      </w:pPr>
      <w:proofErr w:type="gramStart"/>
      <w:r>
        <w:rPr>
          <w:rFonts w:ascii="Times New Roman" w:hAnsi="Times New Roman"/>
          <w:sz w:val="24"/>
          <w:szCs w:val="24"/>
        </w:rPr>
        <w:t>and</w:t>
      </w:r>
      <w:proofErr w:type="gramEnd"/>
    </w:p>
    <w:p w:rsidR="006E29AB" w:rsidRPr="00586115" w:rsidRDefault="00DC69F4" w:rsidP="00865B38">
      <w:pPr>
        <w:spacing w:after="0" w:line="240" w:lineRule="auto"/>
        <w:jc w:val="both"/>
        <w:rPr>
          <w:rFonts w:ascii="Times New Roman" w:hAnsi="Times New Roman"/>
          <w:sz w:val="24"/>
          <w:szCs w:val="24"/>
        </w:rPr>
      </w:pPr>
      <w:r>
        <w:rPr>
          <w:rFonts w:ascii="Times New Roman" w:hAnsi="Times New Roman"/>
          <w:sz w:val="24"/>
          <w:szCs w:val="24"/>
        </w:rPr>
        <w:t>MR A MASAWI N.O</w:t>
      </w:r>
    </w:p>
    <w:p w:rsidR="00F058E3" w:rsidRDefault="00F058E3" w:rsidP="00865B38">
      <w:pPr>
        <w:spacing w:after="0" w:line="240" w:lineRule="auto"/>
        <w:jc w:val="both"/>
        <w:rPr>
          <w:rFonts w:ascii="Times New Roman" w:hAnsi="Times New Roman"/>
          <w:sz w:val="24"/>
          <w:szCs w:val="24"/>
        </w:rPr>
      </w:pPr>
    </w:p>
    <w:p w:rsidR="00F058E3" w:rsidRDefault="00F058E3" w:rsidP="00865B38">
      <w:pPr>
        <w:spacing w:after="0" w:line="240" w:lineRule="auto"/>
        <w:jc w:val="both"/>
        <w:rPr>
          <w:rFonts w:ascii="Times New Roman" w:hAnsi="Times New Roman"/>
          <w:sz w:val="24"/>
          <w:szCs w:val="24"/>
        </w:rPr>
      </w:pPr>
    </w:p>
    <w:p w:rsidR="00F058E3" w:rsidRDefault="00F058E3" w:rsidP="00865B38">
      <w:pPr>
        <w:spacing w:after="0" w:line="240" w:lineRule="auto"/>
        <w:jc w:val="both"/>
        <w:rPr>
          <w:rFonts w:ascii="Times New Roman" w:hAnsi="Times New Roman"/>
          <w:sz w:val="24"/>
          <w:szCs w:val="24"/>
        </w:rPr>
      </w:pPr>
    </w:p>
    <w:p w:rsidR="00AC454C" w:rsidRPr="00586115" w:rsidRDefault="00AC454C" w:rsidP="00865B38">
      <w:pPr>
        <w:spacing w:after="0" w:line="240" w:lineRule="auto"/>
        <w:jc w:val="both"/>
        <w:rPr>
          <w:rFonts w:ascii="Times New Roman" w:hAnsi="Times New Roman"/>
          <w:sz w:val="24"/>
          <w:szCs w:val="24"/>
        </w:rPr>
      </w:pPr>
      <w:r w:rsidRPr="00586115">
        <w:rPr>
          <w:rFonts w:ascii="Times New Roman" w:hAnsi="Times New Roman"/>
          <w:sz w:val="24"/>
          <w:szCs w:val="24"/>
        </w:rPr>
        <w:t>HIGH COURT OF ZIMBABWE</w:t>
      </w:r>
    </w:p>
    <w:p w:rsidR="00AC454C" w:rsidRPr="00586115" w:rsidRDefault="008A0AA3" w:rsidP="00865B38">
      <w:pPr>
        <w:spacing w:after="0" w:line="240" w:lineRule="auto"/>
        <w:jc w:val="both"/>
        <w:rPr>
          <w:rFonts w:ascii="Times New Roman" w:hAnsi="Times New Roman"/>
          <w:sz w:val="24"/>
          <w:szCs w:val="24"/>
        </w:rPr>
      </w:pPr>
      <w:r>
        <w:rPr>
          <w:rFonts w:ascii="Times New Roman" w:hAnsi="Times New Roman"/>
          <w:sz w:val="24"/>
          <w:szCs w:val="24"/>
        </w:rPr>
        <w:t>MAWADZE</w:t>
      </w:r>
      <w:r w:rsidR="00AC454C" w:rsidRPr="00586115">
        <w:rPr>
          <w:rFonts w:ascii="Times New Roman" w:hAnsi="Times New Roman"/>
          <w:sz w:val="24"/>
          <w:szCs w:val="24"/>
        </w:rPr>
        <w:t xml:space="preserve"> J</w:t>
      </w:r>
    </w:p>
    <w:p w:rsidR="00AC454C" w:rsidRDefault="00AC454C" w:rsidP="00865B38">
      <w:pPr>
        <w:spacing w:after="0" w:line="240" w:lineRule="auto"/>
        <w:jc w:val="both"/>
        <w:rPr>
          <w:rFonts w:ascii="Times New Roman" w:hAnsi="Times New Roman"/>
          <w:sz w:val="24"/>
          <w:szCs w:val="24"/>
        </w:rPr>
      </w:pPr>
      <w:r>
        <w:rPr>
          <w:rFonts w:ascii="Times New Roman" w:hAnsi="Times New Roman"/>
          <w:sz w:val="24"/>
          <w:szCs w:val="24"/>
        </w:rPr>
        <w:t xml:space="preserve">HARARE, </w:t>
      </w:r>
      <w:r w:rsidR="00CB07E5">
        <w:rPr>
          <w:rFonts w:ascii="Times New Roman" w:hAnsi="Times New Roman"/>
          <w:sz w:val="24"/>
          <w:szCs w:val="24"/>
        </w:rPr>
        <w:t>3 October 2014 and</w:t>
      </w:r>
      <w:r w:rsidR="00CA4756">
        <w:rPr>
          <w:rFonts w:ascii="Times New Roman" w:hAnsi="Times New Roman"/>
          <w:sz w:val="24"/>
          <w:szCs w:val="24"/>
        </w:rPr>
        <w:t xml:space="preserve"> 25</w:t>
      </w:r>
      <w:r w:rsidR="00CB07E5">
        <w:rPr>
          <w:rFonts w:ascii="Times New Roman" w:hAnsi="Times New Roman"/>
          <w:sz w:val="24"/>
          <w:szCs w:val="24"/>
        </w:rPr>
        <w:t xml:space="preserve"> February 2015</w:t>
      </w:r>
    </w:p>
    <w:p w:rsidR="008A0AA3" w:rsidRDefault="008A0AA3" w:rsidP="00865B38">
      <w:pPr>
        <w:spacing w:after="0" w:line="240" w:lineRule="auto"/>
        <w:jc w:val="both"/>
        <w:rPr>
          <w:rFonts w:ascii="Times New Roman" w:hAnsi="Times New Roman"/>
          <w:sz w:val="24"/>
          <w:szCs w:val="24"/>
        </w:rPr>
      </w:pPr>
    </w:p>
    <w:p w:rsidR="008A0AA3" w:rsidRDefault="008A0AA3" w:rsidP="00865B38">
      <w:pPr>
        <w:spacing w:after="0" w:line="240" w:lineRule="auto"/>
        <w:jc w:val="both"/>
        <w:rPr>
          <w:rFonts w:ascii="Times New Roman" w:hAnsi="Times New Roman"/>
          <w:sz w:val="24"/>
          <w:szCs w:val="24"/>
        </w:rPr>
      </w:pPr>
    </w:p>
    <w:p w:rsidR="008A0AA3" w:rsidRDefault="008A0AA3" w:rsidP="00865B38">
      <w:pPr>
        <w:spacing w:after="0" w:line="240" w:lineRule="auto"/>
        <w:jc w:val="both"/>
        <w:rPr>
          <w:rFonts w:ascii="Times New Roman" w:hAnsi="Times New Roman"/>
          <w:sz w:val="24"/>
          <w:szCs w:val="24"/>
        </w:rPr>
      </w:pPr>
    </w:p>
    <w:p w:rsidR="00AC454C" w:rsidRDefault="00DC69F4" w:rsidP="00865B38">
      <w:pPr>
        <w:spacing w:after="0" w:line="240" w:lineRule="auto"/>
        <w:jc w:val="both"/>
        <w:rPr>
          <w:rFonts w:ascii="Times New Roman" w:hAnsi="Times New Roman"/>
          <w:b/>
          <w:sz w:val="24"/>
          <w:szCs w:val="24"/>
        </w:rPr>
      </w:pPr>
      <w:r>
        <w:rPr>
          <w:rFonts w:ascii="Times New Roman" w:hAnsi="Times New Roman"/>
          <w:b/>
          <w:sz w:val="24"/>
          <w:szCs w:val="24"/>
        </w:rPr>
        <w:t>Opposed Application</w:t>
      </w:r>
    </w:p>
    <w:p w:rsidR="008A0AA3" w:rsidRDefault="008A0AA3" w:rsidP="00865B38">
      <w:pPr>
        <w:spacing w:after="0" w:line="240" w:lineRule="auto"/>
        <w:jc w:val="both"/>
        <w:rPr>
          <w:rFonts w:ascii="Times New Roman" w:hAnsi="Times New Roman"/>
          <w:b/>
          <w:sz w:val="24"/>
          <w:szCs w:val="24"/>
        </w:rPr>
      </w:pPr>
    </w:p>
    <w:p w:rsidR="008A0AA3" w:rsidRDefault="008A0AA3" w:rsidP="00865B38">
      <w:pPr>
        <w:spacing w:after="0" w:line="240" w:lineRule="auto"/>
        <w:jc w:val="both"/>
        <w:rPr>
          <w:rFonts w:ascii="Times New Roman" w:hAnsi="Times New Roman"/>
          <w:b/>
          <w:sz w:val="24"/>
          <w:szCs w:val="24"/>
        </w:rPr>
      </w:pPr>
    </w:p>
    <w:p w:rsidR="008A0AA3" w:rsidRDefault="008A0AA3" w:rsidP="00865B38">
      <w:pPr>
        <w:spacing w:after="0" w:line="240" w:lineRule="auto"/>
        <w:jc w:val="both"/>
        <w:rPr>
          <w:rFonts w:ascii="Times New Roman" w:hAnsi="Times New Roman"/>
          <w:b/>
          <w:sz w:val="24"/>
          <w:szCs w:val="24"/>
        </w:rPr>
      </w:pPr>
    </w:p>
    <w:p w:rsidR="008A0AA3" w:rsidRDefault="00B86307" w:rsidP="00865B38">
      <w:pPr>
        <w:spacing w:after="0" w:line="240" w:lineRule="auto"/>
        <w:jc w:val="both"/>
        <w:rPr>
          <w:rFonts w:ascii="Times New Roman" w:hAnsi="Times New Roman"/>
          <w:i/>
          <w:sz w:val="24"/>
          <w:szCs w:val="24"/>
        </w:rPr>
      </w:pPr>
      <w:r>
        <w:rPr>
          <w:rFonts w:ascii="Times New Roman" w:hAnsi="Times New Roman"/>
          <w:i/>
          <w:sz w:val="24"/>
          <w:szCs w:val="24"/>
        </w:rPr>
        <w:t>E</w:t>
      </w:r>
      <w:r w:rsidR="00DC69F4">
        <w:rPr>
          <w:rFonts w:ascii="Times New Roman" w:hAnsi="Times New Roman"/>
          <w:i/>
          <w:sz w:val="24"/>
          <w:szCs w:val="24"/>
        </w:rPr>
        <w:t xml:space="preserve"> Makoto, </w:t>
      </w:r>
      <w:r w:rsidR="00DC69F4" w:rsidRPr="00DC69F4">
        <w:rPr>
          <w:rFonts w:ascii="Times New Roman" w:hAnsi="Times New Roman"/>
          <w:sz w:val="24"/>
          <w:szCs w:val="24"/>
        </w:rPr>
        <w:t>for the applicant</w:t>
      </w:r>
    </w:p>
    <w:p w:rsidR="00DC69F4" w:rsidRDefault="00B86307" w:rsidP="00865B38">
      <w:pPr>
        <w:spacing w:after="0" w:line="240" w:lineRule="auto"/>
        <w:jc w:val="both"/>
        <w:rPr>
          <w:rFonts w:ascii="Times New Roman" w:hAnsi="Times New Roman"/>
          <w:i/>
          <w:sz w:val="24"/>
          <w:szCs w:val="24"/>
        </w:rPr>
      </w:pPr>
      <w:r>
        <w:rPr>
          <w:rFonts w:ascii="Times New Roman" w:hAnsi="Times New Roman"/>
          <w:i/>
          <w:sz w:val="24"/>
          <w:szCs w:val="24"/>
        </w:rPr>
        <w:t>T</w:t>
      </w:r>
      <w:r w:rsidR="00DC69F4">
        <w:rPr>
          <w:rFonts w:ascii="Times New Roman" w:hAnsi="Times New Roman"/>
          <w:i/>
          <w:sz w:val="24"/>
          <w:szCs w:val="24"/>
        </w:rPr>
        <w:t xml:space="preserve"> </w:t>
      </w:r>
      <w:proofErr w:type="spellStart"/>
      <w:r w:rsidR="00DC69F4">
        <w:rPr>
          <w:rFonts w:ascii="Times New Roman" w:hAnsi="Times New Roman"/>
          <w:i/>
          <w:sz w:val="24"/>
          <w:szCs w:val="24"/>
        </w:rPr>
        <w:t>Maanda</w:t>
      </w:r>
      <w:proofErr w:type="spellEnd"/>
      <w:r w:rsidR="00DC69F4">
        <w:rPr>
          <w:rFonts w:ascii="Times New Roman" w:hAnsi="Times New Roman"/>
          <w:i/>
          <w:sz w:val="24"/>
          <w:szCs w:val="24"/>
        </w:rPr>
        <w:t xml:space="preserve">, </w:t>
      </w:r>
      <w:r w:rsidR="00DC69F4" w:rsidRPr="00DC69F4">
        <w:rPr>
          <w:rFonts w:ascii="Times New Roman" w:hAnsi="Times New Roman"/>
          <w:sz w:val="24"/>
          <w:szCs w:val="24"/>
        </w:rPr>
        <w:t>for 1</w:t>
      </w:r>
      <w:r w:rsidR="00DC69F4" w:rsidRPr="00DC69F4">
        <w:rPr>
          <w:rFonts w:ascii="Times New Roman" w:hAnsi="Times New Roman"/>
          <w:sz w:val="24"/>
          <w:szCs w:val="24"/>
          <w:vertAlign w:val="superscript"/>
        </w:rPr>
        <w:t>st</w:t>
      </w:r>
      <w:r w:rsidR="00DC69F4" w:rsidRPr="00DC69F4">
        <w:rPr>
          <w:rFonts w:ascii="Times New Roman" w:hAnsi="Times New Roman"/>
          <w:sz w:val="24"/>
          <w:szCs w:val="24"/>
        </w:rPr>
        <w:t xml:space="preserve"> respondent</w:t>
      </w:r>
    </w:p>
    <w:p w:rsidR="00DC69F4" w:rsidRPr="00DC69F4" w:rsidRDefault="00DC69F4" w:rsidP="00865B38">
      <w:pPr>
        <w:spacing w:after="0" w:line="240" w:lineRule="auto"/>
        <w:jc w:val="both"/>
        <w:rPr>
          <w:rFonts w:ascii="Times New Roman" w:hAnsi="Times New Roman"/>
          <w:sz w:val="24"/>
          <w:szCs w:val="24"/>
        </w:rPr>
      </w:pPr>
      <w:r w:rsidRPr="00DC69F4">
        <w:rPr>
          <w:rFonts w:ascii="Times New Roman" w:hAnsi="Times New Roman"/>
          <w:sz w:val="24"/>
          <w:szCs w:val="24"/>
        </w:rPr>
        <w:t>No appearance for 2</w:t>
      </w:r>
      <w:r w:rsidRPr="00DC69F4">
        <w:rPr>
          <w:rFonts w:ascii="Times New Roman" w:hAnsi="Times New Roman"/>
          <w:sz w:val="24"/>
          <w:szCs w:val="24"/>
          <w:vertAlign w:val="superscript"/>
        </w:rPr>
        <w:t>nd</w:t>
      </w:r>
      <w:r w:rsidRPr="00DC69F4">
        <w:rPr>
          <w:rFonts w:ascii="Times New Roman" w:hAnsi="Times New Roman"/>
          <w:sz w:val="24"/>
          <w:szCs w:val="24"/>
        </w:rPr>
        <w:t xml:space="preserve"> respondent</w:t>
      </w:r>
    </w:p>
    <w:p w:rsidR="008A0AA3" w:rsidRDefault="008A0AA3" w:rsidP="00865B38">
      <w:pPr>
        <w:spacing w:after="0" w:line="240" w:lineRule="auto"/>
        <w:jc w:val="both"/>
        <w:rPr>
          <w:rFonts w:ascii="Times New Roman" w:hAnsi="Times New Roman"/>
          <w:sz w:val="24"/>
          <w:szCs w:val="24"/>
        </w:rPr>
      </w:pPr>
    </w:p>
    <w:p w:rsidR="008A0AA3" w:rsidRDefault="008A0AA3" w:rsidP="00865B38">
      <w:pPr>
        <w:spacing w:after="0" w:line="240" w:lineRule="auto"/>
        <w:jc w:val="both"/>
        <w:rPr>
          <w:rFonts w:ascii="Times New Roman" w:hAnsi="Times New Roman"/>
          <w:sz w:val="24"/>
          <w:szCs w:val="24"/>
        </w:rPr>
      </w:pPr>
    </w:p>
    <w:p w:rsidR="00BB4FDA" w:rsidRDefault="008A0AA3" w:rsidP="00DC69F4">
      <w:pPr>
        <w:spacing w:after="0" w:line="360" w:lineRule="auto"/>
        <w:jc w:val="both"/>
        <w:rPr>
          <w:rFonts w:ascii="Times New Roman" w:hAnsi="Times New Roman"/>
          <w:sz w:val="24"/>
          <w:szCs w:val="24"/>
        </w:rPr>
      </w:pPr>
      <w:r>
        <w:rPr>
          <w:rFonts w:ascii="Times New Roman" w:hAnsi="Times New Roman"/>
          <w:sz w:val="24"/>
          <w:szCs w:val="24"/>
        </w:rPr>
        <w:tab/>
      </w:r>
      <w:r w:rsidR="00DD64DE">
        <w:rPr>
          <w:rFonts w:ascii="Times New Roman" w:hAnsi="Times New Roman"/>
          <w:sz w:val="24"/>
          <w:szCs w:val="24"/>
        </w:rPr>
        <w:t>MAWADZE J: This is an</w:t>
      </w:r>
      <w:r w:rsidR="00352BF1">
        <w:rPr>
          <w:rFonts w:ascii="Times New Roman" w:hAnsi="Times New Roman"/>
          <w:sz w:val="24"/>
          <w:szCs w:val="24"/>
        </w:rPr>
        <w:t xml:space="preserve"> application for leave to appeal</w:t>
      </w:r>
      <w:r w:rsidR="00DD64DE">
        <w:rPr>
          <w:rFonts w:ascii="Times New Roman" w:hAnsi="Times New Roman"/>
          <w:sz w:val="24"/>
          <w:szCs w:val="24"/>
        </w:rPr>
        <w:t xml:space="preserve"> against the first </w:t>
      </w:r>
      <w:r w:rsidR="004E29DD">
        <w:rPr>
          <w:rFonts w:ascii="Times New Roman" w:hAnsi="Times New Roman"/>
          <w:sz w:val="24"/>
          <w:szCs w:val="24"/>
        </w:rPr>
        <w:t>respondent’s acquittal</w:t>
      </w:r>
      <w:r w:rsidR="00C439A2">
        <w:rPr>
          <w:rFonts w:ascii="Times New Roman" w:hAnsi="Times New Roman"/>
          <w:sz w:val="24"/>
          <w:szCs w:val="24"/>
        </w:rPr>
        <w:t xml:space="preserve"> </w:t>
      </w:r>
      <w:r w:rsidR="00DD64DE">
        <w:rPr>
          <w:rFonts w:ascii="Times New Roman" w:hAnsi="Times New Roman"/>
          <w:sz w:val="24"/>
          <w:szCs w:val="24"/>
        </w:rPr>
        <w:t xml:space="preserve">in terms </w:t>
      </w:r>
      <w:r w:rsidR="004E29DD">
        <w:rPr>
          <w:rFonts w:ascii="Times New Roman" w:hAnsi="Times New Roman"/>
          <w:sz w:val="24"/>
          <w:szCs w:val="24"/>
        </w:rPr>
        <w:t>of s 61</w:t>
      </w:r>
      <w:r w:rsidR="00DD64DE">
        <w:rPr>
          <w:rFonts w:ascii="Times New Roman" w:hAnsi="Times New Roman"/>
          <w:sz w:val="24"/>
          <w:szCs w:val="24"/>
        </w:rPr>
        <w:t xml:space="preserve"> of the Magistrates Court Act [</w:t>
      </w:r>
      <w:r w:rsidR="00DD64DE" w:rsidRPr="00D7298F">
        <w:rPr>
          <w:rFonts w:ascii="Times New Roman" w:hAnsi="Times New Roman"/>
          <w:i/>
          <w:sz w:val="24"/>
          <w:szCs w:val="24"/>
        </w:rPr>
        <w:t>C</w:t>
      </w:r>
      <w:r w:rsidR="00757E97" w:rsidRPr="00D7298F">
        <w:rPr>
          <w:rFonts w:ascii="Times New Roman" w:hAnsi="Times New Roman"/>
          <w:i/>
          <w:sz w:val="24"/>
          <w:szCs w:val="24"/>
        </w:rPr>
        <w:t>hapter</w:t>
      </w:r>
      <w:r w:rsidR="00DD64DE" w:rsidRPr="00D7298F">
        <w:rPr>
          <w:rFonts w:ascii="Times New Roman" w:hAnsi="Times New Roman"/>
          <w:i/>
          <w:sz w:val="24"/>
          <w:szCs w:val="24"/>
        </w:rPr>
        <w:t xml:space="preserve"> 7:10</w:t>
      </w:r>
      <w:r w:rsidR="00DD64DE">
        <w:rPr>
          <w:rFonts w:ascii="Times New Roman" w:hAnsi="Times New Roman"/>
          <w:sz w:val="24"/>
          <w:szCs w:val="24"/>
        </w:rPr>
        <w:t>].</w:t>
      </w:r>
      <w:r w:rsidR="00E61210">
        <w:rPr>
          <w:rFonts w:ascii="Times New Roman" w:hAnsi="Times New Roman"/>
          <w:sz w:val="24"/>
          <w:szCs w:val="24"/>
        </w:rPr>
        <w:t xml:space="preserve"> </w:t>
      </w:r>
    </w:p>
    <w:p w:rsidR="004718AE" w:rsidRDefault="00DD64DE" w:rsidP="00DC69F4">
      <w:pPr>
        <w:spacing w:after="0" w:line="360" w:lineRule="auto"/>
        <w:jc w:val="both"/>
        <w:rPr>
          <w:rFonts w:ascii="Times New Roman" w:hAnsi="Times New Roman"/>
          <w:sz w:val="24"/>
          <w:szCs w:val="24"/>
        </w:rPr>
      </w:pPr>
      <w:r>
        <w:rPr>
          <w:rFonts w:ascii="Times New Roman" w:hAnsi="Times New Roman"/>
          <w:sz w:val="24"/>
          <w:szCs w:val="24"/>
        </w:rPr>
        <w:tab/>
        <w:t>The applicant is the Prosecutor General of Zimbabwe</w:t>
      </w:r>
      <w:r w:rsidR="004718AE">
        <w:rPr>
          <w:rFonts w:ascii="Times New Roman" w:hAnsi="Times New Roman"/>
          <w:sz w:val="24"/>
          <w:szCs w:val="24"/>
        </w:rPr>
        <w:t xml:space="preserve">. </w:t>
      </w:r>
    </w:p>
    <w:p w:rsidR="00DD64DE" w:rsidRDefault="004718AE" w:rsidP="00DC69F4">
      <w:pPr>
        <w:spacing w:after="0" w:line="360" w:lineRule="auto"/>
        <w:jc w:val="both"/>
        <w:rPr>
          <w:rFonts w:ascii="Times New Roman" w:hAnsi="Times New Roman"/>
          <w:sz w:val="24"/>
          <w:szCs w:val="24"/>
        </w:rPr>
      </w:pPr>
      <w:r>
        <w:rPr>
          <w:rFonts w:ascii="Times New Roman" w:hAnsi="Times New Roman"/>
          <w:sz w:val="24"/>
          <w:szCs w:val="24"/>
        </w:rPr>
        <w:tab/>
        <w:t xml:space="preserve">The first respondent is Douglas </w:t>
      </w:r>
      <w:proofErr w:type="spellStart"/>
      <w:r>
        <w:rPr>
          <w:rFonts w:ascii="Times New Roman" w:hAnsi="Times New Roman"/>
          <w:sz w:val="24"/>
          <w:szCs w:val="24"/>
        </w:rPr>
        <w:t>Toga</w:t>
      </w:r>
      <w:r w:rsidR="000E0707">
        <w:rPr>
          <w:rFonts w:ascii="Times New Roman" w:hAnsi="Times New Roman"/>
          <w:sz w:val="24"/>
          <w:szCs w:val="24"/>
        </w:rPr>
        <w:t>ra</w:t>
      </w:r>
      <w:r>
        <w:rPr>
          <w:rFonts w:ascii="Times New Roman" w:hAnsi="Times New Roman"/>
          <w:sz w:val="24"/>
          <w:szCs w:val="24"/>
        </w:rPr>
        <w:t>sei</w:t>
      </w:r>
      <w:proofErr w:type="spellEnd"/>
      <w:r>
        <w:rPr>
          <w:rFonts w:ascii="Times New Roman" w:hAnsi="Times New Roman"/>
          <w:sz w:val="24"/>
          <w:szCs w:val="24"/>
        </w:rPr>
        <w:t xml:space="preserve"> </w:t>
      </w:r>
      <w:proofErr w:type="spellStart"/>
      <w:r>
        <w:rPr>
          <w:rFonts w:ascii="Times New Roman" w:hAnsi="Times New Roman"/>
          <w:sz w:val="24"/>
          <w:szCs w:val="24"/>
        </w:rPr>
        <w:t>Mwonzora</w:t>
      </w:r>
      <w:proofErr w:type="spellEnd"/>
    </w:p>
    <w:p w:rsidR="004718AE" w:rsidRDefault="004718AE" w:rsidP="00DC69F4">
      <w:pPr>
        <w:spacing w:after="0" w:line="360" w:lineRule="auto"/>
        <w:jc w:val="both"/>
        <w:rPr>
          <w:rFonts w:ascii="Times New Roman" w:hAnsi="Times New Roman"/>
          <w:i/>
          <w:sz w:val="24"/>
          <w:szCs w:val="24"/>
        </w:rPr>
      </w:pPr>
      <w:r>
        <w:rPr>
          <w:rFonts w:ascii="Times New Roman" w:hAnsi="Times New Roman"/>
          <w:sz w:val="24"/>
          <w:szCs w:val="24"/>
        </w:rPr>
        <w:tab/>
        <w:t xml:space="preserve">The third respondent </w:t>
      </w:r>
      <w:proofErr w:type="spellStart"/>
      <w:r>
        <w:rPr>
          <w:rFonts w:ascii="Times New Roman" w:hAnsi="Times New Roman"/>
          <w:sz w:val="24"/>
          <w:szCs w:val="24"/>
        </w:rPr>
        <w:t>Mr</w:t>
      </w:r>
      <w:proofErr w:type="spellEnd"/>
      <w:r>
        <w:rPr>
          <w:rFonts w:ascii="Times New Roman" w:hAnsi="Times New Roman"/>
          <w:sz w:val="24"/>
          <w:szCs w:val="24"/>
        </w:rPr>
        <w:t xml:space="preserve"> A. </w:t>
      </w:r>
      <w:proofErr w:type="spellStart"/>
      <w:r>
        <w:rPr>
          <w:rFonts w:ascii="Times New Roman" w:hAnsi="Times New Roman"/>
          <w:sz w:val="24"/>
          <w:szCs w:val="24"/>
        </w:rPr>
        <w:t>Masawi</w:t>
      </w:r>
      <w:proofErr w:type="spellEnd"/>
      <w:r>
        <w:rPr>
          <w:rFonts w:ascii="Times New Roman" w:hAnsi="Times New Roman"/>
          <w:sz w:val="24"/>
          <w:szCs w:val="24"/>
        </w:rPr>
        <w:t xml:space="preserve"> is a magistrate employed by the Judicial Service Commission at Harare Magistrates Court and is cited </w:t>
      </w:r>
      <w:proofErr w:type="spellStart"/>
      <w:r w:rsidRPr="004718AE">
        <w:rPr>
          <w:rFonts w:ascii="Times New Roman" w:hAnsi="Times New Roman"/>
          <w:i/>
          <w:sz w:val="24"/>
          <w:szCs w:val="24"/>
        </w:rPr>
        <w:t>nominus</w:t>
      </w:r>
      <w:proofErr w:type="spellEnd"/>
      <w:r w:rsidRPr="004718AE">
        <w:rPr>
          <w:rFonts w:ascii="Times New Roman" w:hAnsi="Times New Roman"/>
          <w:i/>
          <w:sz w:val="24"/>
          <w:szCs w:val="24"/>
        </w:rPr>
        <w:t xml:space="preserve"> </w:t>
      </w:r>
      <w:proofErr w:type="spellStart"/>
      <w:r w:rsidRPr="004718AE">
        <w:rPr>
          <w:rFonts w:ascii="Times New Roman" w:hAnsi="Times New Roman"/>
          <w:i/>
          <w:sz w:val="24"/>
          <w:szCs w:val="24"/>
        </w:rPr>
        <w:t>officiae</w:t>
      </w:r>
      <w:proofErr w:type="spellEnd"/>
      <w:r>
        <w:rPr>
          <w:rFonts w:ascii="Times New Roman" w:hAnsi="Times New Roman"/>
          <w:i/>
          <w:sz w:val="24"/>
          <w:szCs w:val="24"/>
        </w:rPr>
        <w:t>.</w:t>
      </w:r>
    </w:p>
    <w:p w:rsidR="004718AE" w:rsidRDefault="004718AE" w:rsidP="00DC69F4">
      <w:pPr>
        <w:spacing w:after="0" w:line="36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The applicant seeks to be granted leave to appeal against the acquittal of the first respondent by the second respondent si</w:t>
      </w:r>
      <w:r w:rsidR="00352BF1">
        <w:rPr>
          <w:rFonts w:ascii="Times New Roman" w:hAnsi="Times New Roman"/>
          <w:sz w:val="24"/>
          <w:szCs w:val="24"/>
        </w:rPr>
        <w:t>t</w:t>
      </w:r>
      <w:r>
        <w:rPr>
          <w:rFonts w:ascii="Times New Roman" w:hAnsi="Times New Roman"/>
          <w:sz w:val="24"/>
          <w:szCs w:val="24"/>
        </w:rPr>
        <w:t>ting at Harare on 16 February 2014 in a criminal case CRB R123/12. The application is opposed.</w:t>
      </w:r>
    </w:p>
    <w:p w:rsidR="004718AE" w:rsidRDefault="004718AE" w:rsidP="00DC69F4">
      <w:pPr>
        <w:spacing w:after="0" w:line="360" w:lineRule="auto"/>
        <w:jc w:val="both"/>
        <w:rPr>
          <w:rFonts w:ascii="Times New Roman" w:hAnsi="Times New Roman"/>
          <w:sz w:val="24"/>
          <w:szCs w:val="24"/>
        </w:rPr>
      </w:pPr>
      <w:r>
        <w:rPr>
          <w:rFonts w:ascii="Times New Roman" w:hAnsi="Times New Roman"/>
          <w:sz w:val="24"/>
          <w:szCs w:val="24"/>
        </w:rPr>
        <w:tab/>
        <w:t>The background facts to the application are as follows.</w:t>
      </w:r>
    </w:p>
    <w:p w:rsidR="004718AE" w:rsidRDefault="004718AE" w:rsidP="00DC69F4">
      <w:pPr>
        <w:spacing w:after="0" w:line="360" w:lineRule="auto"/>
        <w:jc w:val="both"/>
        <w:rPr>
          <w:rFonts w:ascii="Times New Roman" w:hAnsi="Times New Roman"/>
          <w:sz w:val="24"/>
          <w:szCs w:val="24"/>
        </w:rPr>
      </w:pPr>
      <w:r>
        <w:rPr>
          <w:rFonts w:ascii="Times New Roman" w:hAnsi="Times New Roman"/>
          <w:sz w:val="24"/>
          <w:szCs w:val="24"/>
        </w:rPr>
        <w:tab/>
        <w:t xml:space="preserve">On 16 January 2014 the first respondent </w:t>
      </w:r>
      <w:r w:rsidR="00883063">
        <w:rPr>
          <w:rFonts w:ascii="Times New Roman" w:hAnsi="Times New Roman"/>
          <w:sz w:val="24"/>
          <w:szCs w:val="24"/>
        </w:rPr>
        <w:t xml:space="preserve">was arraigned for trial </w:t>
      </w:r>
      <w:r w:rsidR="00352BF1">
        <w:rPr>
          <w:rFonts w:ascii="Times New Roman" w:hAnsi="Times New Roman"/>
          <w:sz w:val="24"/>
          <w:szCs w:val="24"/>
        </w:rPr>
        <w:t>in</w:t>
      </w:r>
      <w:r w:rsidR="00883063">
        <w:rPr>
          <w:rFonts w:ascii="Times New Roman" w:hAnsi="Times New Roman"/>
          <w:sz w:val="24"/>
          <w:szCs w:val="24"/>
        </w:rPr>
        <w:t xml:space="preserve"> the Magistrates C</w:t>
      </w:r>
      <w:r>
        <w:rPr>
          <w:rFonts w:ascii="Times New Roman" w:hAnsi="Times New Roman"/>
          <w:sz w:val="24"/>
          <w:szCs w:val="24"/>
        </w:rPr>
        <w:t xml:space="preserve">ourt </w:t>
      </w:r>
      <w:r w:rsidR="00352BF1">
        <w:rPr>
          <w:rFonts w:ascii="Times New Roman" w:hAnsi="Times New Roman"/>
          <w:sz w:val="24"/>
          <w:szCs w:val="24"/>
        </w:rPr>
        <w:t>sitting</w:t>
      </w:r>
      <w:r>
        <w:rPr>
          <w:rFonts w:ascii="Times New Roman" w:hAnsi="Times New Roman"/>
          <w:sz w:val="24"/>
          <w:szCs w:val="24"/>
        </w:rPr>
        <w:t xml:space="preserve"> at Harare facing two counts of theft of trust property as defined in s 113 of the criminal code [</w:t>
      </w:r>
      <w:r w:rsidR="00A22447">
        <w:rPr>
          <w:rFonts w:ascii="Times New Roman" w:hAnsi="Times New Roman"/>
          <w:i/>
          <w:sz w:val="24"/>
          <w:szCs w:val="24"/>
        </w:rPr>
        <w:t>Chapter</w:t>
      </w:r>
      <w:r>
        <w:rPr>
          <w:rFonts w:ascii="Times New Roman" w:hAnsi="Times New Roman"/>
          <w:sz w:val="24"/>
          <w:szCs w:val="24"/>
        </w:rPr>
        <w:t xml:space="preserve"> </w:t>
      </w:r>
      <w:r w:rsidRPr="00A22447">
        <w:rPr>
          <w:rFonts w:ascii="Times New Roman" w:hAnsi="Times New Roman"/>
          <w:i/>
          <w:sz w:val="24"/>
          <w:szCs w:val="24"/>
        </w:rPr>
        <w:t>9:23</w:t>
      </w:r>
      <w:r>
        <w:rPr>
          <w:rFonts w:ascii="Times New Roman" w:hAnsi="Times New Roman"/>
          <w:sz w:val="24"/>
          <w:szCs w:val="24"/>
        </w:rPr>
        <w:t>].</w:t>
      </w:r>
    </w:p>
    <w:p w:rsidR="009271B4" w:rsidRDefault="009271B4" w:rsidP="00DC69F4">
      <w:pPr>
        <w:spacing w:after="0" w:line="360" w:lineRule="auto"/>
        <w:jc w:val="both"/>
        <w:rPr>
          <w:rFonts w:ascii="Times New Roman" w:hAnsi="Times New Roman"/>
          <w:sz w:val="24"/>
          <w:szCs w:val="24"/>
        </w:rPr>
      </w:pPr>
    </w:p>
    <w:p w:rsidR="009271B4" w:rsidRDefault="009271B4" w:rsidP="00DC69F4">
      <w:pPr>
        <w:spacing w:after="0" w:line="360" w:lineRule="auto"/>
        <w:jc w:val="both"/>
        <w:rPr>
          <w:rFonts w:ascii="Times New Roman" w:hAnsi="Times New Roman"/>
          <w:sz w:val="24"/>
          <w:szCs w:val="24"/>
        </w:rPr>
      </w:pPr>
    </w:p>
    <w:p w:rsidR="004718AE" w:rsidRDefault="004718AE" w:rsidP="00DC69F4">
      <w:pPr>
        <w:spacing w:after="0" w:line="360" w:lineRule="auto"/>
        <w:jc w:val="both"/>
        <w:rPr>
          <w:rFonts w:ascii="Times New Roman" w:hAnsi="Times New Roman"/>
          <w:sz w:val="24"/>
          <w:szCs w:val="24"/>
        </w:rPr>
      </w:pPr>
      <w:r>
        <w:rPr>
          <w:rFonts w:ascii="Times New Roman" w:hAnsi="Times New Roman"/>
          <w:sz w:val="24"/>
          <w:szCs w:val="24"/>
        </w:rPr>
        <w:tab/>
        <w:t>In count 1 the charge is that on 23 December 2006</w:t>
      </w:r>
      <w:r w:rsidR="00BD5BB9">
        <w:rPr>
          <w:rFonts w:ascii="Times New Roman" w:hAnsi="Times New Roman"/>
          <w:sz w:val="24"/>
          <w:szCs w:val="24"/>
        </w:rPr>
        <w:t xml:space="preserve"> and at Mwonzora &amp; Associates, 4</w:t>
      </w:r>
      <w:r w:rsidR="00BD5BB9" w:rsidRPr="00BD5BB9">
        <w:rPr>
          <w:rFonts w:ascii="Times New Roman" w:hAnsi="Times New Roman"/>
          <w:sz w:val="24"/>
          <w:szCs w:val="24"/>
          <w:vertAlign w:val="superscript"/>
        </w:rPr>
        <w:t>th</w:t>
      </w:r>
      <w:r w:rsidR="00BD5BB9">
        <w:rPr>
          <w:rFonts w:ascii="Times New Roman" w:hAnsi="Times New Roman"/>
          <w:sz w:val="24"/>
          <w:szCs w:val="24"/>
        </w:rPr>
        <w:t xml:space="preserve"> Floor South Wing, Fidelity Life Towers, Releigh Street Harare the first re</w:t>
      </w:r>
      <w:r w:rsidR="005C1A03">
        <w:rPr>
          <w:rFonts w:ascii="Times New Roman" w:hAnsi="Times New Roman"/>
          <w:sz w:val="24"/>
          <w:szCs w:val="24"/>
        </w:rPr>
        <w:t>spondent being a</w:t>
      </w:r>
      <w:r w:rsidR="00BD5BB9">
        <w:rPr>
          <w:rFonts w:ascii="Times New Roman" w:hAnsi="Times New Roman"/>
          <w:sz w:val="24"/>
          <w:szCs w:val="24"/>
        </w:rPr>
        <w:t xml:space="preserve"> legal representative of Everson </w:t>
      </w:r>
      <w:proofErr w:type="spellStart"/>
      <w:r w:rsidR="00BD5BB9">
        <w:rPr>
          <w:rFonts w:ascii="Times New Roman" w:hAnsi="Times New Roman"/>
          <w:sz w:val="24"/>
          <w:szCs w:val="24"/>
        </w:rPr>
        <w:t>Shephered</w:t>
      </w:r>
      <w:proofErr w:type="spellEnd"/>
      <w:r w:rsidR="00BD5BB9">
        <w:rPr>
          <w:rFonts w:ascii="Times New Roman" w:hAnsi="Times New Roman"/>
          <w:sz w:val="24"/>
          <w:szCs w:val="24"/>
        </w:rPr>
        <w:t xml:space="preserve"> </w:t>
      </w:r>
      <w:proofErr w:type="spellStart"/>
      <w:r w:rsidR="00BD5BB9">
        <w:rPr>
          <w:rFonts w:ascii="Times New Roman" w:hAnsi="Times New Roman"/>
          <w:sz w:val="24"/>
          <w:szCs w:val="24"/>
        </w:rPr>
        <w:t>Dandadzi</w:t>
      </w:r>
      <w:proofErr w:type="spellEnd"/>
      <w:r w:rsidR="00BD5BB9">
        <w:rPr>
          <w:rFonts w:ascii="Times New Roman" w:hAnsi="Times New Roman"/>
          <w:sz w:val="24"/>
          <w:szCs w:val="24"/>
        </w:rPr>
        <w:t xml:space="preserve"> received cash in the sum of Z$3 500 000 said to be equivalent to US$14 000 from Everson </w:t>
      </w:r>
      <w:proofErr w:type="spellStart"/>
      <w:r w:rsidR="00BD5BB9">
        <w:rPr>
          <w:rFonts w:ascii="Times New Roman" w:hAnsi="Times New Roman"/>
          <w:sz w:val="24"/>
          <w:szCs w:val="24"/>
        </w:rPr>
        <w:t>Shephered</w:t>
      </w:r>
      <w:proofErr w:type="spellEnd"/>
      <w:r w:rsidR="00BD5BB9">
        <w:rPr>
          <w:rFonts w:ascii="Times New Roman" w:hAnsi="Times New Roman"/>
          <w:sz w:val="24"/>
          <w:szCs w:val="24"/>
        </w:rPr>
        <w:t xml:space="preserve"> </w:t>
      </w:r>
      <w:proofErr w:type="spellStart"/>
      <w:r w:rsidR="00BD5BB9">
        <w:rPr>
          <w:rFonts w:ascii="Times New Roman" w:hAnsi="Times New Roman"/>
          <w:sz w:val="24"/>
          <w:szCs w:val="24"/>
        </w:rPr>
        <w:t>Dandadzi</w:t>
      </w:r>
      <w:proofErr w:type="spellEnd"/>
      <w:r w:rsidR="00BD5BB9">
        <w:rPr>
          <w:rFonts w:ascii="Times New Roman" w:hAnsi="Times New Roman"/>
          <w:sz w:val="24"/>
          <w:szCs w:val="24"/>
        </w:rPr>
        <w:t xml:space="preserve"> as a refund for cancellation of an agreement of sale of an immovable property </w:t>
      </w:r>
      <w:r w:rsidR="009F6FAF">
        <w:rPr>
          <w:rFonts w:ascii="Times New Roman" w:hAnsi="Times New Roman"/>
          <w:sz w:val="24"/>
          <w:szCs w:val="24"/>
        </w:rPr>
        <w:t xml:space="preserve">located at No. 157 </w:t>
      </w:r>
      <w:proofErr w:type="spellStart"/>
      <w:r w:rsidR="009F6FAF">
        <w:rPr>
          <w:rFonts w:ascii="Times New Roman" w:hAnsi="Times New Roman"/>
          <w:sz w:val="24"/>
          <w:szCs w:val="24"/>
        </w:rPr>
        <w:t>Meyrick</w:t>
      </w:r>
      <w:proofErr w:type="spellEnd"/>
      <w:r w:rsidR="009F6FAF">
        <w:rPr>
          <w:rFonts w:ascii="Times New Roman" w:hAnsi="Times New Roman"/>
          <w:sz w:val="24"/>
          <w:szCs w:val="24"/>
        </w:rPr>
        <w:t xml:space="preserve"> Park, </w:t>
      </w:r>
      <w:proofErr w:type="spellStart"/>
      <w:r w:rsidR="009F6FAF">
        <w:rPr>
          <w:rFonts w:ascii="Times New Roman" w:hAnsi="Times New Roman"/>
          <w:sz w:val="24"/>
          <w:szCs w:val="24"/>
        </w:rPr>
        <w:t>Mabelreign</w:t>
      </w:r>
      <w:proofErr w:type="spellEnd"/>
      <w:r w:rsidR="009F6FAF">
        <w:rPr>
          <w:rFonts w:ascii="Times New Roman" w:hAnsi="Times New Roman"/>
          <w:sz w:val="24"/>
          <w:szCs w:val="24"/>
        </w:rPr>
        <w:t xml:space="preserve"> Harare, and that </w:t>
      </w:r>
      <w:r w:rsidR="00352BF1">
        <w:rPr>
          <w:rFonts w:ascii="Times New Roman" w:hAnsi="Times New Roman"/>
          <w:sz w:val="24"/>
          <w:szCs w:val="24"/>
        </w:rPr>
        <w:t>instead</w:t>
      </w:r>
      <w:r w:rsidR="009F6FAF">
        <w:rPr>
          <w:rFonts w:ascii="Times New Roman" w:hAnsi="Times New Roman"/>
          <w:sz w:val="24"/>
          <w:szCs w:val="24"/>
        </w:rPr>
        <w:t xml:space="preserve"> of remitting the said money to </w:t>
      </w:r>
      <w:proofErr w:type="spellStart"/>
      <w:r w:rsidR="009F6FAF">
        <w:rPr>
          <w:rFonts w:ascii="Times New Roman" w:hAnsi="Times New Roman"/>
          <w:sz w:val="24"/>
          <w:szCs w:val="24"/>
        </w:rPr>
        <w:t>Messrs</w:t>
      </w:r>
      <w:proofErr w:type="spellEnd"/>
      <w:r w:rsidR="009F6FAF">
        <w:rPr>
          <w:rFonts w:ascii="Times New Roman" w:hAnsi="Times New Roman"/>
          <w:sz w:val="24"/>
          <w:szCs w:val="24"/>
        </w:rPr>
        <w:t xml:space="preserve"> </w:t>
      </w:r>
      <w:proofErr w:type="spellStart"/>
      <w:r w:rsidR="009F6FAF">
        <w:rPr>
          <w:rFonts w:ascii="Times New Roman" w:hAnsi="Times New Roman"/>
          <w:sz w:val="24"/>
          <w:szCs w:val="24"/>
        </w:rPr>
        <w:t>Manase</w:t>
      </w:r>
      <w:proofErr w:type="spellEnd"/>
      <w:r w:rsidR="009F6FAF">
        <w:rPr>
          <w:rFonts w:ascii="Times New Roman" w:hAnsi="Times New Roman"/>
          <w:sz w:val="24"/>
          <w:szCs w:val="24"/>
        </w:rPr>
        <w:t xml:space="preserve"> and </w:t>
      </w:r>
      <w:proofErr w:type="spellStart"/>
      <w:r w:rsidR="009F6FAF">
        <w:rPr>
          <w:rFonts w:ascii="Times New Roman" w:hAnsi="Times New Roman"/>
          <w:sz w:val="24"/>
          <w:szCs w:val="24"/>
        </w:rPr>
        <w:t>Manase</w:t>
      </w:r>
      <w:proofErr w:type="spellEnd"/>
      <w:r w:rsidR="009F6FAF">
        <w:rPr>
          <w:rFonts w:ascii="Times New Roman" w:hAnsi="Times New Roman"/>
          <w:sz w:val="24"/>
          <w:szCs w:val="24"/>
        </w:rPr>
        <w:t xml:space="preserve"> legal </w:t>
      </w:r>
      <w:r w:rsidR="00FD24A5">
        <w:rPr>
          <w:rFonts w:ascii="Times New Roman" w:hAnsi="Times New Roman"/>
          <w:sz w:val="24"/>
          <w:szCs w:val="24"/>
        </w:rPr>
        <w:t>representatives</w:t>
      </w:r>
      <w:r w:rsidR="009F6FAF">
        <w:rPr>
          <w:rFonts w:ascii="Times New Roman" w:hAnsi="Times New Roman"/>
          <w:sz w:val="24"/>
          <w:szCs w:val="24"/>
        </w:rPr>
        <w:t xml:space="preserve"> of Stephen </w:t>
      </w:r>
      <w:proofErr w:type="spellStart"/>
      <w:r w:rsidR="009F6FAF">
        <w:rPr>
          <w:rFonts w:ascii="Times New Roman" w:hAnsi="Times New Roman"/>
          <w:sz w:val="24"/>
          <w:szCs w:val="24"/>
        </w:rPr>
        <w:t>Matongo</w:t>
      </w:r>
      <w:proofErr w:type="spellEnd"/>
      <w:r w:rsidR="009F6FAF">
        <w:rPr>
          <w:rFonts w:ascii="Times New Roman" w:hAnsi="Times New Roman"/>
          <w:sz w:val="24"/>
          <w:szCs w:val="24"/>
        </w:rPr>
        <w:t xml:space="preserve"> the purchase</w:t>
      </w:r>
      <w:r w:rsidR="00352BF1">
        <w:rPr>
          <w:rFonts w:ascii="Times New Roman" w:hAnsi="Times New Roman"/>
          <w:sz w:val="24"/>
          <w:szCs w:val="24"/>
        </w:rPr>
        <w:t>r of the said immovable,</w:t>
      </w:r>
      <w:r w:rsidR="009F6FAF">
        <w:rPr>
          <w:rFonts w:ascii="Times New Roman" w:hAnsi="Times New Roman"/>
          <w:sz w:val="24"/>
          <w:szCs w:val="24"/>
        </w:rPr>
        <w:t xml:space="preserve"> the first respondent unlawfully and intentionally converted the said amount to his own use and</w:t>
      </w:r>
      <w:r w:rsidR="00085566">
        <w:rPr>
          <w:rFonts w:ascii="Times New Roman" w:hAnsi="Times New Roman"/>
          <w:sz w:val="24"/>
          <w:szCs w:val="24"/>
        </w:rPr>
        <w:t xml:space="preserve"> failed to hand it over to Evers</w:t>
      </w:r>
      <w:r w:rsidR="009F6FAF">
        <w:rPr>
          <w:rFonts w:ascii="Times New Roman" w:hAnsi="Times New Roman"/>
          <w:sz w:val="24"/>
          <w:szCs w:val="24"/>
        </w:rPr>
        <w:t xml:space="preserve">on </w:t>
      </w:r>
      <w:proofErr w:type="spellStart"/>
      <w:r w:rsidR="009F6FAF">
        <w:rPr>
          <w:rFonts w:ascii="Times New Roman" w:hAnsi="Times New Roman"/>
          <w:sz w:val="24"/>
          <w:szCs w:val="24"/>
        </w:rPr>
        <w:t>Shephered</w:t>
      </w:r>
      <w:proofErr w:type="spellEnd"/>
      <w:r w:rsidR="009F6FAF">
        <w:rPr>
          <w:rFonts w:ascii="Times New Roman" w:hAnsi="Times New Roman"/>
          <w:sz w:val="24"/>
          <w:szCs w:val="24"/>
        </w:rPr>
        <w:t xml:space="preserve"> </w:t>
      </w:r>
      <w:proofErr w:type="spellStart"/>
      <w:r w:rsidR="009F6FAF">
        <w:rPr>
          <w:rFonts w:ascii="Times New Roman" w:hAnsi="Times New Roman"/>
          <w:sz w:val="24"/>
          <w:szCs w:val="24"/>
        </w:rPr>
        <w:t>Dandadzi</w:t>
      </w:r>
      <w:proofErr w:type="spellEnd"/>
      <w:r w:rsidR="009F6FAF">
        <w:rPr>
          <w:rFonts w:ascii="Times New Roman" w:hAnsi="Times New Roman"/>
          <w:sz w:val="24"/>
          <w:szCs w:val="24"/>
        </w:rPr>
        <w:t xml:space="preserve"> on demand by Everson </w:t>
      </w:r>
      <w:proofErr w:type="spellStart"/>
      <w:r w:rsidR="009F6FAF">
        <w:rPr>
          <w:rFonts w:ascii="Times New Roman" w:hAnsi="Times New Roman"/>
          <w:sz w:val="24"/>
          <w:szCs w:val="24"/>
        </w:rPr>
        <w:t>Shephered</w:t>
      </w:r>
      <w:proofErr w:type="spellEnd"/>
      <w:r w:rsidR="009F6FAF">
        <w:rPr>
          <w:rFonts w:ascii="Times New Roman" w:hAnsi="Times New Roman"/>
          <w:sz w:val="24"/>
          <w:szCs w:val="24"/>
        </w:rPr>
        <w:t xml:space="preserve"> </w:t>
      </w:r>
      <w:proofErr w:type="spellStart"/>
      <w:r w:rsidR="009F6FAF">
        <w:rPr>
          <w:rFonts w:ascii="Times New Roman" w:hAnsi="Times New Roman"/>
          <w:sz w:val="24"/>
          <w:szCs w:val="24"/>
        </w:rPr>
        <w:t>Dandadzi</w:t>
      </w:r>
      <w:proofErr w:type="spellEnd"/>
      <w:r w:rsidR="009F6FAF">
        <w:rPr>
          <w:rFonts w:ascii="Times New Roman" w:hAnsi="Times New Roman"/>
          <w:sz w:val="24"/>
          <w:szCs w:val="24"/>
        </w:rPr>
        <w:t>.</w:t>
      </w:r>
    </w:p>
    <w:p w:rsidR="009F6FAF" w:rsidRDefault="009F6FAF" w:rsidP="00DC69F4">
      <w:pPr>
        <w:spacing w:after="0" w:line="360" w:lineRule="auto"/>
        <w:jc w:val="both"/>
        <w:rPr>
          <w:rFonts w:ascii="Times New Roman" w:hAnsi="Times New Roman"/>
          <w:sz w:val="24"/>
          <w:szCs w:val="24"/>
        </w:rPr>
      </w:pPr>
      <w:r>
        <w:rPr>
          <w:rFonts w:ascii="Times New Roman" w:hAnsi="Times New Roman"/>
          <w:sz w:val="24"/>
          <w:szCs w:val="24"/>
        </w:rPr>
        <w:tab/>
        <w:t xml:space="preserve">In count 2 the charge is that on </w:t>
      </w:r>
      <w:r w:rsidR="00CA4756">
        <w:rPr>
          <w:rFonts w:ascii="Times New Roman" w:hAnsi="Times New Roman"/>
          <w:sz w:val="24"/>
          <w:szCs w:val="24"/>
        </w:rPr>
        <w:t>a date unknown but during the period</w:t>
      </w:r>
      <w:r>
        <w:rPr>
          <w:rFonts w:ascii="Times New Roman" w:hAnsi="Times New Roman"/>
          <w:sz w:val="24"/>
          <w:szCs w:val="24"/>
        </w:rPr>
        <w:t xml:space="preserve"> of extending</w:t>
      </w:r>
      <w:r w:rsidR="00085566">
        <w:rPr>
          <w:rFonts w:ascii="Times New Roman" w:hAnsi="Times New Roman"/>
          <w:sz w:val="24"/>
          <w:szCs w:val="24"/>
        </w:rPr>
        <w:t xml:space="preserve"> 1 January 2007 to 31 January 2007, </w:t>
      </w:r>
      <w:r w:rsidR="00CA4756">
        <w:rPr>
          <w:rFonts w:ascii="Times New Roman" w:hAnsi="Times New Roman"/>
          <w:sz w:val="24"/>
          <w:szCs w:val="24"/>
        </w:rPr>
        <w:t>at</w:t>
      </w:r>
      <w:r w:rsidR="00085566">
        <w:rPr>
          <w:rFonts w:ascii="Times New Roman" w:hAnsi="Times New Roman"/>
          <w:sz w:val="24"/>
          <w:szCs w:val="24"/>
        </w:rPr>
        <w:t xml:space="preserve"> the same place as in count 1</w:t>
      </w:r>
      <w:r w:rsidR="00CA4756">
        <w:rPr>
          <w:rFonts w:ascii="Times New Roman" w:hAnsi="Times New Roman"/>
          <w:sz w:val="24"/>
          <w:szCs w:val="24"/>
        </w:rPr>
        <w:t>, t</w:t>
      </w:r>
      <w:r w:rsidR="00085566">
        <w:rPr>
          <w:rFonts w:ascii="Times New Roman" w:hAnsi="Times New Roman"/>
          <w:sz w:val="24"/>
          <w:szCs w:val="24"/>
        </w:rPr>
        <w:t xml:space="preserve">he first respondent being a legal representative of Everson </w:t>
      </w:r>
      <w:proofErr w:type="spellStart"/>
      <w:r w:rsidR="00085566">
        <w:rPr>
          <w:rFonts w:ascii="Times New Roman" w:hAnsi="Times New Roman"/>
          <w:sz w:val="24"/>
          <w:szCs w:val="24"/>
        </w:rPr>
        <w:t>Shephered</w:t>
      </w:r>
      <w:proofErr w:type="spellEnd"/>
      <w:r w:rsidR="00085566">
        <w:rPr>
          <w:rFonts w:ascii="Times New Roman" w:hAnsi="Times New Roman"/>
          <w:sz w:val="24"/>
          <w:szCs w:val="24"/>
        </w:rPr>
        <w:t xml:space="preserve"> </w:t>
      </w:r>
      <w:proofErr w:type="spellStart"/>
      <w:r w:rsidR="00085566">
        <w:rPr>
          <w:rFonts w:ascii="Times New Roman" w:hAnsi="Times New Roman"/>
          <w:sz w:val="24"/>
          <w:szCs w:val="24"/>
        </w:rPr>
        <w:t>Dandadzi</w:t>
      </w:r>
      <w:proofErr w:type="spellEnd"/>
      <w:r w:rsidR="00085566">
        <w:rPr>
          <w:rFonts w:ascii="Times New Roman" w:hAnsi="Times New Roman"/>
          <w:sz w:val="24"/>
          <w:szCs w:val="24"/>
        </w:rPr>
        <w:t xml:space="preserve"> received in his possession cash in the sum of Z195 000 000 from Stephen </w:t>
      </w:r>
      <w:proofErr w:type="spellStart"/>
      <w:r w:rsidR="00085566">
        <w:rPr>
          <w:rFonts w:ascii="Times New Roman" w:hAnsi="Times New Roman"/>
          <w:sz w:val="24"/>
          <w:szCs w:val="24"/>
        </w:rPr>
        <w:t>Matongo</w:t>
      </w:r>
      <w:proofErr w:type="spellEnd"/>
      <w:r w:rsidR="00085566">
        <w:rPr>
          <w:rFonts w:ascii="Times New Roman" w:hAnsi="Times New Roman"/>
          <w:sz w:val="24"/>
          <w:szCs w:val="24"/>
        </w:rPr>
        <w:t xml:space="preserve"> as purchase price cash adjustment and </w:t>
      </w:r>
      <w:r w:rsidR="00CF26F4">
        <w:rPr>
          <w:rFonts w:ascii="Times New Roman" w:hAnsi="Times New Roman"/>
          <w:sz w:val="24"/>
          <w:szCs w:val="24"/>
        </w:rPr>
        <w:t>transfer</w:t>
      </w:r>
      <w:r w:rsidR="00085566">
        <w:rPr>
          <w:rFonts w:ascii="Times New Roman" w:hAnsi="Times New Roman"/>
          <w:sz w:val="24"/>
          <w:szCs w:val="24"/>
        </w:rPr>
        <w:t xml:space="preserve"> fees, and instead of remitting the said amount to Everson Shepherd </w:t>
      </w:r>
      <w:proofErr w:type="spellStart"/>
      <w:r w:rsidR="00085566">
        <w:rPr>
          <w:rFonts w:ascii="Times New Roman" w:hAnsi="Times New Roman"/>
          <w:sz w:val="24"/>
          <w:szCs w:val="24"/>
        </w:rPr>
        <w:t>Dandadzi</w:t>
      </w:r>
      <w:proofErr w:type="spellEnd"/>
      <w:r w:rsidR="00085566">
        <w:rPr>
          <w:rFonts w:ascii="Times New Roman" w:hAnsi="Times New Roman"/>
          <w:sz w:val="24"/>
          <w:szCs w:val="24"/>
        </w:rPr>
        <w:t xml:space="preserve"> the </w:t>
      </w:r>
      <w:r w:rsidR="00352BF1">
        <w:rPr>
          <w:rFonts w:ascii="Times New Roman" w:hAnsi="Times New Roman"/>
          <w:sz w:val="24"/>
          <w:szCs w:val="24"/>
        </w:rPr>
        <w:t>seller</w:t>
      </w:r>
      <w:r w:rsidR="00085566">
        <w:rPr>
          <w:rFonts w:ascii="Times New Roman" w:hAnsi="Times New Roman"/>
          <w:sz w:val="24"/>
          <w:szCs w:val="24"/>
        </w:rPr>
        <w:t xml:space="preserve"> of the said immovable property described in count 1, the first respondent unlawfully and intentionally converted the said amount to his own use and failed to hand it over to Everson Shepherd </w:t>
      </w:r>
      <w:proofErr w:type="spellStart"/>
      <w:r w:rsidR="00085566">
        <w:rPr>
          <w:rFonts w:ascii="Times New Roman" w:hAnsi="Times New Roman"/>
          <w:sz w:val="24"/>
          <w:szCs w:val="24"/>
        </w:rPr>
        <w:t>Dandadzi</w:t>
      </w:r>
      <w:proofErr w:type="spellEnd"/>
      <w:r w:rsidR="00085566">
        <w:rPr>
          <w:rFonts w:ascii="Times New Roman" w:hAnsi="Times New Roman"/>
          <w:sz w:val="24"/>
          <w:szCs w:val="24"/>
        </w:rPr>
        <w:t xml:space="preserve"> on demand by Everson </w:t>
      </w:r>
      <w:proofErr w:type="spellStart"/>
      <w:r w:rsidR="00085566">
        <w:rPr>
          <w:rFonts w:ascii="Times New Roman" w:hAnsi="Times New Roman"/>
          <w:sz w:val="24"/>
          <w:szCs w:val="24"/>
        </w:rPr>
        <w:t>Shephered</w:t>
      </w:r>
      <w:proofErr w:type="spellEnd"/>
      <w:r w:rsidR="00085566">
        <w:rPr>
          <w:rFonts w:ascii="Times New Roman" w:hAnsi="Times New Roman"/>
          <w:sz w:val="24"/>
          <w:szCs w:val="24"/>
        </w:rPr>
        <w:t xml:space="preserve"> </w:t>
      </w:r>
      <w:proofErr w:type="spellStart"/>
      <w:r w:rsidR="00085566">
        <w:rPr>
          <w:rFonts w:ascii="Times New Roman" w:hAnsi="Times New Roman"/>
          <w:sz w:val="24"/>
          <w:szCs w:val="24"/>
        </w:rPr>
        <w:t>Dandadzi</w:t>
      </w:r>
      <w:proofErr w:type="spellEnd"/>
      <w:r w:rsidR="00085566">
        <w:rPr>
          <w:rFonts w:ascii="Times New Roman" w:hAnsi="Times New Roman"/>
          <w:sz w:val="24"/>
          <w:szCs w:val="24"/>
        </w:rPr>
        <w:t>.</w:t>
      </w:r>
    </w:p>
    <w:p w:rsidR="00085566" w:rsidRDefault="00085566" w:rsidP="00DC69F4">
      <w:pPr>
        <w:spacing w:after="0" w:line="360" w:lineRule="auto"/>
        <w:jc w:val="both"/>
        <w:rPr>
          <w:rFonts w:ascii="Times New Roman" w:hAnsi="Times New Roman"/>
          <w:sz w:val="24"/>
          <w:szCs w:val="24"/>
        </w:rPr>
      </w:pPr>
      <w:r>
        <w:rPr>
          <w:rFonts w:ascii="Times New Roman" w:hAnsi="Times New Roman"/>
          <w:sz w:val="24"/>
          <w:szCs w:val="24"/>
        </w:rPr>
        <w:tab/>
        <w:t>The facts giving rise to the charges are summarized in the state outline.</w:t>
      </w:r>
    </w:p>
    <w:p w:rsidR="00085566" w:rsidRDefault="00085566" w:rsidP="00DC69F4">
      <w:pPr>
        <w:spacing w:after="0" w:line="360" w:lineRule="auto"/>
        <w:jc w:val="both"/>
        <w:rPr>
          <w:rFonts w:ascii="Times New Roman" w:hAnsi="Times New Roman"/>
          <w:sz w:val="24"/>
          <w:szCs w:val="24"/>
        </w:rPr>
      </w:pPr>
      <w:r>
        <w:rPr>
          <w:rFonts w:ascii="Times New Roman" w:hAnsi="Times New Roman"/>
          <w:sz w:val="24"/>
          <w:szCs w:val="24"/>
        </w:rPr>
        <w:tab/>
        <w:t xml:space="preserve">It is common </w:t>
      </w:r>
      <w:proofErr w:type="gramStart"/>
      <w:r>
        <w:rPr>
          <w:rFonts w:ascii="Times New Roman" w:hAnsi="Times New Roman"/>
          <w:sz w:val="24"/>
          <w:szCs w:val="24"/>
        </w:rPr>
        <w:t>cause</w:t>
      </w:r>
      <w:proofErr w:type="gramEnd"/>
      <w:r>
        <w:rPr>
          <w:rFonts w:ascii="Times New Roman" w:hAnsi="Times New Roman"/>
          <w:sz w:val="24"/>
          <w:szCs w:val="24"/>
        </w:rPr>
        <w:t xml:space="preserve"> that Everson </w:t>
      </w:r>
      <w:proofErr w:type="spellStart"/>
      <w:r>
        <w:rPr>
          <w:rFonts w:ascii="Times New Roman" w:hAnsi="Times New Roman"/>
          <w:sz w:val="24"/>
          <w:szCs w:val="24"/>
        </w:rPr>
        <w:t>Shephered</w:t>
      </w:r>
      <w:proofErr w:type="spellEnd"/>
      <w:r>
        <w:rPr>
          <w:rFonts w:ascii="Times New Roman" w:hAnsi="Times New Roman"/>
          <w:sz w:val="24"/>
          <w:szCs w:val="24"/>
        </w:rPr>
        <w:t xml:space="preserve"> </w:t>
      </w:r>
      <w:proofErr w:type="spellStart"/>
      <w:r>
        <w:rPr>
          <w:rFonts w:ascii="Times New Roman" w:hAnsi="Times New Roman"/>
          <w:sz w:val="24"/>
          <w:szCs w:val="24"/>
        </w:rPr>
        <w:t>Dandadza</w:t>
      </w:r>
      <w:proofErr w:type="spellEnd"/>
      <w:r>
        <w:rPr>
          <w:rFonts w:ascii="Times New Roman" w:hAnsi="Times New Roman"/>
          <w:sz w:val="24"/>
          <w:szCs w:val="24"/>
        </w:rPr>
        <w:t xml:space="preserve"> (Everson) entered into an agreement of sale of an immovable property</w:t>
      </w:r>
      <w:r w:rsidR="00352BF1">
        <w:rPr>
          <w:rFonts w:ascii="Times New Roman" w:hAnsi="Times New Roman"/>
          <w:sz w:val="24"/>
          <w:szCs w:val="24"/>
        </w:rPr>
        <w:t xml:space="preserve"> being</w:t>
      </w:r>
      <w:r>
        <w:rPr>
          <w:rFonts w:ascii="Times New Roman" w:hAnsi="Times New Roman"/>
          <w:sz w:val="24"/>
          <w:szCs w:val="24"/>
        </w:rPr>
        <w:t xml:space="preserve"> an undeveloped stand called No. 57 </w:t>
      </w:r>
      <w:proofErr w:type="spellStart"/>
      <w:r>
        <w:rPr>
          <w:rFonts w:ascii="Times New Roman" w:hAnsi="Times New Roman"/>
          <w:sz w:val="24"/>
          <w:szCs w:val="24"/>
        </w:rPr>
        <w:t>Meyrick</w:t>
      </w:r>
      <w:proofErr w:type="spellEnd"/>
      <w:r>
        <w:rPr>
          <w:rFonts w:ascii="Times New Roman" w:hAnsi="Times New Roman"/>
          <w:sz w:val="24"/>
          <w:szCs w:val="24"/>
        </w:rPr>
        <w:t xml:space="preserve"> Park with the buyer one Stephen </w:t>
      </w:r>
      <w:proofErr w:type="spellStart"/>
      <w:r>
        <w:rPr>
          <w:rFonts w:ascii="Times New Roman" w:hAnsi="Times New Roman"/>
          <w:sz w:val="24"/>
          <w:szCs w:val="24"/>
        </w:rPr>
        <w:t>Matongo</w:t>
      </w:r>
      <w:proofErr w:type="spellEnd"/>
      <w:r w:rsidR="009F666C">
        <w:rPr>
          <w:rFonts w:ascii="Times New Roman" w:hAnsi="Times New Roman"/>
          <w:sz w:val="24"/>
          <w:szCs w:val="24"/>
        </w:rPr>
        <w:t xml:space="preserve"> (Stephen). The immovable property was owned by Everson and the purchase price was Z4 billion dollars and Everson used an Estate Agent </w:t>
      </w:r>
      <w:r w:rsidR="00352BF1">
        <w:rPr>
          <w:rFonts w:ascii="Times New Roman" w:hAnsi="Times New Roman"/>
          <w:sz w:val="24"/>
          <w:szCs w:val="24"/>
        </w:rPr>
        <w:t>CB</w:t>
      </w:r>
      <w:r w:rsidR="009F666C">
        <w:rPr>
          <w:rFonts w:ascii="Times New Roman" w:hAnsi="Times New Roman"/>
          <w:sz w:val="24"/>
          <w:szCs w:val="24"/>
        </w:rPr>
        <w:t xml:space="preserve"> Richard Ellis.</w:t>
      </w:r>
    </w:p>
    <w:p w:rsidR="00F450D9" w:rsidRDefault="009F666C" w:rsidP="00DC69F4">
      <w:pPr>
        <w:spacing w:after="0" w:line="360" w:lineRule="auto"/>
        <w:jc w:val="both"/>
        <w:rPr>
          <w:rFonts w:ascii="Times New Roman" w:hAnsi="Times New Roman"/>
          <w:sz w:val="24"/>
          <w:szCs w:val="24"/>
        </w:rPr>
      </w:pPr>
      <w:r>
        <w:rPr>
          <w:rFonts w:ascii="Times New Roman" w:hAnsi="Times New Roman"/>
          <w:sz w:val="24"/>
          <w:szCs w:val="24"/>
        </w:rPr>
        <w:tab/>
        <w:t>It is alleged that on 23 May 2006 the buyer Stephen paid an agreed Z$</w:t>
      </w:r>
      <w:r w:rsidR="00352BF1">
        <w:rPr>
          <w:rFonts w:ascii="Times New Roman" w:hAnsi="Times New Roman"/>
          <w:sz w:val="24"/>
          <w:szCs w:val="24"/>
        </w:rPr>
        <w:t>2</w:t>
      </w:r>
      <w:r>
        <w:rPr>
          <w:rFonts w:ascii="Times New Roman" w:hAnsi="Times New Roman"/>
          <w:sz w:val="24"/>
          <w:szCs w:val="24"/>
        </w:rPr>
        <w:t xml:space="preserve"> billion through the Estate Agent which money was transferred into Everson’s account. On 2 and 4 August 2006, the buyer Stephen made two payments of Z$ 500 000 each. There was a delay to pay the outstanding balance of Z$2 000 000. As a result of this delay the seller Everson engaged a legal practitioner being the first respondent to cause the buyer Stephen to now pay an adjustment price of Z$160</w:t>
      </w:r>
      <w:r w:rsidR="00352BF1">
        <w:rPr>
          <w:rFonts w:ascii="Times New Roman" w:hAnsi="Times New Roman"/>
          <w:sz w:val="24"/>
          <w:szCs w:val="24"/>
        </w:rPr>
        <w:t xml:space="preserve"> </w:t>
      </w:r>
      <w:r>
        <w:rPr>
          <w:rFonts w:ascii="Times New Roman" w:hAnsi="Times New Roman"/>
          <w:sz w:val="24"/>
          <w:szCs w:val="24"/>
        </w:rPr>
        <w:t xml:space="preserve">000 000 and transfer fees of Z$35 000 000. It is alleged that the buyer Stephen failed to </w:t>
      </w:r>
    </w:p>
    <w:p w:rsidR="00F450D9" w:rsidRDefault="00F450D9" w:rsidP="00DC69F4">
      <w:pPr>
        <w:spacing w:after="0" w:line="360" w:lineRule="auto"/>
        <w:jc w:val="both"/>
        <w:rPr>
          <w:rFonts w:ascii="Times New Roman" w:hAnsi="Times New Roman"/>
          <w:sz w:val="24"/>
          <w:szCs w:val="24"/>
        </w:rPr>
      </w:pPr>
    </w:p>
    <w:p w:rsidR="009F666C" w:rsidRDefault="009F666C" w:rsidP="00DC69F4">
      <w:pPr>
        <w:spacing w:after="0" w:line="360" w:lineRule="auto"/>
        <w:jc w:val="both"/>
        <w:rPr>
          <w:rFonts w:ascii="Times New Roman" w:hAnsi="Times New Roman"/>
          <w:sz w:val="24"/>
          <w:szCs w:val="24"/>
        </w:rPr>
      </w:pPr>
      <w:proofErr w:type="gramStart"/>
      <w:r>
        <w:rPr>
          <w:rFonts w:ascii="Times New Roman" w:hAnsi="Times New Roman"/>
          <w:sz w:val="24"/>
          <w:szCs w:val="24"/>
        </w:rPr>
        <w:t>pay</w:t>
      </w:r>
      <w:proofErr w:type="gramEnd"/>
      <w:r>
        <w:rPr>
          <w:rFonts w:ascii="Times New Roman" w:hAnsi="Times New Roman"/>
          <w:sz w:val="24"/>
          <w:szCs w:val="24"/>
        </w:rPr>
        <w:t xml:space="preserve"> hence on 8 January 2007 the seller Everson</w:t>
      </w:r>
      <w:r w:rsidR="003E503A">
        <w:rPr>
          <w:rFonts w:ascii="Times New Roman" w:hAnsi="Times New Roman"/>
          <w:sz w:val="24"/>
          <w:szCs w:val="24"/>
        </w:rPr>
        <w:t xml:space="preserve"> instructed the first respondent to cancel the</w:t>
      </w:r>
      <w:r w:rsidR="00CF26F4">
        <w:rPr>
          <w:rFonts w:ascii="Times New Roman" w:hAnsi="Times New Roman"/>
          <w:sz w:val="24"/>
          <w:szCs w:val="24"/>
        </w:rPr>
        <w:t xml:space="preserve"> </w:t>
      </w:r>
      <w:r w:rsidR="003E503A">
        <w:rPr>
          <w:rFonts w:ascii="Times New Roman" w:hAnsi="Times New Roman"/>
          <w:sz w:val="24"/>
          <w:szCs w:val="24"/>
        </w:rPr>
        <w:t>agreement of sale and gave the first respondent Z$3 500 000 (revalued) as refund to the buyer Stephen after which the fi</w:t>
      </w:r>
      <w:r w:rsidR="00352BF1">
        <w:rPr>
          <w:rFonts w:ascii="Times New Roman" w:hAnsi="Times New Roman"/>
          <w:sz w:val="24"/>
          <w:szCs w:val="24"/>
        </w:rPr>
        <w:t>rst respondent issued receipt 0</w:t>
      </w:r>
      <w:r w:rsidR="003E503A">
        <w:rPr>
          <w:rFonts w:ascii="Times New Roman" w:hAnsi="Times New Roman"/>
          <w:sz w:val="24"/>
          <w:szCs w:val="24"/>
        </w:rPr>
        <w:t>70</w:t>
      </w:r>
      <w:r w:rsidR="00352BF1">
        <w:rPr>
          <w:rFonts w:ascii="Times New Roman" w:hAnsi="Times New Roman"/>
          <w:sz w:val="24"/>
          <w:szCs w:val="24"/>
        </w:rPr>
        <w:t xml:space="preserve">. </w:t>
      </w:r>
      <w:r w:rsidR="003E503A">
        <w:rPr>
          <w:rFonts w:ascii="Times New Roman" w:hAnsi="Times New Roman"/>
          <w:sz w:val="24"/>
          <w:szCs w:val="24"/>
        </w:rPr>
        <w:t xml:space="preserve">It is alleged that the first respondent did not remit the money to the buyer Stephen through his legal practitioners </w:t>
      </w:r>
      <w:proofErr w:type="spellStart"/>
      <w:r w:rsidR="003E503A">
        <w:rPr>
          <w:rFonts w:ascii="Times New Roman" w:hAnsi="Times New Roman"/>
          <w:sz w:val="24"/>
          <w:szCs w:val="24"/>
        </w:rPr>
        <w:t>Manase</w:t>
      </w:r>
      <w:proofErr w:type="spellEnd"/>
      <w:r w:rsidR="003E503A">
        <w:rPr>
          <w:rFonts w:ascii="Times New Roman" w:hAnsi="Times New Roman"/>
          <w:sz w:val="24"/>
          <w:szCs w:val="24"/>
        </w:rPr>
        <w:t xml:space="preserve"> and </w:t>
      </w:r>
      <w:proofErr w:type="spellStart"/>
      <w:r w:rsidR="003E503A">
        <w:rPr>
          <w:rFonts w:ascii="Times New Roman" w:hAnsi="Times New Roman"/>
          <w:sz w:val="24"/>
          <w:szCs w:val="24"/>
        </w:rPr>
        <w:t>Manase</w:t>
      </w:r>
      <w:proofErr w:type="spellEnd"/>
      <w:r w:rsidR="003E503A">
        <w:rPr>
          <w:rFonts w:ascii="Times New Roman" w:hAnsi="Times New Roman"/>
          <w:sz w:val="24"/>
          <w:szCs w:val="24"/>
        </w:rPr>
        <w:t xml:space="preserve"> but instead converted it to his own use. The </w:t>
      </w:r>
      <w:r w:rsidR="00352BF1">
        <w:rPr>
          <w:rFonts w:ascii="Times New Roman" w:hAnsi="Times New Roman"/>
          <w:sz w:val="24"/>
          <w:szCs w:val="24"/>
        </w:rPr>
        <w:t xml:space="preserve">complainant </w:t>
      </w:r>
      <w:r w:rsidR="00BF1E80">
        <w:rPr>
          <w:rFonts w:ascii="Times New Roman" w:hAnsi="Times New Roman"/>
          <w:sz w:val="24"/>
          <w:szCs w:val="24"/>
        </w:rPr>
        <w:t>Everson being the sell</w:t>
      </w:r>
      <w:r w:rsidR="003E503A">
        <w:rPr>
          <w:rFonts w:ascii="Times New Roman" w:hAnsi="Times New Roman"/>
          <w:sz w:val="24"/>
          <w:szCs w:val="24"/>
        </w:rPr>
        <w:t xml:space="preserve">er reported the </w:t>
      </w:r>
      <w:r w:rsidR="00CA4756">
        <w:rPr>
          <w:rFonts w:ascii="Times New Roman" w:hAnsi="Times New Roman"/>
          <w:sz w:val="24"/>
          <w:szCs w:val="24"/>
        </w:rPr>
        <w:t>matter</w:t>
      </w:r>
      <w:r w:rsidR="003E503A">
        <w:rPr>
          <w:rFonts w:ascii="Times New Roman" w:hAnsi="Times New Roman"/>
          <w:sz w:val="24"/>
          <w:szCs w:val="24"/>
        </w:rPr>
        <w:t xml:space="preserve"> to the </w:t>
      </w:r>
      <w:proofErr w:type="gramStart"/>
      <w:r w:rsidR="003E503A">
        <w:rPr>
          <w:rFonts w:ascii="Times New Roman" w:hAnsi="Times New Roman"/>
          <w:sz w:val="24"/>
          <w:szCs w:val="24"/>
        </w:rPr>
        <w:t xml:space="preserve">police </w:t>
      </w:r>
      <w:r w:rsidR="00BF1E80">
        <w:rPr>
          <w:rFonts w:ascii="Times New Roman" w:hAnsi="Times New Roman"/>
          <w:sz w:val="24"/>
          <w:szCs w:val="24"/>
        </w:rPr>
        <w:t xml:space="preserve"> of</w:t>
      </w:r>
      <w:proofErr w:type="gramEnd"/>
      <w:r w:rsidR="00BF1E80">
        <w:rPr>
          <w:rFonts w:ascii="Times New Roman" w:hAnsi="Times New Roman"/>
          <w:sz w:val="24"/>
          <w:szCs w:val="24"/>
        </w:rPr>
        <w:t xml:space="preserve"> theft of Z$3 500 000 (revalued) by the </w:t>
      </w:r>
      <w:r w:rsidR="00CA4756">
        <w:rPr>
          <w:rFonts w:ascii="Times New Roman" w:hAnsi="Times New Roman"/>
          <w:sz w:val="24"/>
          <w:szCs w:val="24"/>
        </w:rPr>
        <w:t>first respondent</w:t>
      </w:r>
      <w:r w:rsidR="00BF1E80">
        <w:rPr>
          <w:rFonts w:ascii="Times New Roman" w:hAnsi="Times New Roman"/>
          <w:sz w:val="24"/>
          <w:szCs w:val="24"/>
        </w:rPr>
        <w:t xml:space="preserve"> which the state alleges its equivalent to US $14 000 and that it was not recovered.</w:t>
      </w:r>
      <w:r>
        <w:rPr>
          <w:rFonts w:ascii="Times New Roman" w:hAnsi="Times New Roman"/>
          <w:sz w:val="24"/>
          <w:szCs w:val="24"/>
        </w:rPr>
        <w:t xml:space="preserve"> </w:t>
      </w:r>
    </w:p>
    <w:p w:rsidR="00BF1E80" w:rsidRDefault="00BF1E80" w:rsidP="00DC69F4">
      <w:pPr>
        <w:spacing w:after="0" w:line="360" w:lineRule="auto"/>
        <w:jc w:val="both"/>
        <w:rPr>
          <w:rFonts w:ascii="Times New Roman" w:hAnsi="Times New Roman"/>
          <w:sz w:val="24"/>
          <w:szCs w:val="24"/>
        </w:rPr>
      </w:pPr>
      <w:r>
        <w:rPr>
          <w:rFonts w:ascii="Times New Roman" w:hAnsi="Times New Roman"/>
          <w:sz w:val="24"/>
          <w:szCs w:val="24"/>
        </w:rPr>
        <w:tab/>
        <w:t xml:space="preserve">In relation to count 2 it is alleged that the buyer Stephen later made a delayed payment of cash </w:t>
      </w:r>
      <w:r w:rsidR="00352BF1">
        <w:rPr>
          <w:rFonts w:ascii="Times New Roman" w:hAnsi="Times New Roman"/>
          <w:sz w:val="24"/>
          <w:szCs w:val="24"/>
        </w:rPr>
        <w:t>adjustment</w:t>
      </w:r>
      <w:r>
        <w:rPr>
          <w:rFonts w:ascii="Times New Roman" w:hAnsi="Times New Roman"/>
          <w:sz w:val="24"/>
          <w:szCs w:val="24"/>
        </w:rPr>
        <w:t xml:space="preserve"> </w:t>
      </w:r>
      <w:r w:rsidR="00F4321E">
        <w:rPr>
          <w:rFonts w:ascii="Times New Roman" w:hAnsi="Times New Roman"/>
          <w:sz w:val="24"/>
          <w:szCs w:val="24"/>
        </w:rPr>
        <w:t>o</w:t>
      </w:r>
      <w:r>
        <w:rPr>
          <w:rFonts w:ascii="Times New Roman" w:hAnsi="Times New Roman"/>
          <w:sz w:val="24"/>
          <w:szCs w:val="24"/>
        </w:rPr>
        <w:t>f the purchase price of Z$160 000 000 (revalued) and transfer fees of Z$35 000 000 (revalued) giving a total of Z$195 000 000 which money was paid into the first respondent’s law firm account at Ba</w:t>
      </w:r>
      <w:r w:rsidR="00F4321E">
        <w:rPr>
          <w:rFonts w:ascii="Times New Roman" w:hAnsi="Times New Roman"/>
          <w:sz w:val="24"/>
          <w:szCs w:val="24"/>
        </w:rPr>
        <w:t xml:space="preserve">rclays Bank. However the seller Everson rejected the delayed </w:t>
      </w:r>
      <w:r w:rsidR="00352BF1">
        <w:rPr>
          <w:rFonts w:ascii="Times New Roman" w:hAnsi="Times New Roman"/>
          <w:sz w:val="24"/>
          <w:szCs w:val="24"/>
        </w:rPr>
        <w:t>payment</w:t>
      </w:r>
      <w:r w:rsidR="00F4321E">
        <w:rPr>
          <w:rFonts w:ascii="Times New Roman" w:hAnsi="Times New Roman"/>
          <w:sz w:val="24"/>
          <w:szCs w:val="24"/>
        </w:rPr>
        <w:t xml:space="preserve"> and had cancelled the agreement of sale due to hyperinflation. Everson then instructed the first respondent to return the money to the buyer Stephen. It is alleged in count 2 that the first respondent instead converted the money to his own use.</w:t>
      </w:r>
    </w:p>
    <w:p w:rsidR="00F4321E" w:rsidRDefault="00F4321E" w:rsidP="00DC69F4">
      <w:pPr>
        <w:spacing w:after="0" w:line="360" w:lineRule="auto"/>
        <w:jc w:val="both"/>
        <w:rPr>
          <w:rFonts w:ascii="Times New Roman" w:hAnsi="Times New Roman"/>
          <w:sz w:val="24"/>
          <w:szCs w:val="24"/>
        </w:rPr>
      </w:pPr>
      <w:r>
        <w:rPr>
          <w:rFonts w:ascii="Times New Roman" w:hAnsi="Times New Roman"/>
          <w:sz w:val="24"/>
          <w:szCs w:val="24"/>
        </w:rPr>
        <w:tab/>
        <w:t>The first respondent pleaded not guilty to both counts and in brief gave</w:t>
      </w:r>
      <w:r w:rsidR="007753C0">
        <w:rPr>
          <w:rFonts w:ascii="Times New Roman" w:hAnsi="Times New Roman"/>
          <w:sz w:val="24"/>
          <w:szCs w:val="24"/>
        </w:rPr>
        <w:t xml:space="preserve"> his defence outline as follows:</w:t>
      </w:r>
    </w:p>
    <w:p w:rsidR="007D08ED" w:rsidRDefault="00F4321E" w:rsidP="00DC69F4">
      <w:pPr>
        <w:spacing w:after="0" w:line="360" w:lineRule="auto"/>
        <w:jc w:val="both"/>
        <w:rPr>
          <w:rFonts w:ascii="Times New Roman" w:hAnsi="Times New Roman"/>
          <w:sz w:val="24"/>
          <w:szCs w:val="24"/>
        </w:rPr>
      </w:pPr>
      <w:r>
        <w:rPr>
          <w:rFonts w:ascii="Times New Roman" w:hAnsi="Times New Roman"/>
          <w:sz w:val="24"/>
          <w:szCs w:val="24"/>
        </w:rPr>
        <w:tab/>
        <w:t xml:space="preserve">The first </w:t>
      </w:r>
      <w:r w:rsidR="00280A03">
        <w:rPr>
          <w:rFonts w:ascii="Times New Roman" w:hAnsi="Times New Roman"/>
          <w:sz w:val="24"/>
          <w:szCs w:val="24"/>
        </w:rPr>
        <w:t xml:space="preserve">respondent said he only became aware of the agreement of </w:t>
      </w:r>
      <w:r w:rsidR="00352BF1">
        <w:rPr>
          <w:rFonts w:ascii="Times New Roman" w:hAnsi="Times New Roman"/>
          <w:sz w:val="24"/>
          <w:szCs w:val="24"/>
        </w:rPr>
        <w:t>sale between</w:t>
      </w:r>
      <w:r w:rsidR="00280A03">
        <w:rPr>
          <w:rFonts w:ascii="Times New Roman" w:hAnsi="Times New Roman"/>
          <w:sz w:val="24"/>
          <w:szCs w:val="24"/>
        </w:rPr>
        <w:t xml:space="preserve"> Everson and </w:t>
      </w:r>
      <w:r w:rsidR="000F6EBF">
        <w:rPr>
          <w:rFonts w:ascii="Times New Roman" w:hAnsi="Times New Roman"/>
          <w:sz w:val="24"/>
          <w:szCs w:val="24"/>
        </w:rPr>
        <w:t>Tail</w:t>
      </w:r>
      <w:r w:rsidR="00352BF1">
        <w:rPr>
          <w:rFonts w:ascii="Times New Roman" w:hAnsi="Times New Roman"/>
          <w:sz w:val="24"/>
          <w:szCs w:val="24"/>
        </w:rPr>
        <w:t>-</w:t>
      </w:r>
      <w:r w:rsidR="000F6EBF">
        <w:rPr>
          <w:rFonts w:ascii="Times New Roman" w:hAnsi="Times New Roman"/>
          <w:sz w:val="24"/>
          <w:szCs w:val="24"/>
        </w:rPr>
        <w:t>spring</w:t>
      </w:r>
      <w:r w:rsidR="00280A03">
        <w:rPr>
          <w:rFonts w:ascii="Times New Roman" w:hAnsi="Times New Roman"/>
          <w:sz w:val="24"/>
          <w:szCs w:val="24"/>
        </w:rPr>
        <w:t xml:space="preserve"> investments represented by Stephen as the buyer in September 2006 </w:t>
      </w:r>
      <w:r w:rsidR="000F6EBF">
        <w:rPr>
          <w:rFonts w:ascii="Times New Roman" w:hAnsi="Times New Roman"/>
          <w:sz w:val="24"/>
          <w:szCs w:val="24"/>
        </w:rPr>
        <w:t xml:space="preserve">well after the agreement of sale had been signed and initial payment made as Everson through the agency </w:t>
      </w:r>
      <w:proofErr w:type="gramStart"/>
      <w:r w:rsidR="000F6EBF">
        <w:rPr>
          <w:rFonts w:ascii="Times New Roman" w:hAnsi="Times New Roman"/>
          <w:sz w:val="24"/>
          <w:szCs w:val="24"/>
        </w:rPr>
        <w:t>of  CB</w:t>
      </w:r>
      <w:proofErr w:type="gramEnd"/>
      <w:r w:rsidR="000F6EBF">
        <w:rPr>
          <w:rFonts w:ascii="Times New Roman" w:hAnsi="Times New Roman"/>
          <w:sz w:val="24"/>
          <w:szCs w:val="24"/>
        </w:rPr>
        <w:t xml:space="preserve"> Richard Ellis had s</w:t>
      </w:r>
      <w:r w:rsidR="00352BF1">
        <w:rPr>
          <w:rFonts w:ascii="Times New Roman" w:hAnsi="Times New Roman"/>
          <w:sz w:val="24"/>
          <w:szCs w:val="24"/>
        </w:rPr>
        <w:t>old</w:t>
      </w:r>
      <w:r w:rsidR="000F6EBF">
        <w:rPr>
          <w:rFonts w:ascii="Times New Roman" w:hAnsi="Times New Roman"/>
          <w:sz w:val="24"/>
          <w:szCs w:val="24"/>
        </w:rPr>
        <w:t xml:space="preserve"> the property for Z$4 billion and</w:t>
      </w:r>
      <w:r w:rsidR="007753C0">
        <w:rPr>
          <w:rFonts w:ascii="Times New Roman" w:hAnsi="Times New Roman"/>
          <w:sz w:val="24"/>
          <w:szCs w:val="24"/>
        </w:rPr>
        <w:t xml:space="preserve"> signed the agreement of sale on 23 May 2006. The first respondent said the seller Everson in September 2006 informally approached him alleging the buyer Stephen was in breach of the agreement of sale as he had failed to timeously pay the balance of Z$500 000 000 and wanted to cancel the agreement of sale as Stephen had refused to pay the price adjustments of Z$36 000 000 000. The first respondent said he was </w:t>
      </w:r>
      <w:r w:rsidR="007D08ED">
        <w:rPr>
          <w:rFonts w:ascii="Times New Roman" w:hAnsi="Times New Roman"/>
          <w:sz w:val="24"/>
          <w:szCs w:val="24"/>
        </w:rPr>
        <w:t>formally engaged by Everson on 13 December 2006 after which Everson paid consultation fee of Z$5 000 and service fee of Z$80 000 on 21 December 2006.</w:t>
      </w:r>
    </w:p>
    <w:p w:rsidR="00F450D9" w:rsidRDefault="007D08ED" w:rsidP="00DC69F4">
      <w:pPr>
        <w:spacing w:after="0" w:line="360" w:lineRule="auto"/>
        <w:jc w:val="both"/>
        <w:rPr>
          <w:rFonts w:ascii="Times New Roman" w:hAnsi="Times New Roman"/>
          <w:sz w:val="24"/>
          <w:szCs w:val="24"/>
        </w:rPr>
      </w:pPr>
      <w:r>
        <w:rPr>
          <w:rFonts w:ascii="Times New Roman" w:hAnsi="Times New Roman"/>
          <w:sz w:val="24"/>
          <w:szCs w:val="24"/>
        </w:rPr>
        <w:tab/>
        <w:t>In relation to count 1 the first respondent said the Z$3</w:t>
      </w:r>
      <w:proofErr w:type="gramStart"/>
      <w:r>
        <w:rPr>
          <w:rFonts w:ascii="Times New Roman" w:hAnsi="Times New Roman"/>
          <w:sz w:val="24"/>
          <w:szCs w:val="24"/>
        </w:rPr>
        <w:t>,5</w:t>
      </w:r>
      <w:proofErr w:type="gramEnd"/>
      <w:r>
        <w:rPr>
          <w:rFonts w:ascii="Times New Roman" w:hAnsi="Times New Roman"/>
          <w:sz w:val="24"/>
          <w:szCs w:val="24"/>
        </w:rPr>
        <w:t xml:space="preserve"> million (revalued) was </w:t>
      </w:r>
      <w:r w:rsidR="00352BF1">
        <w:rPr>
          <w:rFonts w:ascii="Times New Roman" w:hAnsi="Times New Roman"/>
          <w:sz w:val="24"/>
          <w:szCs w:val="24"/>
        </w:rPr>
        <w:t>only receipted</w:t>
      </w:r>
      <w:r>
        <w:rPr>
          <w:rFonts w:ascii="Times New Roman" w:hAnsi="Times New Roman"/>
          <w:sz w:val="24"/>
          <w:szCs w:val="24"/>
        </w:rPr>
        <w:t xml:space="preserve"> at his offices on 16 March 2007 and not in 2006 as is alleged. The first respondent said he paid it out through his law firm to </w:t>
      </w:r>
      <w:proofErr w:type="spellStart"/>
      <w:r w:rsidR="00481317">
        <w:rPr>
          <w:rFonts w:ascii="Times New Roman" w:hAnsi="Times New Roman"/>
          <w:sz w:val="24"/>
          <w:szCs w:val="24"/>
        </w:rPr>
        <w:t>Tailspring</w:t>
      </w:r>
      <w:proofErr w:type="spellEnd"/>
      <w:r w:rsidR="00481317">
        <w:rPr>
          <w:rFonts w:ascii="Times New Roman" w:hAnsi="Times New Roman"/>
          <w:sz w:val="24"/>
          <w:szCs w:val="24"/>
        </w:rPr>
        <w:t xml:space="preserve"> Investments represented by the buyer Stephen on </w:t>
      </w:r>
    </w:p>
    <w:p w:rsidR="00F450D9" w:rsidRDefault="00F450D9" w:rsidP="00DC69F4">
      <w:pPr>
        <w:spacing w:after="0" w:line="360" w:lineRule="auto"/>
        <w:jc w:val="both"/>
        <w:rPr>
          <w:rFonts w:ascii="Times New Roman" w:hAnsi="Times New Roman"/>
          <w:sz w:val="24"/>
          <w:szCs w:val="24"/>
        </w:rPr>
      </w:pPr>
    </w:p>
    <w:p w:rsidR="00F4321E" w:rsidRDefault="00481317" w:rsidP="00DC69F4">
      <w:pPr>
        <w:spacing w:after="0" w:line="360" w:lineRule="auto"/>
        <w:jc w:val="both"/>
        <w:rPr>
          <w:rFonts w:ascii="Times New Roman" w:hAnsi="Times New Roman"/>
          <w:sz w:val="24"/>
          <w:szCs w:val="24"/>
        </w:rPr>
      </w:pPr>
      <w:r>
        <w:rPr>
          <w:rFonts w:ascii="Times New Roman" w:hAnsi="Times New Roman"/>
          <w:sz w:val="24"/>
          <w:szCs w:val="24"/>
        </w:rPr>
        <w:t xml:space="preserve">25 March 2007. The first respondent however said this </w:t>
      </w:r>
      <w:proofErr w:type="spellStart"/>
      <w:r>
        <w:rPr>
          <w:rFonts w:ascii="Times New Roman" w:hAnsi="Times New Roman"/>
          <w:sz w:val="24"/>
          <w:szCs w:val="24"/>
        </w:rPr>
        <w:t>cheque</w:t>
      </w:r>
      <w:proofErr w:type="spellEnd"/>
      <w:r>
        <w:rPr>
          <w:rFonts w:ascii="Times New Roman" w:hAnsi="Times New Roman"/>
          <w:sz w:val="24"/>
          <w:szCs w:val="24"/>
        </w:rPr>
        <w:t xml:space="preserve"> was never presented for payment and was outstanding at the close of the first respondent’s financial year in August 2007 as per both the cash book and audit. The first respondent therefore denies converting the Z$3</w:t>
      </w:r>
      <w:proofErr w:type="gramStart"/>
      <w:r>
        <w:rPr>
          <w:rFonts w:ascii="Times New Roman" w:hAnsi="Times New Roman"/>
          <w:sz w:val="24"/>
          <w:szCs w:val="24"/>
        </w:rPr>
        <w:t>,5</w:t>
      </w:r>
      <w:proofErr w:type="gramEnd"/>
      <w:r>
        <w:rPr>
          <w:rFonts w:ascii="Times New Roman" w:hAnsi="Times New Roman"/>
          <w:sz w:val="24"/>
          <w:szCs w:val="24"/>
        </w:rPr>
        <w:t xml:space="preserve"> million (equivalent) to his own use </w:t>
      </w:r>
      <w:r w:rsidR="000B4782">
        <w:rPr>
          <w:rFonts w:ascii="Times New Roman" w:hAnsi="Times New Roman"/>
          <w:sz w:val="24"/>
          <w:szCs w:val="24"/>
        </w:rPr>
        <w:t>in count 1.</w:t>
      </w:r>
    </w:p>
    <w:p w:rsidR="000B4782" w:rsidRDefault="000B4782" w:rsidP="00DC69F4">
      <w:pPr>
        <w:spacing w:after="0" w:line="360" w:lineRule="auto"/>
        <w:jc w:val="both"/>
        <w:rPr>
          <w:rFonts w:ascii="Times New Roman" w:hAnsi="Times New Roman"/>
          <w:sz w:val="24"/>
          <w:szCs w:val="24"/>
        </w:rPr>
      </w:pPr>
      <w:r>
        <w:rPr>
          <w:rFonts w:ascii="Times New Roman" w:hAnsi="Times New Roman"/>
          <w:sz w:val="24"/>
          <w:szCs w:val="24"/>
        </w:rPr>
        <w:tab/>
        <w:t xml:space="preserve">In relation to count 2 the first respondent said Everson on his own negotiated the purchase price for a further payment of Z$160 000 000. The first respondent admits that the amount of Z$35 000 000 being transfer fees and Z$160 000 000 price adjustment were paid into his law firm’s </w:t>
      </w:r>
      <w:r w:rsidR="00352BF1">
        <w:rPr>
          <w:rFonts w:ascii="Times New Roman" w:hAnsi="Times New Roman"/>
          <w:sz w:val="24"/>
          <w:szCs w:val="24"/>
        </w:rPr>
        <w:t>account</w:t>
      </w:r>
      <w:r>
        <w:rPr>
          <w:rFonts w:ascii="Times New Roman" w:hAnsi="Times New Roman"/>
          <w:sz w:val="24"/>
          <w:szCs w:val="24"/>
        </w:rPr>
        <w:t xml:space="preserve"> on 17 April 2007 by the buyer Stephen. The first respondent said he advised Everson </w:t>
      </w:r>
      <w:r w:rsidR="00352BF1">
        <w:rPr>
          <w:rFonts w:ascii="Times New Roman" w:hAnsi="Times New Roman"/>
          <w:sz w:val="24"/>
          <w:szCs w:val="24"/>
        </w:rPr>
        <w:t>the seller,</w:t>
      </w:r>
      <w:r>
        <w:rPr>
          <w:rFonts w:ascii="Times New Roman" w:hAnsi="Times New Roman"/>
          <w:sz w:val="24"/>
          <w:szCs w:val="24"/>
        </w:rPr>
        <w:t xml:space="preserve"> but Everson refused</w:t>
      </w:r>
      <w:r w:rsidR="00352BF1">
        <w:rPr>
          <w:rFonts w:ascii="Times New Roman" w:hAnsi="Times New Roman"/>
          <w:sz w:val="24"/>
          <w:szCs w:val="24"/>
        </w:rPr>
        <w:t xml:space="preserve"> to</w:t>
      </w:r>
      <w:r>
        <w:rPr>
          <w:rFonts w:ascii="Times New Roman" w:hAnsi="Times New Roman"/>
          <w:sz w:val="24"/>
          <w:szCs w:val="24"/>
        </w:rPr>
        <w:t xml:space="preserve"> accept the money alleging payment was late and in b</w:t>
      </w:r>
      <w:r w:rsidR="00352BF1">
        <w:rPr>
          <w:rFonts w:ascii="Times New Roman" w:hAnsi="Times New Roman"/>
          <w:sz w:val="24"/>
          <w:szCs w:val="24"/>
        </w:rPr>
        <w:t xml:space="preserve">reach of the agreement of sale. </w:t>
      </w:r>
      <w:r>
        <w:rPr>
          <w:rFonts w:ascii="Times New Roman" w:hAnsi="Times New Roman"/>
          <w:sz w:val="24"/>
          <w:szCs w:val="24"/>
        </w:rPr>
        <w:t>The first respondent said</w:t>
      </w:r>
      <w:r w:rsidR="00F55149">
        <w:rPr>
          <w:rFonts w:ascii="Times New Roman" w:hAnsi="Times New Roman"/>
          <w:sz w:val="24"/>
          <w:szCs w:val="24"/>
        </w:rPr>
        <w:t xml:space="preserve"> this amount was rendered valueless</w:t>
      </w:r>
      <w:r w:rsidR="006E48DE">
        <w:rPr>
          <w:rFonts w:ascii="Times New Roman" w:hAnsi="Times New Roman"/>
          <w:sz w:val="24"/>
          <w:szCs w:val="24"/>
        </w:rPr>
        <w:t xml:space="preserve"> while </w:t>
      </w:r>
      <w:r w:rsidR="00352BF1">
        <w:rPr>
          <w:rFonts w:ascii="Times New Roman" w:hAnsi="Times New Roman"/>
          <w:sz w:val="24"/>
          <w:szCs w:val="24"/>
        </w:rPr>
        <w:t>in</w:t>
      </w:r>
      <w:r w:rsidR="006E48DE">
        <w:rPr>
          <w:rFonts w:ascii="Times New Roman" w:hAnsi="Times New Roman"/>
          <w:sz w:val="24"/>
          <w:szCs w:val="24"/>
        </w:rPr>
        <w:t xml:space="preserve"> his law firm’s books </w:t>
      </w:r>
      <w:r w:rsidR="00352BF1">
        <w:rPr>
          <w:rFonts w:ascii="Times New Roman" w:hAnsi="Times New Roman"/>
          <w:sz w:val="24"/>
          <w:szCs w:val="24"/>
        </w:rPr>
        <w:t>due</w:t>
      </w:r>
      <w:r w:rsidR="006E48DE">
        <w:rPr>
          <w:rFonts w:ascii="Times New Roman" w:hAnsi="Times New Roman"/>
          <w:sz w:val="24"/>
          <w:szCs w:val="24"/>
        </w:rPr>
        <w:t xml:space="preserve"> to hyperinflation when the Zimbabwean currency was revalued. The first respondent also denies converting this amount to his own use. </w:t>
      </w:r>
    </w:p>
    <w:p w:rsidR="006E48DE" w:rsidRDefault="006E48DE" w:rsidP="00DC69F4">
      <w:pPr>
        <w:spacing w:after="0" w:line="360" w:lineRule="auto"/>
        <w:jc w:val="both"/>
        <w:rPr>
          <w:rFonts w:ascii="Times New Roman" w:hAnsi="Times New Roman"/>
          <w:sz w:val="24"/>
          <w:szCs w:val="24"/>
        </w:rPr>
      </w:pPr>
      <w:r>
        <w:rPr>
          <w:rFonts w:ascii="Times New Roman" w:hAnsi="Times New Roman"/>
          <w:sz w:val="24"/>
          <w:szCs w:val="24"/>
        </w:rPr>
        <w:tab/>
        <w:t xml:space="preserve">The state led evidence from the seller Everson, the buyer Stephen, the manager of Barclays Bank one </w:t>
      </w:r>
      <w:proofErr w:type="spellStart"/>
      <w:r w:rsidR="00462F63">
        <w:rPr>
          <w:rFonts w:ascii="Times New Roman" w:hAnsi="Times New Roman"/>
          <w:sz w:val="24"/>
          <w:szCs w:val="24"/>
        </w:rPr>
        <w:t>Etwell</w:t>
      </w:r>
      <w:proofErr w:type="spellEnd"/>
      <w:r>
        <w:rPr>
          <w:rFonts w:ascii="Times New Roman" w:hAnsi="Times New Roman"/>
          <w:sz w:val="24"/>
          <w:szCs w:val="24"/>
        </w:rPr>
        <w:t xml:space="preserve"> Mhlanga and Mambo </w:t>
      </w:r>
      <w:proofErr w:type="spellStart"/>
      <w:r>
        <w:rPr>
          <w:rFonts w:ascii="Times New Roman" w:hAnsi="Times New Roman"/>
          <w:sz w:val="24"/>
          <w:szCs w:val="24"/>
        </w:rPr>
        <w:t>Nyeperai</w:t>
      </w:r>
      <w:proofErr w:type="spellEnd"/>
      <w:r>
        <w:rPr>
          <w:rFonts w:ascii="Times New Roman" w:hAnsi="Times New Roman"/>
          <w:sz w:val="24"/>
          <w:szCs w:val="24"/>
        </w:rPr>
        <w:t xml:space="preserve"> an Accountant</w:t>
      </w:r>
      <w:r w:rsidR="00462F63">
        <w:rPr>
          <w:rFonts w:ascii="Times New Roman" w:hAnsi="Times New Roman"/>
          <w:sz w:val="24"/>
          <w:szCs w:val="24"/>
        </w:rPr>
        <w:t xml:space="preserve"> with the law firm </w:t>
      </w:r>
      <w:proofErr w:type="spellStart"/>
      <w:r w:rsidR="00462F63">
        <w:rPr>
          <w:rFonts w:ascii="Times New Roman" w:hAnsi="Times New Roman"/>
          <w:sz w:val="24"/>
          <w:szCs w:val="24"/>
        </w:rPr>
        <w:t>Manase</w:t>
      </w:r>
      <w:proofErr w:type="spellEnd"/>
      <w:r w:rsidR="00462F63">
        <w:rPr>
          <w:rFonts w:ascii="Times New Roman" w:hAnsi="Times New Roman"/>
          <w:sz w:val="24"/>
          <w:szCs w:val="24"/>
        </w:rPr>
        <w:t xml:space="preserve"> and </w:t>
      </w:r>
      <w:proofErr w:type="spellStart"/>
      <w:r w:rsidR="00462F63">
        <w:rPr>
          <w:rFonts w:ascii="Times New Roman" w:hAnsi="Times New Roman"/>
          <w:sz w:val="24"/>
          <w:szCs w:val="24"/>
        </w:rPr>
        <w:t>Manase</w:t>
      </w:r>
      <w:proofErr w:type="spellEnd"/>
      <w:r w:rsidR="00462F63">
        <w:rPr>
          <w:rFonts w:ascii="Times New Roman" w:hAnsi="Times New Roman"/>
          <w:sz w:val="24"/>
          <w:szCs w:val="24"/>
        </w:rPr>
        <w:t>.</w:t>
      </w:r>
    </w:p>
    <w:p w:rsidR="00462F63" w:rsidRDefault="00462F63" w:rsidP="00DC69F4">
      <w:pPr>
        <w:spacing w:after="0" w:line="360" w:lineRule="auto"/>
        <w:jc w:val="both"/>
        <w:rPr>
          <w:rFonts w:ascii="Times New Roman" w:hAnsi="Times New Roman"/>
          <w:sz w:val="24"/>
          <w:szCs w:val="24"/>
        </w:rPr>
      </w:pPr>
      <w:r>
        <w:rPr>
          <w:rFonts w:ascii="Times New Roman" w:hAnsi="Times New Roman"/>
          <w:sz w:val="24"/>
          <w:szCs w:val="24"/>
        </w:rPr>
        <w:tab/>
        <w:t xml:space="preserve">At the close of the state case the first respondent successfully made an application for discharge in terms of </w:t>
      </w:r>
      <w:r w:rsidR="00A22447">
        <w:rPr>
          <w:rFonts w:ascii="Times New Roman" w:hAnsi="Times New Roman"/>
          <w:sz w:val="24"/>
          <w:szCs w:val="24"/>
        </w:rPr>
        <w:t>s</w:t>
      </w:r>
      <w:r>
        <w:rPr>
          <w:rFonts w:ascii="Times New Roman" w:hAnsi="Times New Roman"/>
          <w:sz w:val="24"/>
          <w:szCs w:val="24"/>
        </w:rPr>
        <w:t>198 (3) of the Criminal Procedure and Evidence Act [</w:t>
      </w:r>
      <w:r w:rsidRPr="00A22447">
        <w:rPr>
          <w:rFonts w:ascii="Times New Roman" w:hAnsi="Times New Roman"/>
          <w:i/>
          <w:sz w:val="24"/>
          <w:szCs w:val="24"/>
        </w:rPr>
        <w:t>C</w:t>
      </w:r>
      <w:r w:rsidR="00A22447">
        <w:rPr>
          <w:rFonts w:ascii="Times New Roman" w:hAnsi="Times New Roman"/>
          <w:i/>
          <w:sz w:val="24"/>
          <w:szCs w:val="24"/>
        </w:rPr>
        <w:t>hapter</w:t>
      </w:r>
      <w:r w:rsidRPr="00A22447">
        <w:rPr>
          <w:rFonts w:ascii="Times New Roman" w:hAnsi="Times New Roman"/>
          <w:i/>
          <w:sz w:val="24"/>
          <w:szCs w:val="24"/>
        </w:rPr>
        <w:t xml:space="preserve"> 9:07</w:t>
      </w:r>
      <w:r>
        <w:rPr>
          <w:rFonts w:ascii="Times New Roman" w:hAnsi="Times New Roman"/>
          <w:sz w:val="24"/>
          <w:szCs w:val="24"/>
        </w:rPr>
        <w:t xml:space="preserve">]. The trial court discharged the first respondent at the close of the state case in respect of </w:t>
      </w:r>
      <w:r w:rsidR="00352BF1">
        <w:rPr>
          <w:rFonts w:ascii="Times New Roman" w:hAnsi="Times New Roman"/>
          <w:sz w:val="24"/>
          <w:szCs w:val="24"/>
        </w:rPr>
        <w:t>both counts.</w:t>
      </w:r>
    </w:p>
    <w:p w:rsidR="00462F63" w:rsidRDefault="00587561" w:rsidP="00DC69F4">
      <w:pPr>
        <w:spacing w:after="0" w:line="360" w:lineRule="auto"/>
        <w:jc w:val="both"/>
        <w:rPr>
          <w:rFonts w:ascii="Times New Roman" w:hAnsi="Times New Roman"/>
          <w:sz w:val="24"/>
          <w:szCs w:val="24"/>
        </w:rPr>
      </w:pPr>
      <w:r>
        <w:rPr>
          <w:rFonts w:ascii="Times New Roman" w:hAnsi="Times New Roman"/>
          <w:sz w:val="24"/>
          <w:szCs w:val="24"/>
        </w:rPr>
        <w:tab/>
        <w:t xml:space="preserve">The applicant is aggrieved by this decision and intends, as per the draft grounds of appeal, to appeal against this decision. However, in order to do so the applicant should comply with the provisions of s 61 of the Magistrate Court Act </w:t>
      </w:r>
      <w:r w:rsidR="00A00413">
        <w:rPr>
          <w:rFonts w:ascii="Times New Roman" w:hAnsi="Times New Roman"/>
          <w:sz w:val="24"/>
          <w:szCs w:val="24"/>
        </w:rPr>
        <w:t>[</w:t>
      </w:r>
      <w:r w:rsidRPr="00A22447">
        <w:rPr>
          <w:rFonts w:ascii="Times New Roman" w:hAnsi="Times New Roman"/>
          <w:i/>
          <w:sz w:val="24"/>
          <w:szCs w:val="24"/>
        </w:rPr>
        <w:t>C</w:t>
      </w:r>
      <w:r w:rsidR="00A22447" w:rsidRPr="00A22447">
        <w:rPr>
          <w:rFonts w:ascii="Times New Roman" w:hAnsi="Times New Roman"/>
          <w:i/>
          <w:sz w:val="24"/>
          <w:szCs w:val="24"/>
        </w:rPr>
        <w:t>hapter</w:t>
      </w:r>
      <w:r w:rsidRPr="00A22447">
        <w:rPr>
          <w:rFonts w:ascii="Times New Roman" w:hAnsi="Times New Roman"/>
          <w:i/>
          <w:sz w:val="24"/>
          <w:szCs w:val="24"/>
        </w:rPr>
        <w:t xml:space="preserve"> 7:10</w:t>
      </w:r>
      <w:r w:rsidR="00A00413">
        <w:rPr>
          <w:rFonts w:ascii="Times New Roman" w:hAnsi="Times New Roman"/>
          <w:sz w:val="24"/>
          <w:szCs w:val="24"/>
        </w:rPr>
        <w:t>]</w:t>
      </w:r>
      <w:r>
        <w:rPr>
          <w:rFonts w:ascii="Times New Roman" w:hAnsi="Times New Roman"/>
          <w:sz w:val="24"/>
          <w:szCs w:val="24"/>
        </w:rPr>
        <w:t xml:space="preserve"> which provides as follows:</w:t>
      </w:r>
    </w:p>
    <w:p w:rsidR="008C722E" w:rsidRDefault="00587561" w:rsidP="008C722E">
      <w:pPr>
        <w:spacing w:after="0" w:line="240" w:lineRule="auto"/>
        <w:jc w:val="both"/>
        <w:rPr>
          <w:rFonts w:ascii="Times New Roman" w:hAnsi="Times New Roman"/>
        </w:rPr>
      </w:pPr>
      <w:r>
        <w:rPr>
          <w:rFonts w:ascii="Times New Roman" w:hAnsi="Times New Roman"/>
          <w:sz w:val="24"/>
          <w:szCs w:val="24"/>
        </w:rPr>
        <w:tab/>
      </w:r>
      <w:r w:rsidRPr="008C722E">
        <w:rPr>
          <w:rFonts w:ascii="Times New Roman" w:hAnsi="Times New Roman"/>
        </w:rPr>
        <w:t>“61 Attorney General may appeal to High Court on</w:t>
      </w:r>
      <w:r w:rsidR="008C722E" w:rsidRPr="008C722E">
        <w:rPr>
          <w:rFonts w:ascii="Times New Roman" w:hAnsi="Times New Roman"/>
        </w:rPr>
        <w:t xml:space="preserve"> point of law or against acquittal.</w:t>
      </w:r>
    </w:p>
    <w:p w:rsidR="008C722E" w:rsidRDefault="008C722E" w:rsidP="008C722E">
      <w:pPr>
        <w:spacing w:after="0" w:line="240" w:lineRule="auto"/>
        <w:jc w:val="both"/>
        <w:rPr>
          <w:rFonts w:ascii="Times New Roman" w:hAnsi="Times New Roman"/>
        </w:rPr>
      </w:pPr>
      <w:r>
        <w:rPr>
          <w:rFonts w:ascii="Times New Roman" w:hAnsi="Times New Roman"/>
        </w:rPr>
        <w:tab/>
      </w:r>
    </w:p>
    <w:p w:rsidR="008C722E" w:rsidRDefault="008C722E" w:rsidP="008C722E">
      <w:pPr>
        <w:spacing w:after="0" w:line="240" w:lineRule="auto"/>
        <w:jc w:val="both"/>
        <w:rPr>
          <w:rFonts w:ascii="Times New Roman" w:hAnsi="Times New Roman"/>
        </w:rPr>
      </w:pPr>
      <w:r>
        <w:rPr>
          <w:rFonts w:ascii="Times New Roman" w:hAnsi="Times New Roman"/>
        </w:rPr>
        <w:tab/>
        <w:t>If the Attorney General is dissatisfied with the judgment of a court in a criminal mater--------</w:t>
      </w:r>
    </w:p>
    <w:p w:rsidR="008C722E" w:rsidRDefault="008C722E" w:rsidP="008C722E">
      <w:pPr>
        <w:spacing w:after="0" w:line="240" w:lineRule="auto"/>
        <w:jc w:val="both"/>
        <w:rPr>
          <w:rFonts w:ascii="Times New Roman" w:hAnsi="Times New Roman"/>
        </w:rPr>
      </w:pPr>
      <w:r>
        <w:rPr>
          <w:rFonts w:ascii="Times New Roman" w:hAnsi="Times New Roman"/>
        </w:rPr>
        <w:tab/>
        <w:t xml:space="preserve">(a) </w:t>
      </w:r>
      <w:proofErr w:type="gramStart"/>
      <w:r>
        <w:rPr>
          <w:rFonts w:ascii="Times New Roman" w:hAnsi="Times New Roman"/>
        </w:rPr>
        <w:t>upon</w:t>
      </w:r>
      <w:proofErr w:type="gramEnd"/>
      <w:r>
        <w:rPr>
          <w:rFonts w:ascii="Times New Roman" w:hAnsi="Times New Roman"/>
        </w:rPr>
        <w:t xml:space="preserve"> a point of law, or</w:t>
      </w:r>
    </w:p>
    <w:p w:rsidR="008C722E" w:rsidRDefault="008C722E" w:rsidP="008C722E">
      <w:pPr>
        <w:spacing w:after="0" w:line="240" w:lineRule="auto"/>
        <w:jc w:val="both"/>
        <w:rPr>
          <w:rFonts w:ascii="Times New Roman" w:hAnsi="Times New Roman"/>
        </w:rPr>
      </w:pPr>
      <w:r>
        <w:rPr>
          <w:rFonts w:ascii="Times New Roman" w:hAnsi="Times New Roman"/>
        </w:rPr>
        <w:tab/>
        <w:t xml:space="preserve">(b) </w:t>
      </w:r>
      <w:proofErr w:type="gramStart"/>
      <w:r>
        <w:rPr>
          <w:rFonts w:ascii="Times New Roman" w:hAnsi="Times New Roman"/>
        </w:rPr>
        <w:t>because</w:t>
      </w:r>
      <w:proofErr w:type="gramEnd"/>
      <w:r>
        <w:rPr>
          <w:rFonts w:ascii="Times New Roman" w:hAnsi="Times New Roman"/>
        </w:rPr>
        <w:t xml:space="preserve"> </w:t>
      </w:r>
      <w:r w:rsidR="005D1034">
        <w:rPr>
          <w:rFonts w:ascii="Times New Roman" w:hAnsi="Times New Roman"/>
        </w:rPr>
        <w:t>it has</w:t>
      </w:r>
      <w:r>
        <w:rPr>
          <w:rFonts w:ascii="Times New Roman" w:hAnsi="Times New Roman"/>
        </w:rPr>
        <w:t xml:space="preserve"> acquitted or quashed the conviction of any person who was the accused  in the </w:t>
      </w:r>
      <w:r>
        <w:rPr>
          <w:rFonts w:ascii="Times New Roman" w:hAnsi="Times New Roman"/>
        </w:rPr>
        <w:tab/>
        <w:t>case  on a view of the facts which could not be reasonably entertained;</w:t>
      </w:r>
    </w:p>
    <w:p w:rsidR="008C722E" w:rsidRDefault="008C722E" w:rsidP="008C722E">
      <w:pPr>
        <w:spacing w:after="0" w:line="240" w:lineRule="auto"/>
        <w:jc w:val="both"/>
        <w:rPr>
          <w:rFonts w:ascii="Times New Roman" w:hAnsi="Times New Roman"/>
        </w:rPr>
      </w:pPr>
      <w:r>
        <w:rPr>
          <w:rFonts w:ascii="Times New Roman" w:hAnsi="Times New Roman"/>
        </w:rPr>
        <w:tab/>
      </w:r>
    </w:p>
    <w:p w:rsidR="008C722E" w:rsidRDefault="008C722E" w:rsidP="005D1034">
      <w:pPr>
        <w:spacing w:after="0" w:line="240" w:lineRule="auto"/>
        <w:rPr>
          <w:rFonts w:ascii="Times New Roman" w:hAnsi="Times New Roman"/>
          <w:sz w:val="24"/>
          <w:szCs w:val="24"/>
        </w:rPr>
      </w:pPr>
      <w:r>
        <w:rPr>
          <w:rFonts w:ascii="Times New Roman" w:hAnsi="Times New Roman"/>
        </w:rPr>
        <w:tab/>
        <w:t xml:space="preserve">He may, </w:t>
      </w:r>
      <w:r>
        <w:rPr>
          <w:rFonts w:ascii="Times New Roman" w:hAnsi="Times New Roman"/>
          <w:u w:val="single"/>
        </w:rPr>
        <w:t>with the leave of a judge of the High Court,</w:t>
      </w:r>
      <w:r w:rsidRPr="008C722E">
        <w:rPr>
          <w:rFonts w:ascii="Times New Roman" w:hAnsi="Times New Roman"/>
        </w:rPr>
        <w:t xml:space="preserve"> appeal to the High</w:t>
      </w:r>
      <w:r>
        <w:rPr>
          <w:rFonts w:ascii="Times New Roman" w:hAnsi="Times New Roman"/>
        </w:rPr>
        <w:t xml:space="preserve"> Court against this </w:t>
      </w:r>
      <w:r w:rsidR="005D1034">
        <w:rPr>
          <w:rFonts w:ascii="Times New Roman" w:hAnsi="Times New Roman"/>
        </w:rPr>
        <w:tab/>
      </w:r>
      <w:r>
        <w:rPr>
          <w:rFonts w:ascii="Times New Roman" w:hAnsi="Times New Roman"/>
        </w:rPr>
        <w:t>ju</w:t>
      </w:r>
      <w:r w:rsidR="00C65D62">
        <w:rPr>
          <w:rFonts w:ascii="Times New Roman" w:hAnsi="Times New Roman"/>
        </w:rPr>
        <w:t xml:space="preserve">dgement;” </w:t>
      </w:r>
      <w:r w:rsidR="00C65D62" w:rsidRPr="00C65D62">
        <w:rPr>
          <w:rFonts w:ascii="Times New Roman" w:hAnsi="Times New Roman"/>
          <w:sz w:val="24"/>
          <w:szCs w:val="24"/>
        </w:rPr>
        <w:t>(emphasis is my own)</w:t>
      </w:r>
    </w:p>
    <w:p w:rsidR="00CD7064" w:rsidRDefault="00CD7064" w:rsidP="008C722E">
      <w:pPr>
        <w:spacing w:after="0" w:line="240" w:lineRule="auto"/>
        <w:jc w:val="both"/>
        <w:rPr>
          <w:rFonts w:ascii="Times New Roman" w:hAnsi="Times New Roman"/>
          <w:sz w:val="24"/>
          <w:szCs w:val="24"/>
        </w:rPr>
      </w:pPr>
    </w:p>
    <w:p w:rsidR="00F450D9" w:rsidRDefault="00F450D9" w:rsidP="008C722E">
      <w:pPr>
        <w:spacing w:after="0" w:line="240" w:lineRule="auto"/>
        <w:jc w:val="both"/>
        <w:rPr>
          <w:rFonts w:ascii="Times New Roman" w:hAnsi="Times New Roman"/>
          <w:sz w:val="24"/>
          <w:szCs w:val="24"/>
        </w:rPr>
      </w:pPr>
    </w:p>
    <w:p w:rsidR="00F450D9" w:rsidRDefault="00F450D9" w:rsidP="008C722E">
      <w:pPr>
        <w:spacing w:after="0" w:line="240" w:lineRule="auto"/>
        <w:jc w:val="both"/>
        <w:rPr>
          <w:rFonts w:ascii="Times New Roman" w:hAnsi="Times New Roman"/>
          <w:sz w:val="24"/>
          <w:szCs w:val="24"/>
        </w:rPr>
      </w:pPr>
    </w:p>
    <w:p w:rsidR="00CA4756" w:rsidRDefault="00CD7064" w:rsidP="00CD7064">
      <w:pPr>
        <w:spacing w:after="0" w:line="360" w:lineRule="auto"/>
        <w:jc w:val="both"/>
        <w:rPr>
          <w:rFonts w:ascii="Times New Roman" w:hAnsi="Times New Roman"/>
          <w:sz w:val="24"/>
          <w:szCs w:val="24"/>
        </w:rPr>
      </w:pPr>
      <w:r>
        <w:rPr>
          <w:rFonts w:ascii="Times New Roman" w:hAnsi="Times New Roman"/>
          <w:sz w:val="24"/>
          <w:szCs w:val="24"/>
        </w:rPr>
        <w:tab/>
        <w:t xml:space="preserve">In case of </w:t>
      </w:r>
      <w:r w:rsidRPr="00CD7064">
        <w:rPr>
          <w:rFonts w:ascii="Times New Roman" w:hAnsi="Times New Roman"/>
          <w:i/>
          <w:sz w:val="24"/>
          <w:szCs w:val="24"/>
        </w:rPr>
        <w:t xml:space="preserve">Attorney General </w:t>
      </w:r>
      <w:r w:rsidRPr="00CD7064">
        <w:rPr>
          <w:rFonts w:ascii="Times New Roman" w:hAnsi="Times New Roman"/>
          <w:sz w:val="24"/>
          <w:szCs w:val="24"/>
        </w:rPr>
        <w:t>v</w:t>
      </w:r>
      <w:r w:rsidRPr="00CD7064">
        <w:rPr>
          <w:rFonts w:ascii="Times New Roman" w:hAnsi="Times New Roman"/>
          <w:i/>
          <w:sz w:val="24"/>
          <w:szCs w:val="24"/>
        </w:rPr>
        <w:t xml:space="preserve"> </w:t>
      </w:r>
      <w:proofErr w:type="spellStart"/>
      <w:r w:rsidRPr="00CD7064">
        <w:rPr>
          <w:rFonts w:ascii="Times New Roman" w:hAnsi="Times New Roman"/>
          <w:i/>
          <w:sz w:val="24"/>
          <w:szCs w:val="24"/>
        </w:rPr>
        <w:t>Lafleur</w:t>
      </w:r>
      <w:proofErr w:type="spellEnd"/>
      <w:r w:rsidRPr="00CD7064">
        <w:rPr>
          <w:rFonts w:ascii="Times New Roman" w:hAnsi="Times New Roman"/>
          <w:i/>
          <w:sz w:val="24"/>
          <w:szCs w:val="24"/>
        </w:rPr>
        <w:t xml:space="preserve"> &amp; </w:t>
      </w:r>
      <w:proofErr w:type="spellStart"/>
      <w:r w:rsidRPr="00CD7064">
        <w:rPr>
          <w:rFonts w:ascii="Times New Roman" w:hAnsi="Times New Roman"/>
          <w:i/>
          <w:sz w:val="24"/>
          <w:szCs w:val="24"/>
        </w:rPr>
        <w:t>Anor</w:t>
      </w:r>
      <w:proofErr w:type="spellEnd"/>
      <w:r w:rsidRPr="00CD7064">
        <w:rPr>
          <w:rFonts w:ascii="Times New Roman" w:hAnsi="Times New Roman"/>
          <w:i/>
          <w:sz w:val="24"/>
          <w:szCs w:val="24"/>
        </w:rPr>
        <w:t>,</w:t>
      </w:r>
      <w:r>
        <w:rPr>
          <w:rFonts w:ascii="Times New Roman" w:hAnsi="Times New Roman"/>
          <w:sz w:val="24"/>
          <w:szCs w:val="24"/>
        </w:rPr>
        <w:t xml:space="preserve"> 1998(1) ZLR 520(H) </w:t>
      </w:r>
      <w:r w:rsidR="00A22447">
        <w:rPr>
          <w:rFonts w:ascii="Times New Roman" w:hAnsi="Times New Roman"/>
          <w:sz w:val="24"/>
          <w:szCs w:val="24"/>
        </w:rPr>
        <w:t>B</w:t>
      </w:r>
      <w:r w:rsidR="00CA4756">
        <w:rPr>
          <w:rFonts w:ascii="Times New Roman" w:hAnsi="Times New Roman"/>
          <w:sz w:val="24"/>
          <w:szCs w:val="24"/>
        </w:rPr>
        <w:t>lackie</w:t>
      </w:r>
      <w:r w:rsidR="00A22447">
        <w:rPr>
          <w:rFonts w:ascii="Times New Roman" w:hAnsi="Times New Roman"/>
          <w:sz w:val="24"/>
          <w:szCs w:val="24"/>
        </w:rPr>
        <w:t xml:space="preserve"> </w:t>
      </w:r>
      <w:r>
        <w:rPr>
          <w:rFonts w:ascii="Times New Roman" w:hAnsi="Times New Roman"/>
          <w:sz w:val="24"/>
          <w:szCs w:val="24"/>
        </w:rPr>
        <w:t xml:space="preserve">J stated that the </w:t>
      </w:r>
      <w:r w:rsidRPr="00CD7064">
        <w:rPr>
          <w:rFonts w:ascii="Times New Roman" w:hAnsi="Times New Roman"/>
          <w:i/>
          <w:sz w:val="24"/>
          <w:szCs w:val="24"/>
        </w:rPr>
        <w:t>onus</w:t>
      </w:r>
      <w:r>
        <w:rPr>
          <w:rFonts w:ascii="Times New Roman" w:hAnsi="Times New Roman"/>
          <w:sz w:val="24"/>
          <w:szCs w:val="24"/>
        </w:rPr>
        <w:t xml:space="preserve"> is on the Attorney General (the applicant </w:t>
      </w:r>
      <w:r w:rsidRPr="00CA4756">
        <w:rPr>
          <w:rFonts w:ascii="Times New Roman" w:hAnsi="Times New Roman"/>
          <w:sz w:val="24"/>
          <w:szCs w:val="24"/>
        </w:rPr>
        <w:t>in</w:t>
      </w:r>
      <w:r w:rsidRPr="00CD7064">
        <w:rPr>
          <w:rFonts w:ascii="Times New Roman" w:hAnsi="Times New Roman"/>
          <w:i/>
          <w:sz w:val="24"/>
          <w:szCs w:val="24"/>
        </w:rPr>
        <w:t xml:space="preserve"> casu</w:t>
      </w:r>
      <w:r>
        <w:rPr>
          <w:rFonts w:ascii="Times New Roman" w:hAnsi="Times New Roman"/>
          <w:sz w:val="24"/>
          <w:szCs w:val="24"/>
        </w:rPr>
        <w:t xml:space="preserve">) to bring the application within the </w:t>
      </w:r>
    </w:p>
    <w:p w:rsidR="00CD7064" w:rsidRDefault="00CD7064" w:rsidP="00CD7064">
      <w:pPr>
        <w:spacing w:after="0" w:line="360" w:lineRule="auto"/>
        <w:jc w:val="both"/>
        <w:rPr>
          <w:rFonts w:ascii="Times New Roman" w:hAnsi="Times New Roman"/>
          <w:sz w:val="24"/>
          <w:szCs w:val="24"/>
        </w:rPr>
      </w:pPr>
      <w:proofErr w:type="gramStart"/>
      <w:r>
        <w:rPr>
          <w:rFonts w:ascii="Times New Roman" w:hAnsi="Times New Roman"/>
          <w:sz w:val="24"/>
          <w:szCs w:val="24"/>
        </w:rPr>
        <w:t>terms</w:t>
      </w:r>
      <w:proofErr w:type="gramEnd"/>
      <w:r>
        <w:rPr>
          <w:rFonts w:ascii="Times New Roman" w:hAnsi="Times New Roman"/>
          <w:sz w:val="24"/>
          <w:szCs w:val="24"/>
        </w:rPr>
        <w:t xml:space="preserve"> of s 61 of the Magistrates Court Act [</w:t>
      </w:r>
      <w:r w:rsidR="00475FEC">
        <w:rPr>
          <w:rFonts w:ascii="Times New Roman" w:hAnsi="Times New Roman"/>
          <w:i/>
          <w:sz w:val="24"/>
          <w:szCs w:val="24"/>
        </w:rPr>
        <w:t>Chapter</w:t>
      </w:r>
      <w:r w:rsidRPr="00A22447">
        <w:rPr>
          <w:rFonts w:ascii="Times New Roman" w:hAnsi="Times New Roman"/>
          <w:i/>
          <w:sz w:val="24"/>
          <w:szCs w:val="24"/>
        </w:rPr>
        <w:t xml:space="preserve"> 7 : 10</w:t>
      </w:r>
      <w:r>
        <w:rPr>
          <w:rFonts w:ascii="Times New Roman" w:hAnsi="Times New Roman"/>
          <w:sz w:val="24"/>
          <w:szCs w:val="24"/>
        </w:rPr>
        <w:t xml:space="preserve">]. In this regard the Learned Judge said at 521 H – 522 </w:t>
      </w:r>
      <w:proofErr w:type="gramStart"/>
      <w:r>
        <w:rPr>
          <w:rFonts w:ascii="Times New Roman" w:hAnsi="Times New Roman"/>
          <w:sz w:val="24"/>
          <w:szCs w:val="24"/>
        </w:rPr>
        <w:t>A</w:t>
      </w:r>
      <w:proofErr w:type="gramEnd"/>
      <w:r>
        <w:rPr>
          <w:rFonts w:ascii="Times New Roman" w:hAnsi="Times New Roman"/>
          <w:sz w:val="24"/>
          <w:szCs w:val="24"/>
        </w:rPr>
        <w:t xml:space="preserve"> said,</w:t>
      </w:r>
    </w:p>
    <w:p w:rsidR="000B1250" w:rsidRDefault="00CD7064" w:rsidP="000B1250">
      <w:pPr>
        <w:spacing w:after="0" w:line="240" w:lineRule="auto"/>
        <w:jc w:val="both"/>
        <w:rPr>
          <w:rFonts w:ascii="Times New Roman" w:hAnsi="Times New Roman"/>
          <w:sz w:val="24"/>
          <w:szCs w:val="24"/>
        </w:rPr>
      </w:pPr>
      <w:r>
        <w:rPr>
          <w:rFonts w:ascii="Times New Roman" w:hAnsi="Times New Roman"/>
          <w:sz w:val="24"/>
          <w:szCs w:val="24"/>
        </w:rPr>
        <w:tab/>
      </w:r>
    </w:p>
    <w:p w:rsidR="00CD7064" w:rsidRDefault="000B1250" w:rsidP="00475FEC">
      <w:pPr>
        <w:spacing w:after="0" w:line="240" w:lineRule="auto"/>
        <w:rPr>
          <w:rFonts w:ascii="Times New Roman" w:hAnsi="Times New Roman"/>
        </w:rPr>
      </w:pPr>
      <w:r>
        <w:rPr>
          <w:rFonts w:ascii="Times New Roman" w:hAnsi="Times New Roman"/>
          <w:sz w:val="24"/>
          <w:szCs w:val="24"/>
        </w:rPr>
        <w:tab/>
      </w:r>
      <w:r w:rsidR="00CD7064" w:rsidRPr="000B1250">
        <w:rPr>
          <w:rFonts w:ascii="Times New Roman" w:hAnsi="Times New Roman"/>
        </w:rPr>
        <w:t>“A point</w:t>
      </w:r>
      <w:r w:rsidR="00CD7064">
        <w:rPr>
          <w:rFonts w:ascii="Times New Roman" w:hAnsi="Times New Roman"/>
          <w:sz w:val="24"/>
          <w:szCs w:val="24"/>
        </w:rPr>
        <w:t xml:space="preserve"> of </w:t>
      </w:r>
      <w:r w:rsidR="00CD7064" w:rsidRPr="000B1250">
        <w:rPr>
          <w:rFonts w:ascii="Times New Roman" w:hAnsi="Times New Roman"/>
        </w:rPr>
        <w:t xml:space="preserve">law must relate to a decision made by the trial court on a legal issue relevant </w:t>
      </w:r>
      <w:r w:rsidRPr="000B1250">
        <w:rPr>
          <w:rFonts w:ascii="Times New Roman" w:hAnsi="Times New Roman"/>
        </w:rPr>
        <w:tab/>
      </w:r>
      <w:r w:rsidR="00CD7064" w:rsidRPr="000B1250">
        <w:rPr>
          <w:rFonts w:ascii="Times New Roman" w:hAnsi="Times New Roman"/>
        </w:rPr>
        <w:t>to</w:t>
      </w:r>
      <w:r>
        <w:rPr>
          <w:rFonts w:ascii="Times New Roman" w:hAnsi="Times New Roman"/>
        </w:rPr>
        <w:t xml:space="preserve"> </w:t>
      </w:r>
      <w:r w:rsidR="00CD7064" w:rsidRPr="000B1250">
        <w:rPr>
          <w:rFonts w:ascii="Times New Roman" w:hAnsi="Times New Roman"/>
        </w:rPr>
        <w:t xml:space="preserve">the </w:t>
      </w:r>
      <w:r>
        <w:rPr>
          <w:rFonts w:ascii="Times New Roman" w:hAnsi="Times New Roman"/>
        </w:rPr>
        <w:tab/>
      </w:r>
      <w:r w:rsidR="00CD7064" w:rsidRPr="000B1250">
        <w:rPr>
          <w:rFonts w:ascii="Times New Roman" w:hAnsi="Times New Roman"/>
        </w:rPr>
        <w:t xml:space="preserve">acquittal (which the applicant believes to be wrong) and on which the </w:t>
      </w:r>
      <w:r w:rsidRPr="000B1250">
        <w:rPr>
          <w:rFonts w:ascii="Times New Roman" w:hAnsi="Times New Roman"/>
        </w:rPr>
        <w:t xml:space="preserve">trial court </w:t>
      </w:r>
      <w:r w:rsidRPr="000B1250">
        <w:rPr>
          <w:rFonts w:ascii="Times New Roman" w:hAnsi="Times New Roman"/>
        </w:rPr>
        <w:tab/>
        <w:t xml:space="preserve">based </w:t>
      </w:r>
      <w:r w:rsidR="00475FEC">
        <w:rPr>
          <w:rFonts w:ascii="Times New Roman" w:hAnsi="Times New Roman"/>
        </w:rPr>
        <w:t xml:space="preserve">its </w:t>
      </w:r>
      <w:r w:rsidRPr="000B1250">
        <w:rPr>
          <w:rFonts w:ascii="Times New Roman" w:hAnsi="Times New Roman"/>
        </w:rPr>
        <w:t xml:space="preserve"> </w:t>
      </w:r>
      <w:r>
        <w:rPr>
          <w:rFonts w:ascii="Times New Roman" w:hAnsi="Times New Roman"/>
        </w:rPr>
        <w:tab/>
      </w:r>
      <w:r w:rsidRPr="000B1250">
        <w:rPr>
          <w:rFonts w:ascii="Times New Roman" w:hAnsi="Times New Roman"/>
        </w:rPr>
        <w:t>acquittal”.</w:t>
      </w:r>
    </w:p>
    <w:p w:rsidR="000B1250" w:rsidRDefault="000B1250" w:rsidP="000B1250">
      <w:pPr>
        <w:spacing w:after="0" w:line="240" w:lineRule="auto"/>
        <w:jc w:val="both"/>
        <w:rPr>
          <w:rFonts w:ascii="Times New Roman" w:hAnsi="Times New Roman"/>
        </w:rPr>
      </w:pPr>
    </w:p>
    <w:p w:rsidR="000B1250" w:rsidRDefault="000B1250" w:rsidP="000B1250">
      <w:pPr>
        <w:spacing w:after="0" w:line="240" w:lineRule="auto"/>
        <w:jc w:val="both"/>
        <w:rPr>
          <w:rFonts w:ascii="Times New Roman" w:hAnsi="Times New Roman"/>
          <w:sz w:val="24"/>
          <w:szCs w:val="24"/>
        </w:rPr>
      </w:pPr>
      <w:r>
        <w:rPr>
          <w:rFonts w:ascii="Times New Roman" w:hAnsi="Times New Roman"/>
        </w:rPr>
        <w:tab/>
      </w:r>
      <w:r w:rsidR="006D2A6C">
        <w:rPr>
          <w:rFonts w:ascii="Times New Roman" w:hAnsi="Times New Roman"/>
          <w:sz w:val="24"/>
          <w:szCs w:val="24"/>
        </w:rPr>
        <w:t>The Learned Judge continued at 522D – E,</w:t>
      </w:r>
    </w:p>
    <w:p w:rsidR="006D2A6C" w:rsidRDefault="006D2A6C" w:rsidP="000B1250">
      <w:pPr>
        <w:spacing w:after="0" w:line="240" w:lineRule="auto"/>
        <w:jc w:val="both"/>
        <w:rPr>
          <w:rFonts w:ascii="Times New Roman" w:hAnsi="Times New Roman"/>
          <w:sz w:val="24"/>
          <w:szCs w:val="24"/>
        </w:rPr>
      </w:pPr>
    </w:p>
    <w:p w:rsidR="006D2A6C" w:rsidRDefault="006D2A6C" w:rsidP="00DE14CC">
      <w:pPr>
        <w:spacing w:after="0" w:line="240" w:lineRule="auto"/>
        <w:jc w:val="both"/>
        <w:rPr>
          <w:rFonts w:ascii="Times New Roman" w:hAnsi="Times New Roman"/>
        </w:rPr>
      </w:pPr>
      <w:r>
        <w:rPr>
          <w:rFonts w:ascii="Times New Roman" w:hAnsi="Times New Roman"/>
          <w:sz w:val="24"/>
          <w:szCs w:val="24"/>
        </w:rPr>
        <w:tab/>
        <w:t>“</w:t>
      </w:r>
      <w:r>
        <w:rPr>
          <w:rFonts w:ascii="Times New Roman" w:hAnsi="Times New Roman"/>
        </w:rPr>
        <w:t xml:space="preserve">The phrase ‘a view of the facts which could not reasonably be </w:t>
      </w:r>
      <w:r w:rsidR="00163198">
        <w:rPr>
          <w:rFonts w:ascii="Times New Roman" w:hAnsi="Times New Roman"/>
        </w:rPr>
        <w:t>entertained</w:t>
      </w:r>
      <w:r>
        <w:rPr>
          <w:rFonts w:ascii="Times New Roman" w:hAnsi="Times New Roman"/>
        </w:rPr>
        <w:t xml:space="preserve">’ means something </w:t>
      </w:r>
      <w:r>
        <w:rPr>
          <w:rFonts w:ascii="Times New Roman" w:hAnsi="Times New Roman"/>
        </w:rPr>
        <w:tab/>
        <w:t xml:space="preserve">more than mistakes or negligence on the part of the trial court. In the case of </w:t>
      </w:r>
      <w:r w:rsidRPr="006D2A6C">
        <w:rPr>
          <w:rFonts w:ascii="Times New Roman" w:hAnsi="Times New Roman"/>
          <w:i/>
        </w:rPr>
        <w:t>Attorney General</w:t>
      </w:r>
      <w:r>
        <w:rPr>
          <w:rFonts w:ascii="Times New Roman" w:hAnsi="Times New Roman"/>
        </w:rPr>
        <w:t xml:space="preserve"> </w:t>
      </w:r>
      <w:proofErr w:type="gramStart"/>
      <w:r>
        <w:rPr>
          <w:rFonts w:ascii="Times New Roman" w:hAnsi="Times New Roman"/>
        </w:rPr>
        <w:t>v</w:t>
      </w:r>
      <w:proofErr w:type="gramEnd"/>
      <w:r>
        <w:rPr>
          <w:rFonts w:ascii="Times New Roman" w:hAnsi="Times New Roman"/>
        </w:rPr>
        <w:t xml:space="preserve"> </w:t>
      </w:r>
      <w:r>
        <w:rPr>
          <w:rFonts w:ascii="Times New Roman" w:hAnsi="Times New Roman"/>
        </w:rPr>
        <w:tab/>
      </w:r>
      <w:proofErr w:type="spellStart"/>
      <w:r w:rsidR="007C77F2">
        <w:rPr>
          <w:rFonts w:ascii="Times New Roman" w:hAnsi="Times New Roman"/>
          <w:i/>
        </w:rPr>
        <w:t>Paw</w:t>
      </w:r>
      <w:r w:rsidRPr="006D2A6C">
        <w:rPr>
          <w:rFonts w:ascii="Times New Roman" w:hAnsi="Times New Roman"/>
          <w:i/>
        </w:rPr>
        <w:t>eni</w:t>
      </w:r>
      <w:proofErr w:type="spellEnd"/>
      <w:r w:rsidRPr="006D2A6C">
        <w:rPr>
          <w:rFonts w:ascii="Times New Roman" w:hAnsi="Times New Roman"/>
          <w:i/>
        </w:rPr>
        <w:t xml:space="preserve"> Trade Corp (</w:t>
      </w:r>
      <w:proofErr w:type="spellStart"/>
      <w:r w:rsidRPr="006D2A6C">
        <w:rPr>
          <w:rFonts w:ascii="Times New Roman" w:hAnsi="Times New Roman"/>
          <w:i/>
        </w:rPr>
        <w:t>Pvt</w:t>
      </w:r>
      <w:proofErr w:type="spellEnd"/>
      <w:r w:rsidRPr="006D2A6C">
        <w:rPr>
          <w:rFonts w:ascii="Times New Roman" w:hAnsi="Times New Roman"/>
          <w:i/>
        </w:rPr>
        <w:t>) Ltd</w:t>
      </w:r>
      <w:r>
        <w:rPr>
          <w:rFonts w:ascii="Times New Roman" w:hAnsi="Times New Roman"/>
        </w:rPr>
        <w:t xml:space="preserve"> 1990(1) ZLR 24 (s) </w:t>
      </w:r>
      <w:r w:rsidR="00A22447">
        <w:rPr>
          <w:rFonts w:ascii="Times New Roman" w:hAnsi="Times New Roman"/>
        </w:rPr>
        <w:t xml:space="preserve">KORSHA </w:t>
      </w:r>
      <w:r w:rsidR="00475FEC">
        <w:rPr>
          <w:rFonts w:ascii="Times New Roman" w:hAnsi="Times New Roman"/>
        </w:rPr>
        <w:t>JA with</w:t>
      </w:r>
      <w:r>
        <w:rPr>
          <w:rFonts w:ascii="Times New Roman" w:hAnsi="Times New Roman"/>
        </w:rPr>
        <w:t xml:space="preserve"> the remainder of the court, </w:t>
      </w:r>
      <w:r w:rsidR="00A22447">
        <w:rPr>
          <w:rFonts w:ascii="Times New Roman" w:hAnsi="Times New Roman"/>
        </w:rPr>
        <w:tab/>
      </w:r>
      <w:r>
        <w:rPr>
          <w:rFonts w:ascii="Times New Roman" w:hAnsi="Times New Roman"/>
        </w:rPr>
        <w:t>held</w:t>
      </w:r>
      <w:r w:rsidR="00A22447">
        <w:rPr>
          <w:rFonts w:ascii="Times New Roman" w:hAnsi="Times New Roman"/>
        </w:rPr>
        <w:t xml:space="preserve"> </w:t>
      </w:r>
      <w:r>
        <w:rPr>
          <w:rFonts w:ascii="Times New Roman" w:hAnsi="Times New Roman"/>
        </w:rPr>
        <w:t>that ------------</w:t>
      </w:r>
    </w:p>
    <w:p w:rsidR="006D2A6C" w:rsidRDefault="006D2A6C" w:rsidP="00DE14CC">
      <w:pPr>
        <w:spacing w:after="0" w:line="240" w:lineRule="auto"/>
        <w:jc w:val="both"/>
        <w:rPr>
          <w:rFonts w:ascii="Times New Roman" w:hAnsi="Times New Roman"/>
        </w:rPr>
      </w:pPr>
      <w:r>
        <w:rPr>
          <w:rFonts w:ascii="Times New Roman" w:hAnsi="Times New Roman"/>
        </w:rPr>
        <w:tab/>
      </w:r>
      <w:r>
        <w:rPr>
          <w:rFonts w:ascii="Times New Roman" w:hAnsi="Times New Roman"/>
        </w:rPr>
        <w:tab/>
      </w:r>
      <w:r w:rsidR="00D46199">
        <w:rPr>
          <w:rFonts w:ascii="Times New Roman" w:hAnsi="Times New Roman"/>
        </w:rPr>
        <w:t>‘</w:t>
      </w:r>
      <w:r>
        <w:rPr>
          <w:rFonts w:ascii="Times New Roman" w:hAnsi="Times New Roman"/>
        </w:rPr>
        <w:t xml:space="preserve">It is only when the inference drawn from the primary facts is so inconsistent with logic </w:t>
      </w:r>
      <w:r w:rsidR="00D46199">
        <w:rPr>
          <w:rFonts w:ascii="Times New Roman" w:hAnsi="Times New Roman"/>
        </w:rPr>
        <w:tab/>
      </w:r>
      <w:r w:rsidR="00D46199">
        <w:rPr>
          <w:rFonts w:ascii="Times New Roman" w:hAnsi="Times New Roman"/>
        </w:rPr>
        <w:tab/>
      </w:r>
      <w:r w:rsidR="00D46199">
        <w:rPr>
          <w:rFonts w:ascii="Times New Roman" w:hAnsi="Times New Roman"/>
        </w:rPr>
        <w:tab/>
      </w:r>
      <w:r>
        <w:rPr>
          <w:rFonts w:ascii="Times New Roman" w:hAnsi="Times New Roman"/>
        </w:rPr>
        <w:t xml:space="preserve">and common sense that the Attorney General can succeed ……………… if there are </w:t>
      </w:r>
      <w:r w:rsidR="00D46199">
        <w:rPr>
          <w:rFonts w:ascii="Times New Roman" w:hAnsi="Times New Roman"/>
        </w:rPr>
        <w:tab/>
      </w:r>
      <w:r w:rsidR="00D46199">
        <w:rPr>
          <w:rFonts w:ascii="Times New Roman" w:hAnsi="Times New Roman"/>
        </w:rPr>
        <w:tab/>
      </w:r>
      <w:r w:rsidR="00D46199">
        <w:rPr>
          <w:rFonts w:ascii="Times New Roman" w:hAnsi="Times New Roman"/>
        </w:rPr>
        <w:tab/>
      </w:r>
      <w:r>
        <w:rPr>
          <w:rFonts w:ascii="Times New Roman" w:hAnsi="Times New Roman"/>
        </w:rPr>
        <w:t>reasonable</w:t>
      </w:r>
      <w:r w:rsidR="00D46199">
        <w:rPr>
          <w:rFonts w:ascii="Times New Roman" w:hAnsi="Times New Roman"/>
        </w:rPr>
        <w:t xml:space="preserve"> </w:t>
      </w:r>
      <w:r>
        <w:rPr>
          <w:rFonts w:ascii="Times New Roman" w:hAnsi="Times New Roman"/>
        </w:rPr>
        <w:t xml:space="preserve">grounds for </w:t>
      </w:r>
      <w:r w:rsidR="00D46199">
        <w:rPr>
          <w:rFonts w:ascii="Times New Roman" w:hAnsi="Times New Roman"/>
        </w:rPr>
        <w:t xml:space="preserve">taking certain facts into consideration, and on the facts, when </w:t>
      </w:r>
      <w:r w:rsidR="00D46199">
        <w:rPr>
          <w:rFonts w:ascii="Times New Roman" w:hAnsi="Times New Roman"/>
        </w:rPr>
        <w:tab/>
      </w:r>
      <w:r w:rsidR="00D46199">
        <w:rPr>
          <w:rFonts w:ascii="Times New Roman" w:hAnsi="Times New Roman"/>
        </w:rPr>
        <w:tab/>
      </w:r>
      <w:r w:rsidR="00D46199">
        <w:rPr>
          <w:rFonts w:ascii="Times New Roman" w:hAnsi="Times New Roman"/>
        </w:rPr>
        <w:tab/>
        <w:t xml:space="preserve">taken together, point </w:t>
      </w:r>
      <w:r w:rsidR="00D46199">
        <w:rPr>
          <w:rFonts w:ascii="Times New Roman" w:hAnsi="Times New Roman"/>
        </w:rPr>
        <w:tab/>
        <w:t xml:space="preserve">inexorably to guilt of the accused beyond per adventure, but the </w:t>
      </w:r>
      <w:r w:rsidR="00D46199">
        <w:rPr>
          <w:rFonts w:ascii="Times New Roman" w:hAnsi="Times New Roman"/>
        </w:rPr>
        <w:tab/>
      </w:r>
      <w:r w:rsidR="00D46199">
        <w:rPr>
          <w:rFonts w:ascii="Times New Roman" w:hAnsi="Times New Roman"/>
        </w:rPr>
        <w:tab/>
      </w:r>
      <w:r w:rsidR="00D46199">
        <w:rPr>
          <w:rFonts w:ascii="Times New Roman" w:hAnsi="Times New Roman"/>
        </w:rPr>
        <w:tab/>
        <w:t xml:space="preserve">trial court nonetheless acquits the accused, then the trial court has taken a view of </w:t>
      </w:r>
      <w:r w:rsidR="00D46199">
        <w:rPr>
          <w:rFonts w:ascii="Times New Roman" w:hAnsi="Times New Roman"/>
        </w:rPr>
        <w:tab/>
      </w:r>
      <w:r w:rsidR="00D46199">
        <w:rPr>
          <w:rFonts w:ascii="Times New Roman" w:hAnsi="Times New Roman"/>
        </w:rPr>
        <w:tab/>
      </w:r>
      <w:r w:rsidR="00D46199">
        <w:rPr>
          <w:rFonts w:ascii="Times New Roman" w:hAnsi="Times New Roman"/>
        </w:rPr>
        <w:tab/>
        <w:t xml:space="preserve">the facts which could not reasonably be </w:t>
      </w:r>
      <w:r w:rsidR="00D46199">
        <w:rPr>
          <w:rFonts w:ascii="Times New Roman" w:hAnsi="Times New Roman"/>
        </w:rPr>
        <w:tab/>
        <w:t xml:space="preserve">entertained. Put another way, if, on a view of the </w:t>
      </w:r>
      <w:r w:rsidR="00D46199">
        <w:rPr>
          <w:rFonts w:ascii="Times New Roman" w:hAnsi="Times New Roman"/>
        </w:rPr>
        <w:tab/>
      </w:r>
      <w:r w:rsidR="00D46199">
        <w:rPr>
          <w:rFonts w:ascii="Times New Roman" w:hAnsi="Times New Roman"/>
        </w:rPr>
        <w:tab/>
        <w:t>facts, the court</w:t>
      </w:r>
      <w:r w:rsidR="00475FEC">
        <w:rPr>
          <w:rFonts w:ascii="Times New Roman" w:hAnsi="Times New Roman"/>
        </w:rPr>
        <w:t xml:space="preserve"> could not reasonably have inferred</w:t>
      </w:r>
      <w:r w:rsidR="00D46199">
        <w:rPr>
          <w:rFonts w:ascii="Times New Roman" w:hAnsi="Times New Roman"/>
        </w:rPr>
        <w:t xml:space="preserve"> the innocence of the accused, </w:t>
      </w:r>
      <w:r w:rsidR="00D46199">
        <w:rPr>
          <w:rFonts w:ascii="Times New Roman" w:hAnsi="Times New Roman"/>
        </w:rPr>
        <w:tab/>
      </w:r>
      <w:r w:rsidR="00D46199">
        <w:rPr>
          <w:rFonts w:ascii="Times New Roman" w:hAnsi="Times New Roman"/>
        </w:rPr>
        <w:tab/>
      </w:r>
      <w:r w:rsidR="00D46199">
        <w:rPr>
          <w:rFonts w:ascii="Times New Roman" w:hAnsi="Times New Roman"/>
        </w:rPr>
        <w:tab/>
      </w:r>
      <w:r w:rsidR="00475FEC">
        <w:rPr>
          <w:rFonts w:ascii="Times New Roman" w:hAnsi="Times New Roman"/>
        </w:rPr>
        <w:tab/>
      </w:r>
      <w:r w:rsidR="00D46199">
        <w:rPr>
          <w:rFonts w:ascii="Times New Roman" w:hAnsi="Times New Roman"/>
        </w:rPr>
        <w:t xml:space="preserve">then the </w:t>
      </w:r>
      <w:r w:rsidR="00475FEC">
        <w:rPr>
          <w:rFonts w:ascii="Times New Roman" w:hAnsi="Times New Roman"/>
        </w:rPr>
        <w:t>verdict of the acquittal</w:t>
      </w:r>
      <w:r w:rsidR="00D46199">
        <w:rPr>
          <w:rFonts w:ascii="Times New Roman" w:hAnsi="Times New Roman"/>
        </w:rPr>
        <w:t xml:space="preserve"> is perverse, and the Attorney General is </w:t>
      </w:r>
      <w:r w:rsidR="00D46199">
        <w:rPr>
          <w:rFonts w:ascii="Times New Roman" w:hAnsi="Times New Roman"/>
        </w:rPr>
        <w:tab/>
      </w:r>
      <w:r w:rsidR="00D46199">
        <w:rPr>
          <w:rFonts w:ascii="Times New Roman" w:hAnsi="Times New Roman"/>
        </w:rPr>
        <w:tab/>
      </w:r>
      <w:r w:rsidR="00D46199">
        <w:rPr>
          <w:rFonts w:ascii="Times New Roman" w:hAnsi="Times New Roman"/>
        </w:rPr>
        <w:tab/>
      </w:r>
      <w:r w:rsidR="00D46199">
        <w:rPr>
          <w:rFonts w:ascii="Times New Roman" w:hAnsi="Times New Roman"/>
        </w:rPr>
        <w:tab/>
      </w:r>
      <w:r w:rsidR="00475FEC">
        <w:rPr>
          <w:rFonts w:ascii="Times New Roman" w:hAnsi="Times New Roman"/>
        </w:rPr>
        <w:tab/>
      </w:r>
      <w:r w:rsidR="00D46199">
        <w:rPr>
          <w:rFonts w:ascii="Times New Roman" w:hAnsi="Times New Roman"/>
        </w:rPr>
        <w:t xml:space="preserve">entitled to attack it.” </w:t>
      </w:r>
    </w:p>
    <w:p w:rsidR="00D46199" w:rsidRDefault="00D46199" w:rsidP="00FE2E8D">
      <w:pPr>
        <w:spacing w:after="0" w:line="240" w:lineRule="auto"/>
        <w:jc w:val="both"/>
        <w:rPr>
          <w:rFonts w:ascii="Times New Roman" w:hAnsi="Times New Roman"/>
        </w:rPr>
      </w:pPr>
    </w:p>
    <w:p w:rsidR="000B1250" w:rsidRDefault="00D46199" w:rsidP="00FE2E8D">
      <w:pPr>
        <w:spacing w:after="0" w:line="240" w:lineRule="auto"/>
        <w:jc w:val="both"/>
        <w:rPr>
          <w:rFonts w:ascii="Times New Roman" w:hAnsi="Times New Roman"/>
          <w:sz w:val="24"/>
          <w:szCs w:val="24"/>
        </w:rPr>
      </w:pPr>
      <w:r>
        <w:rPr>
          <w:rFonts w:ascii="Times New Roman" w:hAnsi="Times New Roman"/>
        </w:rPr>
        <w:tab/>
      </w:r>
      <w:r>
        <w:rPr>
          <w:rFonts w:ascii="Times New Roman" w:hAnsi="Times New Roman"/>
          <w:sz w:val="24"/>
          <w:szCs w:val="24"/>
        </w:rPr>
        <w:t>The proposed grounds of appeal are</w:t>
      </w:r>
      <w:r w:rsidR="00475FEC">
        <w:rPr>
          <w:rFonts w:ascii="Times New Roman" w:hAnsi="Times New Roman"/>
          <w:sz w:val="24"/>
          <w:szCs w:val="24"/>
        </w:rPr>
        <w:t xml:space="preserve"> couched</w:t>
      </w:r>
      <w:r w:rsidR="00574F00">
        <w:rPr>
          <w:rFonts w:ascii="Times New Roman" w:hAnsi="Times New Roman"/>
          <w:sz w:val="24"/>
          <w:szCs w:val="24"/>
        </w:rPr>
        <w:t xml:space="preserve"> as follows;</w:t>
      </w:r>
    </w:p>
    <w:p w:rsidR="00574F00" w:rsidRDefault="00574F00" w:rsidP="00FE2E8D">
      <w:pPr>
        <w:spacing w:after="0" w:line="240" w:lineRule="auto"/>
        <w:jc w:val="both"/>
        <w:rPr>
          <w:rFonts w:ascii="Times New Roman" w:hAnsi="Times New Roman"/>
          <w:sz w:val="24"/>
          <w:szCs w:val="24"/>
        </w:rPr>
      </w:pPr>
    </w:p>
    <w:p w:rsidR="00574F00" w:rsidRPr="00A15FF3" w:rsidRDefault="00574F00" w:rsidP="00FE2E8D">
      <w:pPr>
        <w:spacing w:after="0" w:line="240" w:lineRule="auto"/>
        <w:jc w:val="both"/>
        <w:rPr>
          <w:rFonts w:ascii="Times New Roman" w:hAnsi="Times New Roman"/>
        </w:rPr>
      </w:pPr>
      <w:r>
        <w:rPr>
          <w:rFonts w:ascii="Times New Roman" w:hAnsi="Times New Roman"/>
          <w:sz w:val="24"/>
          <w:szCs w:val="24"/>
        </w:rPr>
        <w:tab/>
      </w:r>
      <w:r w:rsidRPr="00A15FF3">
        <w:rPr>
          <w:rFonts w:ascii="Times New Roman" w:hAnsi="Times New Roman"/>
        </w:rPr>
        <w:t>“1.</w:t>
      </w:r>
      <w:r w:rsidRPr="00A15FF3">
        <w:rPr>
          <w:rFonts w:ascii="Times New Roman" w:hAnsi="Times New Roman"/>
        </w:rPr>
        <w:tab/>
        <w:t>2</w:t>
      </w:r>
      <w:r w:rsidRPr="00A15FF3">
        <w:rPr>
          <w:rFonts w:ascii="Times New Roman" w:hAnsi="Times New Roman"/>
          <w:vertAlign w:val="superscript"/>
        </w:rPr>
        <w:t>nd</w:t>
      </w:r>
      <w:r w:rsidRPr="00A15FF3">
        <w:rPr>
          <w:rFonts w:ascii="Times New Roman" w:hAnsi="Times New Roman"/>
        </w:rPr>
        <w:t xml:space="preserve"> </w:t>
      </w:r>
      <w:r w:rsidR="00A15FF3" w:rsidRPr="00A15FF3">
        <w:rPr>
          <w:rFonts w:ascii="Times New Roman" w:hAnsi="Times New Roman"/>
        </w:rPr>
        <w:t>R</w:t>
      </w:r>
      <w:r w:rsidRPr="00A15FF3">
        <w:rPr>
          <w:rFonts w:ascii="Times New Roman" w:hAnsi="Times New Roman"/>
        </w:rPr>
        <w:t xml:space="preserve">espondent erred and misdirected himself when </w:t>
      </w:r>
      <w:r w:rsidR="00A15FF3" w:rsidRPr="00A15FF3">
        <w:rPr>
          <w:rFonts w:ascii="Times New Roman" w:hAnsi="Times New Roman"/>
        </w:rPr>
        <w:t>he discharged 1</w:t>
      </w:r>
      <w:r w:rsidR="00A15FF3" w:rsidRPr="00A15FF3">
        <w:rPr>
          <w:rFonts w:ascii="Times New Roman" w:hAnsi="Times New Roman"/>
          <w:vertAlign w:val="superscript"/>
        </w:rPr>
        <w:t>st</w:t>
      </w:r>
      <w:r w:rsidR="00A15FF3" w:rsidRPr="00A15FF3">
        <w:rPr>
          <w:rFonts w:ascii="Times New Roman" w:hAnsi="Times New Roman"/>
        </w:rPr>
        <w:t xml:space="preserve"> respondent </w:t>
      </w:r>
      <w:r w:rsidR="00A15FF3" w:rsidRPr="00A15FF3">
        <w:rPr>
          <w:rFonts w:ascii="Times New Roman" w:hAnsi="Times New Roman"/>
        </w:rPr>
        <w:tab/>
      </w:r>
      <w:r w:rsidR="00A15FF3" w:rsidRPr="00A15FF3">
        <w:rPr>
          <w:rFonts w:ascii="Times New Roman" w:hAnsi="Times New Roman"/>
        </w:rPr>
        <w:tab/>
      </w:r>
      <w:r w:rsidR="00A15FF3" w:rsidRPr="00A15FF3">
        <w:rPr>
          <w:rFonts w:ascii="Times New Roman" w:hAnsi="Times New Roman"/>
        </w:rPr>
        <w:tab/>
      </w:r>
      <w:r w:rsidR="00475FEC">
        <w:rPr>
          <w:rFonts w:ascii="Times New Roman" w:hAnsi="Times New Roman"/>
        </w:rPr>
        <w:tab/>
      </w:r>
      <w:r w:rsidR="00A15FF3" w:rsidRPr="00A15FF3">
        <w:rPr>
          <w:rFonts w:ascii="Times New Roman" w:hAnsi="Times New Roman"/>
        </w:rPr>
        <w:t xml:space="preserve">at the close of the state case despite a </w:t>
      </w:r>
      <w:r w:rsidR="00A15FF3" w:rsidRPr="00A15FF3">
        <w:rPr>
          <w:rFonts w:ascii="Times New Roman" w:hAnsi="Times New Roman"/>
          <w:i/>
        </w:rPr>
        <w:t>prima facie</w:t>
      </w:r>
      <w:r w:rsidR="00A15FF3" w:rsidRPr="00A15FF3">
        <w:rPr>
          <w:rFonts w:ascii="Times New Roman" w:hAnsi="Times New Roman"/>
        </w:rPr>
        <w:t xml:space="preserve"> case that had been established </w:t>
      </w:r>
      <w:r w:rsidR="00A15FF3" w:rsidRPr="00A15FF3">
        <w:rPr>
          <w:rFonts w:ascii="Times New Roman" w:hAnsi="Times New Roman"/>
        </w:rPr>
        <w:tab/>
      </w:r>
      <w:r w:rsidR="00A15FF3" w:rsidRPr="00A15FF3">
        <w:rPr>
          <w:rFonts w:ascii="Times New Roman" w:hAnsi="Times New Roman"/>
        </w:rPr>
        <w:tab/>
      </w:r>
      <w:r w:rsidR="00A15FF3" w:rsidRPr="00A15FF3">
        <w:rPr>
          <w:rFonts w:ascii="Times New Roman" w:hAnsi="Times New Roman"/>
        </w:rPr>
        <w:tab/>
      </w:r>
      <w:r w:rsidR="00475FEC">
        <w:rPr>
          <w:rFonts w:ascii="Times New Roman" w:hAnsi="Times New Roman"/>
        </w:rPr>
        <w:tab/>
      </w:r>
      <w:r w:rsidR="00A15FF3" w:rsidRPr="00A15FF3">
        <w:rPr>
          <w:rFonts w:ascii="Times New Roman" w:hAnsi="Times New Roman"/>
        </w:rPr>
        <w:t>by the prosecution.</w:t>
      </w:r>
    </w:p>
    <w:p w:rsidR="00A15FF3" w:rsidRPr="00A15FF3" w:rsidRDefault="00A15FF3" w:rsidP="00FE2E8D">
      <w:pPr>
        <w:spacing w:after="0" w:line="240" w:lineRule="auto"/>
        <w:jc w:val="both"/>
        <w:rPr>
          <w:rFonts w:ascii="Times New Roman" w:hAnsi="Times New Roman"/>
        </w:rPr>
      </w:pPr>
    </w:p>
    <w:p w:rsidR="00A15FF3" w:rsidRPr="00A15FF3" w:rsidRDefault="00A15FF3" w:rsidP="00FE2E8D">
      <w:pPr>
        <w:spacing w:after="0" w:line="240" w:lineRule="auto"/>
        <w:jc w:val="both"/>
        <w:rPr>
          <w:rFonts w:ascii="Times New Roman" w:hAnsi="Times New Roman"/>
        </w:rPr>
      </w:pPr>
      <w:r w:rsidRPr="00A15FF3">
        <w:rPr>
          <w:rFonts w:ascii="Times New Roman" w:hAnsi="Times New Roman"/>
        </w:rPr>
        <w:tab/>
        <w:t>2.</w:t>
      </w:r>
      <w:r w:rsidRPr="00A15FF3">
        <w:rPr>
          <w:rFonts w:ascii="Times New Roman" w:hAnsi="Times New Roman"/>
        </w:rPr>
        <w:tab/>
        <w:t>2</w:t>
      </w:r>
      <w:r w:rsidRPr="00A15FF3">
        <w:rPr>
          <w:rFonts w:ascii="Times New Roman" w:hAnsi="Times New Roman"/>
          <w:vertAlign w:val="superscript"/>
        </w:rPr>
        <w:t>nd</w:t>
      </w:r>
      <w:r w:rsidRPr="00A15FF3">
        <w:rPr>
          <w:rFonts w:ascii="Times New Roman" w:hAnsi="Times New Roman"/>
        </w:rPr>
        <w:t xml:space="preserve"> Respondent erred and misdirected himself </w:t>
      </w:r>
      <w:r w:rsidR="00475FEC">
        <w:rPr>
          <w:rFonts w:ascii="Times New Roman" w:hAnsi="Times New Roman"/>
        </w:rPr>
        <w:t>at law</w:t>
      </w:r>
      <w:r w:rsidRPr="00A15FF3">
        <w:rPr>
          <w:rFonts w:ascii="Times New Roman" w:hAnsi="Times New Roman"/>
        </w:rPr>
        <w:t xml:space="preserve"> by accepting </w:t>
      </w:r>
      <w:r w:rsidRPr="00A15FF3">
        <w:rPr>
          <w:rFonts w:ascii="Times New Roman" w:hAnsi="Times New Roman"/>
        </w:rPr>
        <w:tab/>
      </w:r>
      <w:r w:rsidRPr="00A15FF3">
        <w:rPr>
          <w:rFonts w:ascii="Times New Roman" w:hAnsi="Times New Roman"/>
        </w:rPr>
        <w:tab/>
      </w:r>
      <w:r w:rsidRPr="00A15FF3">
        <w:rPr>
          <w:rFonts w:ascii="Times New Roman" w:hAnsi="Times New Roman"/>
        </w:rPr>
        <w:tab/>
      </w:r>
      <w:r w:rsidR="00475FEC">
        <w:rPr>
          <w:rFonts w:ascii="Times New Roman" w:hAnsi="Times New Roman"/>
        </w:rPr>
        <w:tab/>
      </w:r>
      <w:r w:rsidR="00475FEC">
        <w:rPr>
          <w:rFonts w:ascii="Times New Roman" w:hAnsi="Times New Roman"/>
        </w:rPr>
        <w:tab/>
      </w:r>
      <w:r w:rsidRPr="00A15FF3">
        <w:rPr>
          <w:rFonts w:ascii="Times New Roman" w:hAnsi="Times New Roman"/>
        </w:rPr>
        <w:t>assertions by the 1</w:t>
      </w:r>
      <w:r w:rsidRPr="00A15FF3">
        <w:rPr>
          <w:rFonts w:ascii="Times New Roman" w:hAnsi="Times New Roman"/>
          <w:vertAlign w:val="superscript"/>
        </w:rPr>
        <w:t>st</w:t>
      </w:r>
      <w:r w:rsidRPr="00A15FF3">
        <w:rPr>
          <w:rFonts w:ascii="Times New Roman" w:hAnsi="Times New Roman"/>
        </w:rPr>
        <w:t xml:space="preserve"> respondent made during cross examination of state witnesses </w:t>
      </w:r>
      <w:r w:rsidRPr="00A15FF3">
        <w:rPr>
          <w:rFonts w:ascii="Times New Roman" w:hAnsi="Times New Roman"/>
        </w:rPr>
        <w:tab/>
      </w:r>
      <w:r w:rsidRPr="00A15FF3">
        <w:rPr>
          <w:rFonts w:ascii="Times New Roman" w:hAnsi="Times New Roman"/>
        </w:rPr>
        <w:tab/>
      </w:r>
      <w:r w:rsidRPr="00A15FF3">
        <w:rPr>
          <w:rFonts w:ascii="Times New Roman" w:hAnsi="Times New Roman"/>
        </w:rPr>
        <w:tab/>
        <w:t xml:space="preserve">as </w:t>
      </w:r>
      <w:r w:rsidR="00475FEC">
        <w:rPr>
          <w:rFonts w:ascii="Times New Roman" w:hAnsi="Times New Roman"/>
        </w:rPr>
        <w:t xml:space="preserve">though </w:t>
      </w:r>
      <w:r w:rsidRPr="00A15FF3">
        <w:rPr>
          <w:rFonts w:ascii="Times New Roman" w:hAnsi="Times New Roman"/>
        </w:rPr>
        <w:t>they were evidence by the 1</w:t>
      </w:r>
      <w:r w:rsidRPr="00A15FF3">
        <w:rPr>
          <w:rFonts w:ascii="Times New Roman" w:hAnsi="Times New Roman"/>
          <w:vertAlign w:val="superscript"/>
        </w:rPr>
        <w:t>st</w:t>
      </w:r>
      <w:r w:rsidRPr="00A15FF3">
        <w:rPr>
          <w:rFonts w:ascii="Times New Roman" w:hAnsi="Times New Roman"/>
        </w:rPr>
        <w:t xml:space="preserve"> respondent. 2</w:t>
      </w:r>
      <w:r w:rsidRPr="00A15FF3">
        <w:rPr>
          <w:rFonts w:ascii="Times New Roman" w:hAnsi="Times New Roman"/>
          <w:vertAlign w:val="superscript"/>
        </w:rPr>
        <w:t>nd</w:t>
      </w:r>
      <w:r w:rsidRPr="00A15FF3">
        <w:rPr>
          <w:rFonts w:ascii="Times New Roman" w:hAnsi="Times New Roman"/>
        </w:rPr>
        <w:t xml:space="preserve"> respondent was not </w:t>
      </w:r>
      <w:r w:rsidRPr="00A15FF3">
        <w:rPr>
          <w:rFonts w:ascii="Times New Roman" w:hAnsi="Times New Roman"/>
        </w:rPr>
        <w:tab/>
      </w:r>
      <w:r w:rsidRPr="00A15FF3">
        <w:rPr>
          <w:rFonts w:ascii="Times New Roman" w:hAnsi="Times New Roman"/>
        </w:rPr>
        <w:tab/>
      </w:r>
      <w:r w:rsidRPr="00A15FF3">
        <w:rPr>
          <w:rFonts w:ascii="Times New Roman" w:hAnsi="Times New Roman"/>
        </w:rPr>
        <w:tab/>
      </w:r>
      <w:r w:rsidR="00475FEC">
        <w:rPr>
          <w:rFonts w:ascii="Times New Roman" w:hAnsi="Times New Roman"/>
        </w:rPr>
        <w:tab/>
      </w:r>
      <w:r w:rsidRPr="00A15FF3">
        <w:rPr>
          <w:rFonts w:ascii="Times New Roman" w:hAnsi="Times New Roman"/>
        </w:rPr>
        <w:t xml:space="preserve">in a position to decide on the </w:t>
      </w:r>
      <w:r w:rsidR="00475FEC">
        <w:rPr>
          <w:rFonts w:ascii="Times New Roman" w:hAnsi="Times New Roman"/>
        </w:rPr>
        <w:t xml:space="preserve">veracity </w:t>
      </w:r>
      <w:r w:rsidRPr="00A15FF3">
        <w:rPr>
          <w:rFonts w:ascii="Times New Roman" w:hAnsi="Times New Roman"/>
        </w:rPr>
        <w:t>of the versions placed before him</w:t>
      </w:r>
      <w:r w:rsidR="00475FEC">
        <w:rPr>
          <w:rFonts w:ascii="Times New Roman" w:hAnsi="Times New Roman"/>
        </w:rPr>
        <w:t xml:space="preserve"> without</w:t>
      </w:r>
      <w:r w:rsidRPr="00A15FF3">
        <w:rPr>
          <w:rFonts w:ascii="Times New Roman" w:hAnsi="Times New Roman"/>
        </w:rPr>
        <w:t xml:space="preserve"> hearing </w:t>
      </w:r>
      <w:r w:rsidR="00475FEC">
        <w:rPr>
          <w:rFonts w:ascii="Times New Roman" w:hAnsi="Times New Roman"/>
        </w:rPr>
        <w:tab/>
      </w:r>
      <w:r w:rsidR="00475FEC">
        <w:rPr>
          <w:rFonts w:ascii="Times New Roman" w:hAnsi="Times New Roman"/>
        </w:rPr>
        <w:tab/>
      </w:r>
      <w:r w:rsidR="00475FEC">
        <w:rPr>
          <w:rFonts w:ascii="Times New Roman" w:hAnsi="Times New Roman"/>
        </w:rPr>
        <w:tab/>
      </w:r>
      <w:r w:rsidRPr="00A15FF3">
        <w:rPr>
          <w:rFonts w:ascii="Times New Roman" w:hAnsi="Times New Roman"/>
        </w:rPr>
        <w:t>the defence once a prima facie case had been established.”</w:t>
      </w:r>
    </w:p>
    <w:p w:rsidR="00A15FF3" w:rsidRPr="00A15FF3" w:rsidRDefault="00A15FF3" w:rsidP="000B1250">
      <w:pPr>
        <w:spacing w:after="0" w:line="240" w:lineRule="auto"/>
        <w:jc w:val="both"/>
        <w:rPr>
          <w:rFonts w:ascii="Times New Roman" w:hAnsi="Times New Roman"/>
        </w:rPr>
      </w:pPr>
    </w:p>
    <w:p w:rsidR="00A15FF3" w:rsidRDefault="00A15FF3" w:rsidP="00A15FF3">
      <w:pPr>
        <w:spacing w:after="0" w:line="360" w:lineRule="auto"/>
        <w:jc w:val="both"/>
        <w:rPr>
          <w:rFonts w:ascii="Times New Roman" w:hAnsi="Times New Roman"/>
          <w:sz w:val="24"/>
          <w:szCs w:val="24"/>
        </w:rPr>
      </w:pPr>
      <w:r>
        <w:rPr>
          <w:rFonts w:ascii="Times New Roman" w:hAnsi="Times New Roman"/>
          <w:sz w:val="24"/>
          <w:szCs w:val="24"/>
        </w:rPr>
        <w:tab/>
      </w:r>
      <w:proofErr w:type="spellStart"/>
      <w:r w:rsidRPr="00A15FF3">
        <w:rPr>
          <w:rFonts w:ascii="Times New Roman" w:hAnsi="Times New Roman"/>
          <w:sz w:val="24"/>
          <w:szCs w:val="24"/>
        </w:rPr>
        <w:t>Mr</w:t>
      </w:r>
      <w:proofErr w:type="spellEnd"/>
      <w:r w:rsidRPr="00A15FF3">
        <w:rPr>
          <w:rFonts w:ascii="Times New Roman" w:hAnsi="Times New Roman"/>
          <w:sz w:val="24"/>
          <w:szCs w:val="24"/>
        </w:rPr>
        <w:t xml:space="preserve"> </w:t>
      </w:r>
      <w:proofErr w:type="spellStart"/>
      <w:r w:rsidRPr="00D507A1">
        <w:rPr>
          <w:rFonts w:ascii="Times New Roman" w:hAnsi="Times New Roman"/>
          <w:i/>
          <w:sz w:val="24"/>
          <w:szCs w:val="24"/>
        </w:rPr>
        <w:t>Maanda</w:t>
      </w:r>
      <w:proofErr w:type="spellEnd"/>
      <w:r>
        <w:rPr>
          <w:rFonts w:ascii="Times New Roman" w:hAnsi="Times New Roman"/>
          <w:sz w:val="24"/>
          <w:szCs w:val="24"/>
        </w:rPr>
        <w:t xml:space="preserve"> for the first respondent raised </w:t>
      </w:r>
      <w:r w:rsidR="00576E53">
        <w:rPr>
          <w:rFonts w:ascii="Times New Roman" w:hAnsi="Times New Roman"/>
          <w:sz w:val="24"/>
          <w:szCs w:val="24"/>
        </w:rPr>
        <w:t>basically</w:t>
      </w:r>
      <w:r>
        <w:rPr>
          <w:rFonts w:ascii="Times New Roman" w:hAnsi="Times New Roman"/>
          <w:sz w:val="24"/>
          <w:szCs w:val="24"/>
        </w:rPr>
        <w:t xml:space="preserve"> two points </w:t>
      </w:r>
      <w:r w:rsidRPr="00A15FF3">
        <w:rPr>
          <w:rFonts w:ascii="Times New Roman" w:hAnsi="Times New Roman"/>
          <w:i/>
          <w:sz w:val="24"/>
          <w:szCs w:val="24"/>
        </w:rPr>
        <w:t xml:space="preserve">in </w:t>
      </w:r>
      <w:proofErr w:type="spellStart"/>
      <w:r w:rsidRPr="00A15FF3">
        <w:rPr>
          <w:rFonts w:ascii="Times New Roman" w:hAnsi="Times New Roman"/>
          <w:i/>
          <w:sz w:val="24"/>
          <w:szCs w:val="24"/>
        </w:rPr>
        <w:t>limine</w:t>
      </w:r>
      <w:proofErr w:type="spellEnd"/>
      <w:r w:rsidRPr="00A15FF3">
        <w:rPr>
          <w:rFonts w:ascii="Times New Roman" w:hAnsi="Times New Roman"/>
          <w:i/>
          <w:sz w:val="24"/>
          <w:szCs w:val="24"/>
        </w:rPr>
        <w:t>.</w:t>
      </w:r>
      <w:r>
        <w:rPr>
          <w:rFonts w:ascii="Times New Roman" w:hAnsi="Times New Roman"/>
          <w:sz w:val="24"/>
          <w:szCs w:val="24"/>
        </w:rPr>
        <w:t xml:space="preserve">  </w:t>
      </w:r>
    </w:p>
    <w:p w:rsidR="00A15FF3" w:rsidRDefault="00A15FF3" w:rsidP="00A15FF3">
      <w:pPr>
        <w:spacing w:after="0" w:line="360" w:lineRule="auto"/>
        <w:jc w:val="both"/>
        <w:rPr>
          <w:rFonts w:ascii="Times New Roman" w:hAnsi="Times New Roman"/>
          <w:sz w:val="24"/>
          <w:szCs w:val="24"/>
        </w:rPr>
      </w:pPr>
      <w:r>
        <w:rPr>
          <w:rFonts w:ascii="Times New Roman" w:hAnsi="Times New Roman"/>
          <w:sz w:val="24"/>
          <w:szCs w:val="24"/>
        </w:rPr>
        <w:tab/>
        <w:t>The first point</w:t>
      </w:r>
      <w:r w:rsidR="00C4165E">
        <w:rPr>
          <w:rFonts w:ascii="Times New Roman" w:hAnsi="Times New Roman"/>
          <w:sz w:val="24"/>
          <w:szCs w:val="24"/>
        </w:rPr>
        <w:t xml:space="preserve"> </w:t>
      </w:r>
      <w:r w:rsidR="00C4165E">
        <w:rPr>
          <w:rFonts w:ascii="Times New Roman" w:hAnsi="Times New Roman"/>
          <w:i/>
          <w:sz w:val="24"/>
          <w:szCs w:val="24"/>
        </w:rPr>
        <w:t xml:space="preserve">in </w:t>
      </w:r>
      <w:proofErr w:type="spellStart"/>
      <w:r w:rsidR="00C4165E">
        <w:rPr>
          <w:rFonts w:ascii="Times New Roman" w:hAnsi="Times New Roman"/>
          <w:i/>
          <w:sz w:val="24"/>
          <w:szCs w:val="24"/>
        </w:rPr>
        <w:t>limine</w:t>
      </w:r>
      <w:proofErr w:type="spellEnd"/>
      <w:r w:rsidR="00C4165E">
        <w:rPr>
          <w:rFonts w:ascii="Times New Roman" w:hAnsi="Times New Roman"/>
          <w:sz w:val="24"/>
          <w:szCs w:val="24"/>
        </w:rPr>
        <w:t xml:space="preserve"> taken is that the</w:t>
      </w:r>
      <w:r w:rsidR="00576E53">
        <w:rPr>
          <w:rFonts w:ascii="Times New Roman" w:hAnsi="Times New Roman"/>
          <w:sz w:val="24"/>
          <w:szCs w:val="24"/>
        </w:rPr>
        <w:t xml:space="preserve"> application for leave to appeal</w:t>
      </w:r>
      <w:r w:rsidR="00C4165E">
        <w:rPr>
          <w:rFonts w:ascii="Times New Roman" w:hAnsi="Times New Roman"/>
          <w:sz w:val="24"/>
          <w:szCs w:val="24"/>
        </w:rPr>
        <w:t xml:space="preserve"> was made well</w:t>
      </w:r>
      <w:r w:rsidR="00D6528E">
        <w:rPr>
          <w:rFonts w:ascii="Times New Roman" w:hAnsi="Times New Roman"/>
          <w:sz w:val="24"/>
          <w:szCs w:val="24"/>
        </w:rPr>
        <w:t xml:space="preserve"> out of time</w:t>
      </w:r>
      <w:r w:rsidR="00576E53">
        <w:rPr>
          <w:rFonts w:ascii="Times New Roman" w:hAnsi="Times New Roman"/>
          <w:sz w:val="24"/>
          <w:szCs w:val="24"/>
        </w:rPr>
        <w:t xml:space="preserve"> and </w:t>
      </w:r>
      <w:r w:rsidR="00CA4756">
        <w:rPr>
          <w:rFonts w:ascii="Times New Roman" w:hAnsi="Times New Roman"/>
          <w:sz w:val="24"/>
          <w:szCs w:val="24"/>
        </w:rPr>
        <w:t>o</w:t>
      </w:r>
      <w:r w:rsidR="0020552D">
        <w:rPr>
          <w:rFonts w:ascii="Times New Roman" w:hAnsi="Times New Roman"/>
          <w:sz w:val="24"/>
          <w:szCs w:val="24"/>
        </w:rPr>
        <w:t>n</w:t>
      </w:r>
      <w:r w:rsidR="00576E53">
        <w:rPr>
          <w:rFonts w:ascii="Times New Roman" w:hAnsi="Times New Roman"/>
          <w:sz w:val="24"/>
          <w:szCs w:val="24"/>
        </w:rPr>
        <w:t xml:space="preserve"> that </w:t>
      </w:r>
      <w:r w:rsidR="0020552D">
        <w:rPr>
          <w:rFonts w:ascii="Times New Roman" w:hAnsi="Times New Roman"/>
          <w:sz w:val="24"/>
          <w:szCs w:val="24"/>
        </w:rPr>
        <w:t>basis</w:t>
      </w:r>
      <w:r w:rsidR="009115E7">
        <w:rPr>
          <w:rFonts w:ascii="Times New Roman" w:hAnsi="Times New Roman"/>
          <w:sz w:val="24"/>
          <w:szCs w:val="24"/>
        </w:rPr>
        <w:t xml:space="preserve"> the application should be dismissed.</w:t>
      </w:r>
    </w:p>
    <w:p w:rsidR="00500227" w:rsidRDefault="00500227" w:rsidP="00A15FF3">
      <w:pPr>
        <w:spacing w:after="0" w:line="360" w:lineRule="auto"/>
        <w:jc w:val="both"/>
        <w:rPr>
          <w:rFonts w:ascii="Times New Roman" w:hAnsi="Times New Roman"/>
          <w:sz w:val="24"/>
          <w:szCs w:val="24"/>
        </w:rPr>
      </w:pPr>
    </w:p>
    <w:p w:rsidR="00500227" w:rsidRDefault="00500227" w:rsidP="00A15FF3">
      <w:pPr>
        <w:spacing w:after="0" w:line="360" w:lineRule="auto"/>
        <w:jc w:val="both"/>
        <w:rPr>
          <w:rFonts w:ascii="Times New Roman" w:hAnsi="Times New Roman"/>
          <w:sz w:val="24"/>
          <w:szCs w:val="24"/>
        </w:rPr>
      </w:pPr>
    </w:p>
    <w:p w:rsidR="00500227" w:rsidRDefault="00500227" w:rsidP="00A15FF3">
      <w:pPr>
        <w:spacing w:after="0" w:line="360" w:lineRule="auto"/>
        <w:jc w:val="both"/>
        <w:rPr>
          <w:rFonts w:ascii="Times New Roman" w:hAnsi="Times New Roman"/>
          <w:sz w:val="24"/>
          <w:szCs w:val="24"/>
        </w:rPr>
      </w:pPr>
    </w:p>
    <w:p w:rsidR="009115E7" w:rsidRDefault="009115E7" w:rsidP="00A15FF3">
      <w:pPr>
        <w:spacing w:after="0" w:line="360" w:lineRule="auto"/>
        <w:jc w:val="both"/>
        <w:rPr>
          <w:rFonts w:ascii="Times New Roman" w:hAnsi="Times New Roman"/>
          <w:sz w:val="24"/>
          <w:szCs w:val="24"/>
        </w:rPr>
      </w:pPr>
      <w:r>
        <w:rPr>
          <w:rFonts w:ascii="Times New Roman" w:hAnsi="Times New Roman"/>
          <w:sz w:val="24"/>
          <w:szCs w:val="24"/>
        </w:rPr>
        <w:tab/>
        <w:t xml:space="preserve">The second point is that the proposed grounds of appeal are </w:t>
      </w:r>
      <w:r w:rsidR="0020552D">
        <w:rPr>
          <w:rFonts w:ascii="Times New Roman" w:hAnsi="Times New Roman"/>
          <w:sz w:val="24"/>
          <w:szCs w:val="24"/>
        </w:rPr>
        <w:t>bad at law</w:t>
      </w:r>
      <w:r>
        <w:rPr>
          <w:rFonts w:ascii="Times New Roman" w:hAnsi="Times New Roman"/>
          <w:sz w:val="24"/>
          <w:szCs w:val="24"/>
        </w:rPr>
        <w:t xml:space="preserve"> as they </w:t>
      </w:r>
      <w:r w:rsidR="0020552D">
        <w:rPr>
          <w:rFonts w:ascii="Times New Roman" w:hAnsi="Times New Roman"/>
          <w:sz w:val="24"/>
          <w:szCs w:val="24"/>
        </w:rPr>
        <w:t>do not meet</w:t>
      </w:r>
      <w:r>
        <w:rPr>
          <w:rFonts w:ascii="Times New Roman" w:hAnsi="Times New Roman"/>
          <w:sz w:val="24"/>
          <w:szCs w:val="24"/>
        </w:rPr>
        <w:t xml:space="preserve"> the requirements of both s</w:t>
      </w:r>
      <w:r w:rsidR="0020552D">
        <w:rPr>
          <w:rFonts w:ascii="Times New Roman" w:hAnsi="Times New Roman"/>
          <w:sz w:val="24"/>
          <w:szCs w:val="24"/>
        </w:rPr>
        <w:t xml:space="preserve"> </w:t>
      </w:r>
      <w:r>
        <w:rPr>
          <w:rFonts w:ascii="Times New Roman" w:hAnsi="Times New Roman"/>
          <w:sz w:val="24"/>
          <w:szCs w:val="24"/>
        </w:rPr>
        <w:t>61 of the Magistrates Court Act [</w:t>
      </w:r>
      <w:r w:rsidRPr="009115E7">
        <w:rPr>
          <w:rFonts w:ascii="Times New Roman" w:hAnsi="Times New Roman"/>
          <w:i/>
          <w:sz w:val="24"/>
          <w:szCs w:val="24"/>
        </w:rPr>
        <w:t>C</w:t>
      </w:r>
      <w:r w:rsidR="00A22447">
        <w:rPr>
          <w:rFonts w:ascii="Times New Roman" w:hAnsi="Times New Roman"/>
          <w:i/>
          <w:sz w:val="24"/>
          <w:szCs w:val="24"/>
        </w:rPr>
        <w:t>hapter</w:t>
      </w:r>
      <w:r>
        <w:rPr>
          <w:rFonts w:ascii="Times New Roman" w:hAnsi="Times New Roman"/>
          <w:sz w:val="24"/>
          <w:szCs w:val="24"/>
        </w:rPr>
        <w:t xml:space="preserve"> </w:t>
      </w:r>
      <w:r w:rsidRPr="00A22447">
        <w:rPr>
          <w:rFonts w:ascii="Times New Roman" w:hAnsi="Times New Roman"/>
          <w:i/>
          <w:sz w:val="24"/>
          <w:szCs w:val="24"/>
        </w:rPr>
        <w:t>7:10</w:t>
      </w:r>
      <w:r>
        <w:rPr>
          <w:rFonts w:ascii="Times New Roman" w:hAnsi="Times New Roman"/>
          <w:sz w:val="24"/>
          <w:szCs w:val="24"/>
        </w:rPr>
        <w:t>] and s</w:t>
      </w:r>
      <w:r w:rsidR="0020552D">
        <w:rPr>
          <w:rFonts w:ascii="Times New Roman" w:hAnsi="Times New Roman"/>
          <w:sz w:val="24"/>
          <w:szCs w:val="24"/>
        </w:rPr>
        <w:t xml:space="preserve"> </w:t>
      </w:r>
      <w:r>
        <w:rPr>
          <w:rFonts w:ascii="Times New Roman" w:hAnsi="Times New Roman"/>
          <w:sz w:val="24"/>
          <w:szCs w:val="24"/>
        </w:rPr>
        <w:t xml:space="preserve">198(3) of the Criminal Procedure and Evidence Act </w:t>
      </w:r>
      <w:r w:rsidR="00A22447">
        <w:rPr>
          <w:rFonts w:ascii="Times New Roman" w:hAnsi="Times New Roman"/>
          <w:sz w:val="24"/>
          <w:szCs w:val="24"/>
        </w:rPr>
        <w:t>[</w:t>
      </w:r>
      <w:r w:rsidR="00A22447" w:rsidRPr="00A22447">
        <w:rPr>
          <w:rFonts w:ascii="Times New Roman" w:hAnsi="Times New Roman"/>
          <w:i/>
          <w:sz w:val="24"/>
          <w:szCs w:val="24"/>
        </w:rPr>
        <w:t>Chapter</w:t>
      </w:r>
      <w:r w:rsidRPr="00A22447">
        <w:rPr>
          <w:rFonts w:ascii="Times New Roman" w:hAnsi="Times New Roman"/>
          <w:i/>
          <w:sz w:val="24"/>
          <w:szCs w:val="24"/>
        </w:rPr>
        <w:t xml:space="preserve"> 9:07</w:t>
      </w:r>
      <w:r w:rsidR="00A22447">
        <w:rPr>
          <w:rFonts w:ascii="Times New Roman" w:hAnsi="Times New Roman"/>
          <w:sz w:val="24"/>
          <w:szCs w:val="24"/>
        </w:rPr>
        <w:t>]</w:t>
      </w:r>
      <w:r>
        <w:rPr>
          <w:rFonts w:ascii="Times New Roman" w:hAnsi="Times New Roman"/>
          <w:sz w:val="24"/>
          <w:szCs w:val="24"/>
        </w:rPr>
        <w:t>.</w:t>
      </w:r>
    </w:p>
    <w:p w:rsidR="009115E7" w:rsidRDefault="009115E7" w:rsidP="00A15FF3">
      <w:pPr>
        <w:spacing w:after="0" w:line="360" w:lineRule="auto"/>
        <w:jc w:val="both"/>
        <w:rPr>
          <w:rFonts w:ascii="Times New Roman" w:hAnsi="Times New Roman"/>
          <w:sz w:val="24"/>
          <w:szCs w:val="24"/>
        </w:rPr>
      </w:pPr>
      <w:r>
        <w:rPr>
          <w:rFonts w:ascii="Times New Roman" w:hAnsi="Times New Roman"/>
          <w:sz w:val="24"/>
          <w:szCs w:val="24"/>
        </w:rPr>
        <w:tab/>
        <w:t xml:space="preserve">I now deal with the points </w:t>
      </w:r>
      <w:r w:rsidRPr="00CA4756">
        <w:rPr>
          <w:rFonts w:ascii="Times New Roman" w:hAnsi="Times New Roman"/>
          <w:sz w:val="24"/>
          <w:szCs w:val="24"/>
        </w:rPr>
        <w:t>in</w:t>
      </w:r>
      <w:r w:rsidRPr="009115E7">
        <w:rPr>
          <w:rFonts w:ascii="Times New Roman" w:hAnsi="Times New Roman"/>
          <w:i/>
          <w:sz w:val="24"/>
          <w:szCs w:val="24"/>
        </w:rPr>
        <w:t xml:space="preserve"> </w:t>
      </w:r>
      <w:proofErr w:type="spellStart"/>
      <w:r w:rsidRPr="009115E7">
        <w:rPr>
          <w:rFonts w:ascii="Times New Roman" w:hAnsi="Times New Roman"/>
          <w:i/>
          <w:sz w:val="24"/>
          <w:szCs w:val="24"/>
        </w:rPr>
        <w:t>limine</w:t>
      </w:r>
      <w:proofErr w:type="spellEnd"/>
      <w:r w:rsidRPr="009115E7">
        <w:rPr>
          <w:rFonts w:ascii="Times New Roman" w:hAnsi="Times New Roman"/>
          <w:i/>
          <w:sz w:val="24"/>
          <w:szCs w:val="24"/>
        </w:rPr>
        <w:t xml:space="preserve"> seriatim.</w:t>
      </w:r>
      <w:r>
        <w:rPr>
          <w:rFonts w:ascii="Times New Roman" w:hAnsi="Times New Roman"/>
          <w:sz w:val="24"/>
          <w:szCs w:val="24"/>
        </w:rPr>
        <w:t xml:space="preserve"> </w:t>
      </w:r>
    </w:p>
    <w:p w:rsidR="009115E7" w:rsidRDefault="009115E7" w:rsidP="00A15FF3">
      <w:pPr>
        <w:spacing w:after="0" w:line="360" w:lineRule="auto"/>
        <w:jc w:val="both"/>
        <w:rPr>
          <w:rFonts w:ascii="Times New Roman" w:hAnsi="Times New Roman"/>
          <w:sz w:val="24"/>
          <w:szCs w:val="24"/>
          <w:u w:val="single"/>
        </w:rPr>
      </w:pPr>
      <w:r>
        <w:rPr>
          <w:rFonts w:ascii="Times New Roman" w:hAnsi="Times New Roman"/>
          <w:sz w:val="24"/>
          <w:szCs w:val="24"/>
        </w:rPr>
        <w:tab/>
      </w:r>
      <w:r w:rsidRPr="009115E7">
        <w:rPr>
          <w:rFonts w:ascii="Times New Roman" w:hAnsi="Times New Roman"/>
          <w:sz w:val="24"/>
          <w:szCs w:val="24"/>
          <w:u w:val="single"/>
        </w:rPr>
        <w:t>Whether the application for leave to Appeal is out of time</w:t>
      </w:r>
    </w:p>
    <w:p w:rsidR="009115E7" w:rsidRDefault="009115E7" w:rsidP="00A15FF3">
      <w:pPr>
        <w:spacing w:after="0" w:line="360" w:lineRule="auto"/>
        <w:jc w:val="both"/>
        <w:rPr>
          <w:rFonts w:ascii="Times New Roman" w:hAnsi="Times New Roman"/>
          <w:sz w:val="24"/>
          <w:szCs w:val="24"/>
        </w:rPr>
      </w:pPr>
      <w:r>
        <w:rPr>
          <w:rFonts w:ascii="Times New Roman" w:hAnsi="Times New Roman"/>
          <w:sz w:val="24"/>
          <w:szCs w:val="24"/>
        </w:rPr>
        <w:tab/>
        <w:t>It is common cause that the first respondent was discharged and acquitted on 13 February 2014 and the application for leave to appeal was filed on 9 May 2014. A period of 3 months had lapsed.</w:t>
      </w:r>
    </w:p>
    <w:p w:rsidR="00BA3971" w:rsidRDefault="009115E7" w:rsidP="00BA3971">
      <w:pPr>
        <w:spacing w:after="0" w:line="360" w:lineRule="auto"/>
        <w:jc w:val="both"/>
        <w:rPr>
          <w:rFonts w:ascii="Times New Roman" w:hAnsi="Times New Roman"/>
          <w:sz w:val="24"/>
          <w:szCs w:val="24"/>
        </w:rPr>
      </w:pPr>
      <w:r>
        <w:rPr>
          <w:rFonts w:ascii="Times New Roman" w:hAnsi="Times New Roman"/>
          <w:sz w:val="24"/>
          <w:szCs w:val="24"/>
        </w:rPr>
        <w:tab/>
        <w:t>The first respondent’s argument is that the applicant ought to have filed an application for leave to appear within the time an appeal would ordinari</w:t>
      </w:r>
      <w:r w:rsidR="00A22447">
        <w:rPr>
          <w:rFonts w:ascii="Times New Roman" w:hAnsi="Times New Roman"/>
          <w:sz w:val="24"/>
          <w:szCs w:val="24"/>
        </w:rPr>
        <w:t>ly take to be filed from the M</w:t>
      </w:r>
      <w:r>
        <w:rPr>
          <w:rFonts w:ascii="Times New Roman" w:hAnsi="Times New Roman"/>
          <w:sz w:val="24"/>
          <w:szCs w:val="24"/>
        </w:rPr>
        <w:t xml:space="preserve">agistrates </w:t>
      </w:r>
      <w:r w:rsidR="00A22447">
        <w:rPr>
          <w:rFonts w:ascii="Times New Roman" w:hAnsi="Times New Roman"/>
          <w:sz w:val="24"/>
          <w:szCs w:val="24"/>
        </w:rPr>
        <w:t>C</w:t>
      </w:r>
      <w:r>
        <w:rPr>
          <w:rFonts w:ascii="Times New Roman" w:hAnsi="Times New Roman"/>
          <w:sz w:val="24"/>
          <w:szCs w:val="24"/>
        </w:rPr>
        <w:t xml:space="preserve">ourt to the High Court, which he said is ten days. The first respondent also submitted that this </w:t>
      </w:r>
      <w:r w:rsidR="0020552D">
        <w:rPr>
          <w:rFonts w:ascii="Times New Roman" w:hAnsi="Times New Roman"/>
          <w:sz w:val="24"/>
          <w:szCs w:val="24"/>
        </w:rPr>
        <w:t>court</w:t>
      </w:r>
      <w:r w:rsidR="00CF3156">
        <w:rPr>
          <w:rFonts w:ascii="Times New Roman" w:hAnsi="Times New Roman"/>
          <w:sz w:val="24"/>
          <w:szCs w:val="24"/>
        </w:rPr>
        <w:t xml:space="preserve"> should be guided by the time limit within which a review should be filed, which is 8 weeks. It is first respondent’s contention therefore that this application for leave to appeal made after more than three months had lapsed is hopelessly</w:t>
      </w:r>
      <w:r w:rsidR="00BA3971">
        <w:rPr>
          <w:rFonts w:ascii="Times New Roman" w:hAnsi="Times New Roman"/>
          <w:sz w:val="24"/>
          <w:szCs w:val="24"/>
        </w:rPr>
        <w:t xml:space="preserve"> out of time. </w:t>
      </w:r>
    </w:p>
    <w:p w:rsidR="00BA3971" w:rsidRDefault="00BA3971" w:rsidP="00BA3971">
      <w:pPr>
        <w:spacing w:after="0" w:line="360" w:lineRule="auto"/>
        <w:jc w:val="both"/>
        <w:rPr>
          <w:rFonts w:ascii="Times New Roman" w:hAnsi="Times New Roman"/>
          <w:sz w:val="24"/>
          <w:szCs w:val="24"/>
        </w:rPr>
      </w:pPr>
      <w:r>
        <w:rPr>
          <w:rFonts w:ascii="Times New Roman" w:hAnsi="Times New Roman"/>
          <w:sz w:val="24"/>
          <w:szCs w:val="24"/>
        </w:rPr>
        <w:tab/>
        <w:t>I am not persuaded by first respondent’s submissions in t</w:t>
      </w:r>
      <w:r w:rsidR="00CA4756">
        <w:rPr>
          <w:rFonts w:ascii="Times New Roman" w:hAnsi="Times New Roman"/>
          <w:sz w:val="24"/>
          <w:szCs w:val="24"/>
        </w:rPr>
        <w:t>his regard. It should be noted</w:t>
      </w:r>
      <w:r>
        <w:rPr>
          <w:rFonts w:ascii="Times New Roman" w:hAnsi="Times New Roman"/>
          <w:sz w:val="24"/>
          <w:szCs w:val="24"/>
        </w:rPr>
        <w:t xml:space="preserve"> that no time limit is prescribed both in s 61 of the Magistrates Court Act [</w:t>
      </w:r>
      <w:r>
        <w:rPr>
          <w:rFonts w:ascii="Times New Roman" w:hAnsi="Times New Roman"/>
          <w:i/>
          <w:sz w:val="24"/>
          <w:szCs w:val="24"/>
        </w:rPr>
        <w:t>Chapter 7:10</w:t>
      </w:r>
      <w:r>
        <w:rPr>
          <w:rFonts w:ascii="Times New Roman" w:hAnsi="Times New Roman"/>
          <w:sz w:val="24"/>
          <w:szCs w:val="24"/>
        </w:rPr>
        <w:t>] and s 198 (4) of the Criminal Procedure and Evidence Act [</w:t>
      </w:r>
      <w:r>
        <w:rPr>
          <w:rFonts w:ascii="Times New Roman" w:hAnsi="Times New Roman"/>
          <w:i/>
          <w:sz w:val="24"/>
          <w:szCs w:val="24"/>
        </w:rPr>
        <w:t>Chapter 9:07</w:t>
      </w:r>
      <w:r>
        <w:rPr>
          <w:rFonts w:ascii="Times New Roman" w:hAnsi="Times New Roman"/>
          <w:sz w:val="24"/>
          <w:szCs w:val="24"/>
        </w:rPr>
        <w:t xml:space="preserve">] which both provide for the need to seek leave to appeal by the Prosecutor General. </w:t>
      </w:r>
    </w:p>
    <w:p w:rsidR="00BA3971" w:rsidRDefault="00BA3971" w:rsidP="00BA3971">
      <w:pPr>
        <w:spacing w:after="0" w:line="360" w:lineRule="auto"/>
        <w:jc w:val="both"/>
        <w:rPr>
          <w:rFonts w:ascii="Times New Roman" w:hAnsi="Times New Roman"/>
          <w:sz w:val="24"/>
          <w:szCs w:val="24"/>
        </w:rPr>
      </w:pPr>
      <w:r>
        <w:rPr>
          <w:rFonts w:ascii="Times New Roman" w:hAnsi="Times New Roman"/>
          <w:sz w:val="24"/>
          <w:szCs w:val="24"/>
        </w:rPr>
        <w:tab/>
        <w:t>It is however trite that the application for leave to appeal made in terms of s 61 of the Magistrates Court Act [</w:t>
      </w:r>
      <w:r>
        <w:rPr>
          <w:rFonts w:ascii="Times New Roman" w:hAnsi="Times New Roman"/>
          <w:i/>
          <w:sz w:val="24"/>
          <w:szCs w:val="24"/>
        </w:rPr>
        <w:t>Chapter 7:10</w:t>
      </w:r>
      <w:r>
        <w:rPr>
          <w:rFonts w:ascii="Times New Roman" w:hAnsi="Times New Roman"/>
          <w:sz w:val="24"/>
          <w:szCs w:val="24"/>
        </w:rPr>
        <w:t>] should be made without delay and within a reasonable time to ensure that the interests of justice are safeguarded. This point was driven home by B</w:t>
      </w:r>
      <w:r w:rsidR="00EC2A73">
        <w:rPr>
          <w:rFonts w:ascii="Times New Roman" w:hAnsi="Times New Roman"/>
          <w:sz w:val="24"/>
          <w:szCs w:val="24"/>
        </w:rPr>
        <w:t>lackie</w:t>
      </w:r>
      <w:r>
        <w:rPr>
          <w:rFonts w:ascii="Times New Roman" w:hAnsi="Times New Roman"/>
          <w:sz w:val="24"/>
          <w:szCs w:val="24"/>
        </w:rPr>
        <w:t xml:space="preserve"> J in the case of </w:t>
      </w:r>
      <w:r>
        <w:rPr>
          <w:rFonts w:ascii="Times New Roman" w:hAnsi="Times New Roman"/>
          <w:i/>
          <w:sz w:val="24"/>
          <w:szCs w:val="24"/>
        </w:rPr>
        <w:t xml:space="preserve">Attorney General </w:t>
      </w:r>
      <w:proofErr w:type="gramStart"/>
      <w:r>
        <w:rPr>
          <w:rFonts w:ascii="Times New Roman" w:hAnsi="Times New Roman"/>
          <w:sz w:val="24"/>
          <w:szCs w:val="24"/>
        </w:rPr>
        <w:t>v</w:t>
      </w:r>
      <w:proofErr w:type="gramEnd"/>
      <w:r>
        <w:rPr>
          <w:rFonts w:ascii="Times New Roman" w:hAnsi="Times New Roman"/>
          <w:sz w:val="24"/>
          <w:szCs w:val="24"/>
        </w:rPr>
        <w:t xml:space="preserve"> </w:t>
      </w:r>
      <w:proofErr w:type="spellStart"/>
      <w:r>
        <w:rPr>
          <w:rFonts w:ascii="Times New Roman" w:hAnsi="Times New Roman"/>
          <w:i/>
          <w:sz w:val="24"/>
          <w:szCs w:val="24"/>
        </w:rPr>
        <w:t>Lafleur</w:t>
      </w:r>
      <w:proofErr w:type="spellEnd"/>
      <w:r>
        <w:rPr>
          <w:rFonts w:ascii="Times New Roman" w:hAnsi="Times New Roman"/>
          <w:i/>
          <w:sz w:val="24"/>
          <w:szCs w:val="24"/>
        </w:rPr>
        <w:t xml:space="preserve"> and </w:t>
      </w:r>
      <w:proofErr w:type="spellStart"/>
      <w:r>
        <w:rPr>
          <w:rFonts w:ascii="Times New Roman" w:hAnsi="Times New Roman"/>
          <w:i/>
          <w:sz w:val="24"/>
          <w:szCs w:val="24"/>
        </w:rPr>
        <w:t>Anor</w:t>
      </w:r>
      <w:proofErr w:type="spellEnd"/>
      <w:r>
        <w:rPr>
          <w:rFonts w:ascii="Times New Roman" w:hAnsi="Times New Roman"/>
          <w:sz w:val="24"/>
          <w:szCs w:val="24"/>
        </w:rPr>
        <w:t xml:space="preserve"> 1998 (1) ZLR 520 (H) at 523 A-D in which the learned </w:t>
      </w:r>
      <w:r w:rsidR="00EC2A73">
        <w:rPr>
          <w:rFonts w:ascii="Times New Roman" w:hAnsi="Times New Roman"/>
          <w:sz w:val="24"/>
          <w:szCs w:val="24"/>
        </w:rPr>
        <w:t>j</w:t>
      </w:r>
      <w:r>
        <w:rPr>
          <w:rFonts w:ascii="Times New Roman" w:hAnsi="Times New Roman"/>
          <w:sz w:val="24"/>
          <w:szCs w:val="24"/>
        </w:rPr>
        <w:t>udge said</w:t>
      </w:r>
      <w:r w:rsidR="00EC2A73">
        <w:rPr>
          <w:rFonts w:ascii="Times New Roman" w:hAnsi="Times New Roman"/>
          <w:sz w:val="24"/>
          <w:szCs w:val="24"/>
        </w:rPr>
        <w:t>:</w:t>
      </w:r>
    </w:p>
    <w:p w:rsidR="00500227" w:rsidRDefault="00BA3971" w:rsidP="00BA3971">
      <w:pPr>
        <w:spacing w:after="0" w:line="240" w:lineRule="auto"/>
        <w:ind w:left="720"/>
        <w:jc w:val="both"/>
        <w:rPr>
          <w:rFonts w:ascii="Times New Roman" w:hAnsi="Times New Roman"/>
        </w:rPr>
      </w:pPr>
      <w:r>
        <w:rPr>
          <w:rFonts w:ascii="Times New Roman" w:hAnsi="Times New Roman"/>
          <w:sz w:val="24"/>
          <w:szCs w:val="24"/>
        </w:rPr>
        <w:t>“</w:t>
      </w:r>
      <w:r>
        <w:rPr>
          <w:rFonts w:ascii="Times New Roman" w:hAnsi="Times New Roman"/>
        </w:rPr>
        <w:t xml:space="preserve">No time limit is set in s 61 of the Act or in any rules of this court within which the Attorney general must file his appeal in terms of that section. It is not clear from the history of the section whether the absence of a time limit by which the applicant must act is by accident or design. It is unusual not to have such a time limit and this section is in stark contrast to the requirements of all other appeals. The omission is particularly striking because the concept that a man, once acquitted of an offence, may </w:t>
      </w:r>
      <w:proofErr w:type="gramStart"/>
      <w:r>
        <w:rPr>
          <w:rFonts w:ascii="Times New Roman" w:hAnsi="Times New Roman"/>
        </w:rPr>
        <w:t>not  be</w:t>
      </w:r>
      <w:proofErr w:type="gramEnd"/>
      <w:r>
        <w:rPr>
          <w:rFonts w:ascii="Times New Roman" w:hAnsi="Times New Roman"/>
        </w:rPr>
        <w:t xml:space="preserve"> retried for that offence is a fundam</w:t>
      </w:r>
      <w:r w:rsidR="00AD5C61">
        <w:rPr>
          <w:rFonts w:ascii="Times New Roman" w:hAnsi="Times New Roman"/>
        </w:rPr>
        <w:t>ental principle of criminal law</w:t>
      </w:r>
      <w:r>
        <w:rPr>
          <w:rFonts w:ascii="Times New Roman" w:hAnsi="Times New Roman"/>
        </w:rPr>
        <w:t xml:space="preserve">. The overriding reason for this principle is the need for finality in litigation ------. This court, notwithstanding the absence of a time limit to the making of the application for leave to appeal, may, in considering the application, take into account the question of delay by the applicant in filing his application in terms of s 61 and decide the application on that point. Even though s 61 </w:t>
      </w:r>
    </w:p>
    <w:p w:rsidR="00500227" w:rsidRDefault="00500227" w:rsidP="00BA3971">
      <w:pPr>
        <w:spacing w:after="0" w:line="240" w:lineRule="auto"/>
        <w:ind w:left="720"/>
        <w:jc w:val="both"/>
        <w:rPr>
          <w:rFonts w:ascii="Times New Roman" w:hAnsi="Times New Roman"/>
        </w:rPr>
      </w:pPr>
    </w:p>
    <w:p w:rsidR="00BA3971" w:rsidRDefault="00BA3971" w:rsidP="00BA3971">
      <w:pPr>
        <w:spacing w:after="0" w:line="240" w:lineRule="auto"/>
        <w:ind w:left="720"/>
        <w:jc w:val="both"/>
        <w:rPr>
          <w:rFonts w:ascii="Times New Roman" w:hAnsi="Times New Roman"/>
        </w:rPr>
      </w:pPr>
      <w:r>
        <w:rPr>
          <w:rFonts w:ascii="Times New Roman" w:hAnsi="Times New Roman"/>
        </w:rPr>
        <w:t xml:space="preserve">has modified the common law to a limited extent, the exercise </w:t>
      </w:r>
      <w:r w:rsidR="00AD5C61">
        <w:rPr>
          <w:rFonts w:ascii="Times New Roman" w:hAnsi="Times New Roman"/>
        </w:rPr>
        <w:t>o</w:t>
      </w:r>
      <w:r>
        <w:rPr>
          <w:rFonts w:ascii="Times New Roman" w:hAnsi="Times New Roman"/>
        </w:rPr>
        <w:t>f the applicant’s powers in terms of that section</w:t>
      </w:r>
      <w:r w:rsidR="00AD5C61">
        <w:rPr>
          <w:rFonts w:ascii="Times New Roman" w:hAnsi="Times New Roman"/>
        </w:rPr>
        <w:t xml:space="preserve"> is subject to the leave of the</w:t>
      </w:r>
      <w:r>
        <w:rPr>
          <w:rFonts w:ascii="Times New Roman" w:hAnsi="Times New Roman"/>
        </w:rPr>
        <w:t xml:space="preserve"> court </w:t>
      </w:r>
      <w:r>
        <w:rPr>
          <w:rFonts w:ascii="Times New Roman" w:hAnsi="Times New Roman"/>
          <w:u w:val="single"/>
        </w:rPr>
        <w:t>and must be exercised reasonably and in  the interests of justice. What is reasonable and in the interests of justice is a matter of fact in each particular case.”</w:t>
      </w:r>
      <w:r>
        <w:rPr>
          <w:rFonts w:ascii="Times New Roman" w:hAnsi="Times New Roman"/>
        </w:rPr>
        <w:t xml:space="preserve"> </w:t>
      </w:r>
      <w:r w:rsidR="00AD5C61">
        <w:rPr>
          <w:rFonts w:ascii="Times New Roman" w:hAnsi="Times New Roman"/>
        </w:rPr>
        <w:t>(</w:t>
      </w:r>
      <w:r>
        <w:rPr>
          <w:rFonts w:ascii="Times New Roman" w:hAnsi="Times New Roman"/>
        </w:rPr>
        <w:t xml:space="preserve">Emphasis is my own.)  </w:t>
      </w:r>
    </w:p>
    <w:p w:rsidR="00BA3971" w:rsidRDefault="00BA3971" w:rsidP="00BA3971">
      <w:pPr>
        <w:spacing w:after="0" w:line="240" w:lineRule="auto"/>
        <w:jc w:val="both"/>
        <w:rPr>
          <w:rFonts w:ascii="Times New Roman" w:hAnsi="Times New Roman"/>
        </w:rPr>
      </w:pPr>
    </w:p>
    <w:p w:rsidR="00BA3971" w:rsidRDefault="00BA3971" w:rsidP="00BA3971">
      <w:pPr>
        <w:spacing w:after="0" w:line="36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Mr</w:t>
      </w:r>
      <w:proofErr w:type="spellEnd"/>
      <w:r>
        <w:rPr>
          <w:rFonts w:ascii="Times New Roman" w:hAnsi="Times New Roman"/>
          <w:sz w:val="24"/>
          <w:szCs w:val="24"/>
        </w:rPr>
        <w:t xml:space="preserve"> </w:t>
      </w:r>
      <w:r w:rsidRPr="00CF26F4">
        <w:rPr>
          <w:rFonts w:ascii="Times New Roman" w:hAnsi="Times New Roman"/>
          <w:i/>
          <w:sz w:val="24"/>
          <w:szCs w:val="24"/>
        </w:rPr>
        <w:t>Makoto</w:t>
      </w:r>
      <w:r>
        <w:rPr>
          <w:rFonts w:ascii="Times New Roman" w:hAnsi="Times New Roman"/>
          <w:sz w:val="24"/>
          <w:szCs w:val="24"/>
        </w:rPr>
        <w:t xml:space="preserve"> for the applicant submitted that the delay of 3 months is not inordinate as the record had to be transcribed, a process outside the direct co</w:t>
      </w:r>
      <w:r w:rsidR="006C0D21">
        <w:rPr>
          <w:rFonts w:ascii="Times New Roman" w:hAnsi="Times New Roman"/>
          <w:sz w:val="24"/>
          <w:szCs w:val="24"/>
        </w:rPr>
        <w:t>ntrol</w:t>
      </w:r>
      <w:r>
        <w:rPr>
          <w:rFonts w:ascii="Times New Roman" w:hAnsi="Times New Roman"/>
          <w:sz w:val="24"/>
          <w:szCs w:val="24"/>
        </w:rPr>
        <w:t xml:space="preserve"> of the applicant. While this explanation is not satisfactory, I am not persuaded that a delay of three months in this case is sufficient to cause the dismissal of the application. While in the case of </w:t>
      </w:r>
      <w:r>
        <w:rPr>
          <w:rFonts w:ascii="Times New Roman" w:hAnsi="Times New Roman"/>
          <w:i/>
          <w:sz w:val="24"/>
          <w:szCs w:val="24"/>
        </w:rPr>
        <w:t xml:space="preserve">Attorney General </w:t>
      </w:r>
      <w:r>
        <w:rPr>
          <w:rFonts w:ascii="Times New Roman" w:hAnsi="Times New Roman"/>
          <w:sz w:val="24"/>
          <w:szCs w:val="24"/>
        </w:rPr>
        <w:t xml:space="preserve">v </w:t>
      </w:r>
      <w:proofErr w:type="spellStart"/>
      <w:r>
        <w:rPr>
          <w:rFonts w:ascii="Times New Roman" w:hAnsi="Times New Roman"/>
          <w:i/>
          <w:sz w:val="24"/>
          <w:szCs w:val="24"/>
        </w:rPr>
        <w:t>Lafleur</w:t>
      </w:r>
      <w:proofErr w:type="spellEnd"/>
      <w:r>
        <w:rPr>
          <w:rFonts w:ascii="Times New Roman" w:hAnsi="Times New Roman"/>
          <w:i/>
          <w:sz w:val="24"/>
          <w:szCs w:val="24"/>
        </w:rPr>
        <w:t xml:space="preserve"> and </w:t>
      </w:r>
      <w:proofErr w:type="spellStart"/>
      <w:r>
        <w:rPr>
          <w:rFonts w:ascii="Times New Roman" w:hAnsi="Times New Roman"/>
          <w:i/>
          <w:sz w:val="24"/>
          <w:szCs w:val="24"/>
        </w:rPr>
        <w:t>Anor</w:t>
      </w:r>
      <w:proofErr w:type="spellEnd"/>
      <w:r>
        <w:rPr>
          <w:rFonts w:ascii="Times New Roman" w:hAnsi="Times New Roman"/>
          <w:i/>
          <w:sz w:val="24"/>
          <w:szCs w:val="24"/>
        </w:rPr>
        <w:t xml:space="preserve"> </w:t>
      </w:r>
      <w:r>
        <w:rPr>
          <w:rFonts w:ascii="Times New Roman" w:hAnsi="Times New Roman"/>
          <w:sz w:val="24"/>
          <w:szCs w:val="24"/>
        </w:rPr>
        <w:t>(</w:t>
      </w:r>
      <w:r>
        <w:rPr>
          <w:rFonts w:ascii="Times New Roman" w:hAnsi="Times New Roman"/>
          <w:i/>
          <w:sz w:val="24"/>
          <w:szCs w:val="24"/>
        </w:rPr>
        <w:t>supra</w:t>
      </w:r>
      <w:r>
        <w:rPr>
          <w:rFonts w:ascii="Times New Roman" w:hAnsi="Times New Roman"/>
          <w:sz w:val="24"/>
          <w:szCs w:val="24"/>
        </w:rPr>
        <w:t xml:space="preserve">) a delay of 14 month was held to be inordinate and unacceptable, in the case of </w:t>
      </w:r>
      <w:r>
        <w:rPr>
          <w:rFonts w:ascii="Times New Roman" w:hAnsi="Times New Roman"/>
          <w:i/>
          <w:sz w:val="24"/>
          <w:szCs w:val="24"/>
        </w:rPr>
        <w:t>Attorney General</w:t>
      </w:r>
      <w:r>
        <w:rPr>
          <w:rFonts w:ascii="Times New Roman" w:hAnsi="Times New Roman"/>
          <w:sz w:val="24"/>
          <w:szCs w:val="24"/>
        </w:rPr>
        <w:t xml:space="preserve"> v </w:t>
      </w:r>
      <w:proofErr w:type="spellStart"/>
      <w:r>
        <w:rPr>
          <w:rFonts w:ascii="Times New Roman" w:hAnsi="Times New Roman"/>
          <w:i/>
          <w:sz w:val="24"/>
          <w:szCs w:val="24"/>
        </w:rPr>
        <w:t>Bvuma</w:t>
      </w:r>
      <w:proofErr w:type="spellEnd"/>
      <w:r>
        <w:rPr>
          <w:rFonts w:ascii="Times New Roman" w:hAnsi="Times New Roman"/>
          <w:i/>
          <w:sz w:val="24"/>
          <w:szCs w:val="24"/>
        </w:rPr>
        <w:t xml:space="preserve"> &amp; </w:t>
      </w:r>
      <w:proofErr w:type="spellStart"/>
      <w:r>
        <w:rPr>
          <w:rFonts w:ascii="Times New Roman" w:hAnsi="Times New Roman"/>
          <w:i/>
          <w:sz w:val="24"/>
          <w:szCs w:val="24"/>
        </w:rPr>
        <w:t>Anor</w:t>
      </w:r>
      <w:proofErr w:type="spellEnd"/>
      <w:r>
        <w:rPr>
          <w:rFonts w:ascii="Times New Roman" w:hAnsi="Times New Roman"/>
          <w:sz w:val="24"/>
          <w:szCs w:val="24"/>
        </w:rPr>
        <w:t xml:space="preserve"> 1987 (2) ZLR 96 (S) leave to appeal was granted despite the delay of eight months. I therefore find no merit in respect of this point </w:t>
      </w:r>
      <w:r w:rsidRPr="002C2177">
        <w:rPr>
          <w:rFonts w:ascii="Times New Roman" w:hAnsi="Times New Roman"/>
          <w:sz w:val="24"/>
          <w:szCs w:val="24"/>
        </w:rPr>
        <w:t>in</w:t>
      </w:r>
      <w:r>
        <w:rPr>
          <w:rFonts w:ascii="Times New Roman" w:hAnsi="Times New Roman"/>
          <w:sz w:val="24"/>
          <w:szCs w:val="24"/>
        </w:rPr>
        <w:t xml:space="preserve"> </w:t>
      </w:r>
      <w:proofErr w:type="spellStart"/>
      <w:r>
        <w:rPr>
          <w:rFonts w:ascii="Times New Roman" w:hAnsi="Times New Roman"/>
          <w:i/>
          <w:sz w:val="24"/>
          <w:szCs w:val="24"/>
        </w:rPr>
        <w:t>limine</w:t>
      </w:r>
      <w:proofErr w:type="spellEnd"/>
      <w:r>
        <w:rPr>
          <w:rFonts w:ascii="Times New Roman" w:hAnsi="Times New Roman"/>
          <w:sz w:val="24"/>
          <w:szCs w:val="24"/>
        </w:rPr>
        <w:t xml:space="preserve"> raised.</w:t>
      </w:r>
    </w:p>
    <w:p w:rsidR="00BA3971" w:rsidRDefault="00BA3971" w:rsidP="00BA3971">
      <w:pPr>
        <w:spacing w:after="0" w:line="360" w:lineRule="auto"/>
        <w:jc w:val="both"/>
        <w:rPr>
          <w:rFonts w:ascii="Times New Roman" w:hAnsi="Times New Roman"/>
          <w:sz w:val="24"/>
          <w:szCs w:val="24"/>
        </w:rPr>
      </w:pPr>
      <w:r>
        <w:rPr>
          <w:rFonts w:ascii="Times New Roman" w:hAnsi="Times New Roman"/>
          <w:b/>
          <w:sz w:val="24"/>
          <w:szCs w:val="24"/>
          <w:u w:val="single"/>
        </w:rPr>
        <w:t xml:space="preserve">Whether the proposed grounds of appeal are fatally defective  </w:t>
      </w:r>
    </w:p>
    <w:p w:rsidR="00BA3971" w:rsidRDefault="00BA3971" w:rsidP="00BA3971">
      <w:pPr>
        <w:spacing w:after="0" w:line="360" w:lineRule="auto"/>
        <w:jc w:val="both"/>
        <w:rPr>
          <w:rFonts w:ascii="Times New Roman" w:hAnsi="Times New Roman"/>
          <w:sz w:val="24"/>
          <w:szCs w:val="24"/>
        </w:rPr>
      </w:pPr>
      <w:r>
        <w:rPr>
          <w:rFonts w:ascii="Times New Roman" w:hAnsi="Times New Roman"/>
          <w:sz w:val="24"/>
          <w:szCs w:val="24"/>
        </w:rPr>
        <w:tab/>
        <w:t xml:space="preserve">I </w:t>
      </w:r>
      <w:r w:rsidR="008D3506">
        <w:rPr>
          <w:rFonts w:ascii="Times New Roman" w:hAnsi="Times New Roman"/>
          <w:sz w:val="24"/>
          <w:szCs w:val="24"/>
        </w:rPr>
        <w:t>have serious</w:t>
      </w:r>
      <w:r>
        <w:rPr>
          <w:rFonts w:ascii="Times New Roman" w:hAnsi="Times New Roman"/>
          <w:sz w:val="24"/>
          <w:szCs w:val="24"/>
        </w:rPr>
        <w:t xml:space="preserve"> difficulties in appreciating the argument raised by </w:t>
      </w:r>
      <w:proofErr w:type="spellStart"/>
      <w:r>
        <w:rPr>
          <w:rFonts w:ascii="Times New Roman" w:hAnsi="Times New Roman"/>
          <w:sz w:val="24"/>
          <w:szCs w:val="24"/>
        </w:rPr>
        <w:t>Mr</w:t>
      </w:r>
      <w:proofErr w:type="spellEnd"/>
      <w:r>
        <w:rPr>
          <w:rFonts w:ascii="Times New Roman" w:hAnsi="Times New Roman"/>
          <w:sz w:val="24"/>
          <w:szCs w:val="24"/>
        </w:rPr>
        <w:t xml:space="preserve"> </w:t>
      </w:r>
      <w:proofErr w:type="spellStart"/>
      <w:r>
        <w:rPr>
          <w:rFonts w:ascii="Times New Roman" w:hAnsi="Times New Roman"/>
          <w:i/>
          <w:sz w:val="24"/>
          <w:szCs w:val="24"/>
        </w:rPr>
        <w:t>Maanda</w:t>
      </w:r>
      <w:proofErr w:type="spellEnd"/>
      <w:r>
        <w:rPr>
          <w:rFonts w:ascii="Times New Roman" w:hAnsi="Times New Roman"/>
          <w:i/>
          <w:sz w:val="24"/>
          <w:szCs w:val="24"/>
        </w:rPr>
        <w:t xml:space="preserve"> </w:t>
      </w:r>
      <w:r>
        <w:rPr>
          <w:rFonts w:ascii="Times New Roman" w:hAnsi="Times New Roman"/>
          <w:sz w:val="24"/>
          <w:szCs w:val="24"/>
        </w:rPr>
        <w:t>in respect of th</w:t>
      </w:r>
      <w:r w:rsidR="008D3506">
        <w:rPr>
          <w:rFonts w:ascii="Times New Roman" w:hAnsi="Times New Roman"/>
          <w:sz w:val="24"/>
          <w:szCs w:val="24"/>
        </w:rPr>
        <w:t>is</w:t>
      </w:r>
      <w:r>
        <w:rPr>
          <w:rFonts w:ascii="Times New Roman" w:hAnsi="Times New Roman"/>
          <w:sz w:val="24"/>
          <w:szCs w:val="24"/>
        </w:rPr>
        <w:t xml:space="preserve"> point </w:t>
      </w:r>
      <w:r w:rsidRPr="004A1BB3">
        <w:rPr>
          <w:rFonts w:ascii="Times New Roman" w:hAnsi="Times New Roman"/>
          <w:sz w:val="24"/>
          <w:szCs w:val="24"/>
        </w:rPr>
        <w:t>in</w:t>
      </w:r>
      <w:r>
        <w:rPr>
          <w:rFonts w:ascii="Times New Roman" w:hAnsi="Times New Roman"/>
          <w:sz w:val="24"/>
          <w:szCs w:val="24"/>
        </w:rPr>
        <w:t xml:space="preserve"> </w:t>
      </w:r>
      <w:proofErr w:type="spellStart"/>
      <w:r>
        <w:rPr>
          <w:rFonts w:ascii="Times New Roman" w:hAnsi="Times New Roman"/>
          <w:i/>
          <w:sz w:val="24"/>
          <w:szCs w:val="24"/>
        </w:rPr>
        <w:t>limine</w:t>
      </w:r>
      <w:proofErr w:type="spellEnd"/>
      <w:r>
        <w:rPr>
          <w:rFonts w:ascii="Times New Roman" w:hAnsi="Times New Roman"/>
          <w:sz w:val="24"/>
          <w:szCs w:val="24"/>
        </w:rPr>
        <w:t xml:space="preserve">. The proposed grounds of appeal are premised on the provisions of both s 61 of the </w:t>
      </w:r>
      <w:r w:rsidR="008D3506">
        <w:rPr>
          <w:rFonts w:ascii="Times New Roman" w:hAnsi="Times New Roman"/>
          <w:sz w:val="24"/>
          <w:szCs w:val="24"/>
        </w:rPr>
        <w:t>M</w:t>
      </w:r>
      <w:r>
        <w:rPr>
          <w:rFonts w:ascii="Times New Roman" w:hAnsi="Times New Roman"/>
          <w:sz w:val="24"/>
          <w:szCs w:val="24"/>
        </w:rPr>
        <w:t>agistrates Court Act [</w:t>
      </w:r>
      <w:r>
        <w:rPr>
          <w:rFonts w:ascii="Times New Roman" w:hAnsi="Times New Roman"/>
          <w:i/>
          <w:sz w:val="24"/>
          <w:szCs w:val="24"/>
        </w:rPr>
        <w:t>Chapter 7:10</w:t>
      </w:r>
      <w:r>
        <w:rPr>
          <w:rFonts w:ascii="Times New Roman" w:hAnsi="Times New Roman"/>
          <w:sz w:val="24"/>
          <w:szCs w:val="24"/>
        </w:rPr>
        <w:t xml:space="preserve">] and s 198 (3) of the </w:t>
      </w:r>
      <w:r w:rsidR="008D3506">
        <w:rPr>
          <w:rFonts w:ascii="Times New Roman" w:hAnsi="Times New Roman"/>
          <w:sz w:val="24"/>
          <w:szCs w:val="24"/>
        </w:rPr>
        <w:t>C</w:t>
      </w:r>
      <w:r>
        <w:rPr>
          <w:rFonts w:ascii="Times New Roman" w:hAnsi="Times New Roman"/>
          <w:sz w:val="24"/>
          <w:szCs w:val="24"/>
        </w:rPr>
        <w:t xml:space="preserve">riminal </w:t>
      </w:r>
      <w:r w:rsidR="008D3506">
        <w:rPr>
          <w:rFonts w:ascii="Times New Roman" w:hAnsi="Times New Roman"/>
          <w:sz w:val="24"/>
          <w:szCs w:val="24"/>
        </w:rPr>
        <w:t>P</w:t>
      </w:r>
      <w:r>
        <w:rPr>
          <w:rFonts w:ascii="Times New Roman" w:hAnsi="Times New Roman"/>
          <w:sz w:val="24"/>
          <w:szCs w:val="24"/>
        </w:rPr>
        <w:t xml:space="preserve">rocedure and </w:t>
      </w:r>
      <w:r w:rsidR="008D3506">
        <w:rPr>
          <w:rFonts w:ascii="Times New Roman" w:hAnsi="Times New Roman"/>
          <w:sz w:val="24"/>
          <w:szCs w:val="24"/>
        </w:rPr>
        <w:t>E</w:t>
      </w:r>
      <w:r>
        <w:rPr>
          <w:rFonts w:ascii="Times New Roman" w:hAnsi="Times New Roman"/>
          <w:sz w:val="24"/>
          <w:szCs w:val="24"/>
        </w:rPr>
        <w:t>vidence Act [</w:t>
      </w:r>
      <w:r>
        <w:rPr>
          <w:rFonts w:ascii="Times New Roman" w:hAnsi="Times New Roman"/>
          <w:i/>
          <w:sz w:val="24"/>
          <w:szCs w:val="24"/>
        </w:rPr>
        <w:t>Chapter 9:07</w:t>
      </w:r>
      <w:r>
        <w:rPr>
          <w:rFonts w:ascii="Times New Roman" w:hAnsi="Times New Roman"/>
          <w:sz w:val="24"/>
          <w:szCs w:val="24"/>
        </w:rPr>
        <w:t xml:space="preserve">]. I find the proposed grounds of appeal to be short, concise and clear as is required by the rules of the court. This point in </w:t>
      </w:r>
      <w:proofErr w:type="spellStart"/>
      <w:r w:rsidRPr="00166CE3">
        <w:rPr>
          <w:rFonts w:ascii="Times New Roman" w:hAnsi="Times New Roman"/>
          <w:i/>
          <w:sz w:val="24"/>
          <w:szCs w:val="24"/>
        </w:rPr>
        <w:t>limine</w:t>
      </w:r>
      <w:proofErr w:type="spellEnd"/>
      <w:r w:rsidRPr="00166CE3">
        <w:rPr>
          <w:rFonts w:ascii="Times New Roman" w:hAnsi="Times New Roman"/>
          <w:i/>
          <w:sz w:val="24"/>
          <w:szCs w:val="24"/>
        </w:rPr>
        <w:t xml:space="preserve"> </w:t>
      </w:r>
      <w:r>
        <w:rPr>
          <w:rFonts w:ascii="Times New Roman" w:hAnsi="Times New Roman"/>
          <w:sz w:val="24"/>
          <w:szCs w:val="24"/>
        </w:rPr>
        <w:t>also lacks merit.</w:t>
      </w:r>
    </w:p>
    <w:p w:rsidR="00BA3971" w:rsidRDefault="00BA3971" w:rsidP="00BA3971">
      <w:pPr>
        <w:spacing w:after="0" w:line="360" w:lineRule="auto"/>
        <w:jc w:val="both"/>
        <w:rPr>
          <w:rFonts w:ascii="Times New Roman" w:hAnsi="Times New Roman"/>
          <w:sz w:val="24"/>
          <w:szCs w:val="24"/>
        </w:rPr>
      </w:pPr>
      <w:r>
        <w:rPr>
          <w:rFonts w:ascii="Times New Roman" w:hAnsi="Times New Roman"/>
          <w:sz w:val="24"/>
          <w:szCs w:val="24"/>
        </w:rPr>
        <w:tab/>
        <w:t>I now turn to the merits of the application.</w:t>
      </w:r>
    </w:p>
    <w:p w:rsidR="00BA3971" w:rsidRDefault="00BA3971" w:rsidP="00BA3971">
      <w:pPr>
        <w:spacing w:after="0" w:line="360" w:lineRule="auto"/>
        <w:jc w:val="both"/>
        <w:rPr>
          <w:rFonts w:ascii="Times New Roman" w:hAnsi="Times New Roman"/>
          <w:sz w:val="24"/>
          <w:szCs w:val="24"/>
        </w:rPr>
      </w:pPr>
      <w:r>
        <w:rPr>
          <w:rFonts w:ascii="Times New Roman" w:hAnsi="Times New Roman"/>
          <w:sz w:val="24"/>
          <w:szCs w:val="24"/>
        </w:rPr>
        <w:tab/>
        <w:t xml:space="preserve">It is trite that in </w:t>
      </w:r>
      <w:r w:rsidR="004A1BB3">
        <w:rPr>
          <w:rFonts w:ascii="Times New Roman" w:hAnsi="Times New Roman"/>
          <w:sz w:val="24"/>
          <w:szCs w:val="24"/>
        </w:rPr>
        <w:t xml:space="preserve">an </w:t>
      </w:r>
      <w:r>
        <w:rPr>
          <w:rFonts w:ascii="Times New Roman" w:hAnsi="Times New Roman"/>
          <w:sz w:val="24"/>
          <w:szCs w:val="24"/>
        </w:rPr>
        <w:t xml:space="preserve">application of this nature, the applicant in order to </w:t>
      </w:r>
      <w:proofErr w:type="gramStart"/>
      <w:r>
        <w:rPr>
          <w:rFonts w:ascii="Times New Roman" w:hAnsi="Times New Roman"/>
          <w:sz w:val="24"/>
          <w:szCs w:val="24"/>
        </w:rPr>
        <w:t>succeed,</w:t>
      </w:r>
      <w:proofErr w:type="gramEnd"/>
      <w:r>
        <w:rPr>
          <w:rFonts w:ascii="Times New Roman" w:hAnsi="Times New Roman"/>
          <w:sz w:val="24"/>
          <w:szCs w:val="24"/>
        </w:rPr>
        <w:t xml:space="preserve"> has to establish that the intended </w:t>
      </w:r>
      <w:r w:rsidR="004A1BB3">
        <w:rPr>
          <w:rFonts w:ascii="Times New Roman" w:hAnsi="Times New Roman"/>
          <w:sz w:val="24"/>
          <w:szCs w:val="24"/>
        </w:rPr>
        <w:t>appeal enjoys</w:t>
      </w:r>
      <w:r>
        <w:rPr>
          <w:rFonts w:ascii="Times New Roman" w:hAnsi="Times New Roman"/>
          <w:sz w:val="24"/>
          <w:szCs w:val="24"/>
        </w:rPr>
        <w:t xml:space="preserve"> reasonable prospects of success. </w:t>
      </w:r>
      <w:proofErr w:type="gramStart"/>
      <w:r>
        <w:rPr>
          <w:rFonts w:ascii="Times New Roman" w:hAnsi="Times New Roman"/>
          <w:sz w:val="24"/>
          <w:szCs w:val="24"/>
        </w:rPr>
        <w:t xml:space="preserve">See </w:t>
      </w:r>
      <w:r>
        <w:rPr>
          <w:rFonts w:ascii="Times New Roman" w:hAnsi="Times New Roman"/>
          <w:i/>
          <w:sz w:val="24"/>
          <w:szCs w:val="24"/>
        </w:rPr>
        <w:t xml:space="preserve">S </w:t>
      </w:r>
      <w:r>
        <w:rPr>
          <w:rFonts w:ascii="Times New Roman" w:hAnsi="Times New Roman"/>
          <w:sz w:val="24"/>
          <w:szCs w:val="24"/>
        </w:rPr>
        <w:t xml:space="preserve">v </w:t>
      </w:r>
      <w:proofErr w:type="spellStart"/>
      <w:r>
        <w:rPr>
          <w:rFonts w:ascii="Times New Roman" w:hAnsi="Times New Roman"/>
          <w:i/>
          <w:sz w:val="24"/>
          <w:szCs w:val="24"/>
        </w:rPr>
        <w:t>Mutasa</w:t>
      </w:r>
      <w:proofErr w:type="spellEnd"/>
      <w:r>
        <w:rPr>
          <w:rFonts w:ascii="Times New Roman" w:hAnsi="Times New Roman"/>
          <w:i/>
          <w:sz w:val="24"/>
          <w:szCs w:val="24"/>
        </w:rPr>
        <w:t xml:space="preserve"> </w:t>
      </w:r>
      <w:r w:rsidR="004A1BB3">
        <w:rPr>
          <w:rFonts w:ascii="Times New Roman" w:hAnsi="Times New Roman"/>
          <w:sz w:val="24"/>
          <w:szCs w:val="24"/>
        </w:rPr>
        <w:t>1988 (2)</w:t>
      </w:r>
      <w:r>
        <w:rPr>
          <w:rFonts w:ascii="Times New Roman" w:hAnsi="Times New Roman"/>
          <w:sz w:val="24"/>
          <w:szCs w:val="24"/>
        </w:rPr>
        <w:t xml:space="preserve"> ZLR 4 (S).</w:t>
      </w:r>
      <w:proofErr w:type="gramEnd"/>
      <w:r>
        <w:rPr>
          <w:rFonts w:ascii="Times New Roman" w:hAnsi="Times New Roman"/>
          <w:sz w:val="24"/>
          <w:szCs w:val="24"/>
        </w:rPr>
        <w:t xml:space="preserve"> </w:t>
      </w:r>
    </w:p>
    <w:p w:rsidR="00BA3971" w:rsidRDefault="00BA3971" w:rsidP="00BA3971">
      <w:pPr>
        <w:spacing w:after="0" w:line="360" w:lineRule="auto"/>
        <w:jc w:val="both"/>
        <w:rPr>
          <w:rFonts w:ascii="Times New Roman" w:hAnsi="Times New Roman"/>
          <w:sz w:val="24"/>
          <w:szCs w:val="24"/>
        </w:rPr>
      </w:pPr>
      <w:r>
        <w:rPr>
          <w:rFonts w:ascii="Times New Roman" w:hAnsi="Times New Roman"/>
          <w:sz w:val="24"/>
          <w:szCs w:val="24"/>
        </w:rPr>
        <w:tab/>
        <w:t>I understand the applicant’s case to be that the second respondent erred at law by failing to apply the legal principles in s 198 (3) of the Criminal Procedure and Evidence Act [</w:t>
      </w:r>
      <w:r>
        <w:rPr>
          <w:rFonts w:ascii="Times New Roman" w:hAnsi="Times New Roman"/>
          <w:i/>
          <w:sz w:val="24"/>
          <w:szCs w:val="24"/>
        </w:rPr>
        <w:t>Chapter 9:07</w:t>
      </w:r>
      <w:r>
        <w:rPr>
          <w:rFonts w:ascii="Times New Roman" w:hAnsi="Times New Roman"/>
          <w:sz w:val="24"/>
          <w:szCs w:val="24"/>
        </w:rPr>
        <w:t>] to</w:t>
      </w:r>
      <w:r w:rsidR="002C2177">
        <w:rPr>
          <w:rFonts w:ascii="Times New Roman" w:hAnsi="Times New Roman"/>
          <w:sz w:val="24"/>
          <w:szCs w:val="24"/>
        </w:rPr>
        <w:t xml:space="preserve"> </w:t>
      </w:r>
      <w:r>
        <w:rPr>
          <w:rFonts w:ascii="Times New Roman" w:hAnsi="Times New Roman"/>
          <w:sz w:val="24"/>
          <w:szCs w:val="24"/>
        </w:rPr>
        <w:t xml:space="preserve">the facts of this case and improperly assessed the evidence adduced by the state at the close of the state case. </w:t>
      </w:r>
    </w:p>
    <w:p w:rsidR="00BA3971" w:rsidRDefault="00BA3971" w:rsidP="00BA3971">
      <w:pPr>
        <w:spacing w:after="0" w:line="360" w:lineRule="auto"/>
        <w:jc w:val="both"/>
        <w:rPr>
          <w:rFonts w:ascii="Times New Roman" w:hAnsi="Times New Roman"/>
          <w:sz w:val="24"/>
          <w:szCs w:val="24"/>
        </w:rPr>
      </w:pPr>
      <w:r>
        <w:rPr>
          <w:rFonts w:ascii="Times New Roman" w:hAnsi="Times New Roman"/>
          <w:sz w:val="24"/>
          <w:szCs w:val="24"/>
        </w:rPr>
        <w:tab/>
        <w:t>The second respondent’s appreciation of the law in relation to an application for discharge at the close of the state case is beyond reproach. Such an application is in terms of s 198 (3) of the Criminal Procedure and Evidence Act which provides as follows.</w:t>
      </w:r>
    </w:p>
    <w:p w:rsidR="00BA3971" w:rsidRPr="002C2177" w:rsidRDefault="00BA3971" w:rsidP="00BA3971">
      <w:pPr>
        <w:spacing w:after="0" w:line="240" w:lineRule="auto"/>
        <w:jc w:val="both"/>
        <w:rPr>
          <w:rFonts w:ascii="Times New Roman" w:hAnsi="Times New Roman"/>
        </w:rPr>
      </w:pPr>
      <w:r>
        <w:rPr>
          <w:rFonts w:ascii="Times New Roman" w:hAnsi="Times New Roman"/>
          <w:sz w:val="24"/>
          <w:szCs w:val="24"/>
        </w:rPr>
        <w:tab/>
      </w:r>
      <w:r w:rsidRPr="002C2177">
        <w:rPr>
          <w:rFonts w:ascii="Times New Roman" w:hAnsi="Times New Roman"/>
        </w:rPr>
        <w:t>“98</w:t>
      </w:r>
      <w:r w:rsidRPr="002C2177">
        <w:rPr>
          <w:rFonts w:ascii="Times New Roman" w:hAnsi="Times New Roman"/>
        </w:rPr>
        <w:tab/>
        <w:t xml:space="preserve">(1) </w:t>
      </w:r>
      <w:r w:rsidRPr="002C2177">
        <w:rPr>
          <w:rFonts w:ascii="Times New Roman" w:hAnsi="Times New Roman"/>
        </w:rPr>
        <w:tab/>
        <w:t>-------------------- not relevant</w:t>
      </w:r>
    </w:p>
    <w:p w:rsidR="00BA3971" w:rsidRDefault="00BA3971" w:rsidP="00BA3971">
      <w:pPr>
        <w:spacing w:after="0" w:line="240" w:lineRule="auto"/>
        <w:jc w:val="both"/>
        <w:rPr>
          <w:rFonts w:ascii="Times New Roman" w:hAnsi="Times New Roman"/>
        </w:rPr>
      </w:pPr>
      <w:r w:rsidRPr="002C2177">
        <w:rPr>
          <w:rFonts w:ascii="Times New Roman" w:hAnsi="Times New Roman"/>
        </w:rPr>
        <w:tab/>
      </w:r>
      <w:r w:rsidRPr="002C2177">
        <w:rPr>
          <w:rFonts w:ascii="Times New Roman" w:hAnsi="Times New Roman"/>
        </w:rPr>
        <w:tab/>
        <w:t>(2)</w:t>
      </w:r>
      <w:r w:rsidRPr="002C2177">
        <w:rPr>
          <w:rFonts w:ascii="Times New Roman" w:hAnsi="Times New Roman"/>
        </w:rPr>
        <w:tab/>
        <w:t xml:space="preserve"> -------------------- not relevant</w:t>
      </w:r>
    </w:p>
    <w:p w:rsidR="00500227" w:rsidRPr="002C2177" w:rsidRDefault="00500227" w:rsidP="00BA3971">
      <w:pPr>
        <w:spacing w:after="0" w:line="240" w:lineRule="auto"/>
        <w:jc w:val="both"/>
        <w:rPr>
          <w:rFonts w:ascii="Times New Roman" w:hAnsi="Times New Roman"/>
        </w:rPr>
      </w:pPr>
    </w:p>
    <w:p w:rsidR="00BA3971" w:rsidRPr="002C2177" w:rsidRDefault="00BA3971" w:rsidP="00BA3971">
      <w:pPr>
        <w:spacing w:after="0" w:line="240" w:lineRule="auto"/>
        <w:ind w:left="2160" w:hanging="720"/>
        <w:jc w:val="both"/>
        <w:rPr>
          <w:rFonts w:ascii="Times New Roman" w:hAnsi="Times New Roman"/>
        </w:rPr>
      </w:pPr>
      <w:r w:rsidRPr="002C2177">
        <w:rPr>
          <w:rFonts w:ascii="Times New Roman" w:hAnsi="Times New Roman"/>
        </w:rPr>
        <w:t xml:space="preserve">(3) </w:t>
      </w:r>
      <w:r w:rsidRPr="002C2177">
        <w:rPr>
          <w:rFonts w:ascii="Times New Roman" w:hAnsi="Times New Roman"/>
        </w:rPr>
        <w:tab/>
        <w:t>If at the close of the case for the prosecution the court considers that there is no evidence that the accused committed the offence charged in the indictment, summons or charge, or any other offence of which he might be convicted thereon, it shall return a verdict of not guilty.”</w:t>
      </w:r>
    </w:p>
    <w:p w:rsidR="00BA3971" w:rsidRPr="002C2177" w:rsidRDefault="00BA3971" w:rsidP="00BA3971">
      <w:pPr>
        <w:spacing w:after="0" w:line="360" w:lineRule="auto"/>
        <w:jc w:val="both"/>
        <w:rPr>
          <w:rFonts w:ascii="Times New Roman" w:hAnsi="Times New Roman"/>
        </w:rPr>
      </w:pPr>
    </w:p>
    <w:p w:rsidR="00BA3971" w:rsidRDefault="00BA3971" w:rsidP="00BA3971">
      <w:pPr>
        <w:spacing w:after="0" w:line="360" w:lineRule="auto"/>
        <w:jc w:val="both"/>
        <w:rPr>
          <w:rFonts w:ascii="Times New Roman" w:hAnsi="Times New Roman"/>
          <w:sz w:val="24"/>
          <w:szCs w:val="24"/>
        </w:rPr>
      </w:pPr>
      <w:r>
        <w:rPr>
          <w:rFonts w:ascii="Times New Roman" w:hAnsi="Times New Roman"/>
          <w:sz w:val="24"/>
          <w:szCs w:val="24"/>
        </w:rPr>
        <w:tab/>
        <w:t>The general principles enunciated in a number of de</w:t>
      </w:r>
      <w:r w:rsidR="004A1BB3">
        <w:rPr>
          <w:rFonts w:ascii="Times New Roman" w:hAnsi="Times New Roman"/>
          <w:sz w:val="24"/>
          <w:szCs w:val="24"/>
        </w:rPr>
        <w:t>cided</w:t>
      </w:r>
      <w:r>
        <w:rPr>
          <w:rFonts w:ascii="Times New Roman" w:hAnsi="Times New Roman"/>
          <w:sz w:val="24"/>
          <w:szCs w:val="24"/>
        </w:rPr>
        <w:t xml:space="preserve"> cases in interpreting the provisions of s 198 (3) of the Criminal Procedure and Evidence Act [</w:t>
      </w:r>
      <w:r>
        <w:rPr>
          <w:rFonts w:ascii="Times New Roman" w:hAnsi="Times New Roman"/>
          <w:i/>
          <w:sz w:val="24"/>
          <w:szCs w:val="24"/>
        </w:rPr>
        <w:t>Chapter 9:07</w:t>
      </w:r>
      <w:r>
        <w:rPr>
          <w:rFonts w:ascii="Times New Roman" w:hAnsi="Times New Roman"/>
          <w:sz w:val="24"/>
          <w:szCs w:val="24"/>
        </w:rPr>
        <w:t xml:space="preserve">] is that the trial court is enjoined to discharge an accused </w:t>
      </w:r>
      <w:r w:rsidR="004A1BB3">
        <w:rPr>
          <w:rFonts w:ascii="Times New Roman" w:hAnsi="Times New Roman"/>
          <w:sz w:val="24"/>
          <w:szCs w:val="24"/>
        </w:rPr>
        <w:t>person</w:t>
      </w:r>
      <w:r>
        <w:rPr>
          <w:rFonts w:ascii="Times New Roman" w:hAnsi="Times New Roman"/>
          <w:sz w:val="24"/>
          <w:szCs w:val="24"/>
        </w:rPr>
        <w:t xml:space="preserve"> at the close of the prosecution case;</w:t>
      </w:r>
    </w:p>
    <w:p w:rsidR="00BA3971" w:rsidRDefault="00BA3971" w:rsidP="00BA3971">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Where there is no evidence to prove the essential elements of the offence. See </w:t>
      </w:r>
      <w:r>
        <w:rPr>
          <w:rFonts w:ascii="Times New Roman" w:hAnsi="Times New Roman"/>
          <w:i/>
          <w:sz w:val="24"/>
          <w:szCs w:val="24"/>
        </w:rPr>
        <w:t xml:space="preserve">Attorney General </w:t>
      </w:r>
      <w:proofErr w:type="gramStart"/>
      <w:r>
        <w:rPr>
          <w:rFonts w:ascii="Times New Roman" w:hAnsi="Times New Roman"/>
          <w:sz w:val="24"/>
          <w:szCs w:val="24"/>
        </w:rPr>
        <w:t>v</w:t>
      </w:r>
      <w:proofErr w:type="gramEnd"/>
      <w:r>
        <w:rPr>
          <w:rFonts w:ascii="Times New Roman" w:hAnsi="Times New Roman"/>
          <w:sz w:val="24"/>
          <w:szCs w:val="24"/>
        </w:rPr>
        <w:t xml:space="preserve"> </w:t>
      </w:r>
      <w:proofErr w:type="spellStart"/>
      <w:r>
        <w:rPr>
          <w:rFonts w:ascii="Times New Roman" w:hAnsi="Times New Roman"/>
          <w:i/>
          <w:sz w:val="24"/>
          <w:szCs w:val="24"/>
        </w:rPr>
        <w:t>Bvuma</w:t>
      </w:r>
      <w:proofErr w:type="spellEnd"/>
      <w:r>
        <w:rPr>
          <w:rFonts w:ascii="Times New Roman" w:hAnsi="Times New Roman"/>
          <w:i/>
          <w:sz w:val="24"/>
          <w:szCs w:val="24"/>
        </w:rPr>
        <w:t xml:space="preserve"> &amp; </w:t>
      </w:r>
      <w:proofErr w:type="spellStart"/>
      <w:r>
        <w:rPr>
          <w:rFonts w:ascii="Times New Roman" w:hAnsi="Times New Roman"/>
          <w:i/>
          <w:sz w:val="24"/>
          <w:szCs w:val="24"/>
        </w:rPr>
        <w:t>Anor</w:t>
      </w:r>
      <w:proofErr w:type="spellEnd"/>
      <w:r>
        <w:rPr>
          <w:rFonts w:ascii="Times New Roman" w:hAnsi="Times New Roman"/>
          <w:i/>
          <w:sz w:val="24"/>
          <w:szCs w:val="24"/>
        </w:rPr>
        <w:t xml:space="preserve"> </w:t>
      </w:r>
      <w:r>
        <w:rPr>
          <w:rFonts w:ascii="Times New Roman" w:hAnsi="Times New Roman"/>
          <w:sz w:val="24"/>
          <w:szCs w:val="24"/>
        </w:rPr>
        <w:t xml:space="preserve">1998 (2) ZLR 96 (S). </w:t>
      </w:r>
    </w:p>
    <w:p w:rsidR="00BA3971" w:rsidRDefault="00BA3971" w:rsidP="00BA3971">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Where there is no evidence on which </w:t>
      </w:r>
      <w:proofErr w:type="gramStart"/>
      <w:r>
        <w:rPr>
          <w:rFonts w:ascii="Times New Roman" w:hAnsi="Times New Roman"/>
          <w:sz w:val="24"/>
          <w:szCs w:val="24"/>
        </w:rPr>
        <w:t>a reasonable</w:t>
      </w:r>
      <w:proofErr w:type="gramEnd"/>
      <w:r>
        <w:rPr>
          <w:rFonts w:ascii="Times New Roman" w:hAnsi="Times New Roman"/>
          <w:sz w:val="24"/>
          <w:szCs w:val="24"/>
        </w:rPr>
        <w:t xml:space="preserve"> court acting carefully might properly convict. See </w:t>
      </w:r>
      <w:r>
        <w:rPr>
          <w:rFonts w:ascii="Times New Roman" w:hAnsi="Times New Roman"/>
          <w:i/>
          <w:sz w:val="24"/>
          <w:szCs w:val="24"/>
        </w:rPr>
        <w:t xml:space="preserve">Attorney General </w:t>
      </w:r>
      <w:proofErr w:type="gramStart"/>
      <w:r>
        <w:rPr>
          <w:rFonts w:ascii="Times New Roman" w:hAnsi="Times New Roman"/>
          <w:sz w:val="24"/>
          <w:szCs w:val="24"/>
        </w:rPr>
        <w:t>v</w:t>
      </w:r>
      <w:proofErr w:type="gramEnd"/>
      <w:r>
        <w:rPr>
          <w:rFonts w:ascii="Times New Roman" w:hAnsi="Times New Roman"/>
          <w:sz w:val="24"/>
          <w:szCs w:val="24"/>
        </w:rPr>
        <w:t xml:space="preserve"> </w:t>
      </w:r>
      <w:proofErr w:type="spellStart"/>
      <w:r>
        <w:rPr>
          <w:rFonts w:ascii="Times New Roman" w:hAnsi="Times New Roman"/>
          <w:i/>
          <w:sz w:val="24"/>
          <w:szCs w:val="24"/>
        </w:rPr>
        <w:t>Mzizi</w:t>
      </w:r>
      <w:proofErr w:type="spellEnd"/>
      <w:r>
        <w:rPr>
          <w:rFonts w:ascii="Times New Roman" w:hAnsi="Times New Roman"/>
          <w:i/>
          <w:sz w:val="24"/>
          <w:szCs w:val="24"/>
        </w:rPr>
        <w:t xml:space="preserve"> </w:t>
      </w:r>
      <w:r>
        <w:rPr>
          <w:rFonts w:ascii="Times New Roman" w:hAnsi="Times New Roman"/>
          <w:sz w:val="24"/>
          <w:szCs w:val="24"/>
        </w:rPr>
        <w:t>1991 (2) ZLR 321.</w:t>
      </w:r>
    </w:p>
    <w:p w:rsidR="00BA3971" w:rsidRDefault="00BA3971" w:rsidP="00BA3971">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Where the evidence led by the state is manifestly unreliab</w:t>
      </w:r>
      <w:r w:rsidR="002C2177">
        <w:rPr>
          <w:rFonts w:ascii="Times New Roman" w:hAnsi="Times New Roman"/>
          <w:sz w:val="24"/>
          <w:szCs w:val="24"/>
        </w:rPr>
        <w:t>le that no reasonable court could</w:t>
      </w:r>
      <w:r>
        <w:rPr>
          <w:rFonts w:ascii="Times New Roman" w:hAnsi="Times New Roman"/>
          <w:sz w:val="24"/>
          <w:szCs w:val="24"/>
        </w:rPr>
        <w:t xml:space="preserve"> safely act on it. See </w:t>
      </w:r>
      <w:r>
        <w:rPr>
          <w:rFonts w:ascii="Times New Roman" w:hAnsi="Times New Roman"/>
          <w:i/>
          <w:sz w:val="24"/>
          <w:szCs w:val="24"/>
        </w:rPr>
        <w:t xml:space="preserve">Attorney General </w:t>
      </w:r>
      <w:proofErr w:type="gramStart"/>
      <w:r>
        <w:rPr>
          <w:rFonts w:ascii="Times New Roman" w:hAnsi="Times New Roman"/>
          <w:sz w:val="24"/>
          <w:szCs w:val="24"/>
        </w:rPr>
        <w:t>v</w:t>
      </w:r>
      <w:proofErr w:type="gramEnd"/>
      <w:r>
        <w:rPr>
          <w:rFonts w:ascii="Times New Roman" w:hAnsi="Times New Roman"/>
          <w:sz w:val="24"/>
          <w:szCs w:val="24"/>
        </w:rPr>
        <w:t xml:space="preserve"> </w:t>
      </w:r>
      <w:proofErr w:type="spellStart"/>
      <w:r>
        <w:rPr>
          <w:rFonts w:ascii="Times New Roman" w:hAnsi="Times New Roman"/>
          <w:i/>
          <w:sz w:val="24"/>
          <w:szCs w:val="24"/>
        </w:rPr>
        <w:t>Tarwirei</w:t>
      </w:r>
      <w:proofErr w:type="spellEnd"/>
      <w:r>
        <w:rPr>
          <w:rFonts w:ascii="Times New Roman" w:hAnsi="Times New Roman"/>
          <w:i/>
          <w:sz w:val="24"/>
          <w:szCs w:val="24"/>
        </w:rPr>
        <w:t xml:space="preserve"> </w:t>
      </w:r>
      <w:r>
        <w:rPr>
          <w:rFonts w:ascii="Times New Roman" w:hAnsi="Times New Roman"/>
          <w:sz w:val="24"/>
          <w:szCs w:val="24"/>
        </w:rPr>
        <w:t xml:space="preserve">1997 (1) ZLR 575 (S). </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second respondent properly applied </w:t>
      </w:r>
      <w:r w:rsidR="004A1BB3">
        <w:rPr>
          <w:rFonts w:ascii="Times New Roman" w:hAnsi="Times New Roman"/>
          <w:sz w:val="24"/>
          <w:szCs w:val="24"/>
        </w:rPr>
        <w:t>these principles</w:t>
      </w:r>
      <w:r>
        <w:rPr>
          <w:rFonts w:ascii="Times New Roman" w:hAnsi="Times New Roman"/>
          <w:sz w:val="24"/>
          <w:szCs w:val="24"/>
        </w:rPr>
        <w:t xml:space="preserve"> in dis</w:t>
      </w:r>
      <w:r w:rsidR="004A1BB3">
        <w:rPr>
          <w:rFonts w:ascii="Times New Roman" w:hAnsi="Times New Roman"/>
          <w:sz w:val="24"/>
          <w:szCs w:val="24"/>
        </w:rPr>
        <w:t>charging the first respondent at</w:t>
      </w:r>
      <w:r>
        <w:rPr>
          <w:rFonts w:ascii="Times New Roman" w:hAnsi="Times New Roman"/>
          <w:sz w:val="24"/>
          <w:szCs w:val="24"/>
        </w:rPr>
        <w:t xml:space="preserve"> the </w:t>
      </w:r>
      <w:r w:rsidR="004A1BB3">
        <w:rPr>
          <w:rFonts w:ascii="Times New Roman" w:hAnsi="Times New Roman"/>
          <w:sz w:val="24"/>
          <w:szCs w:val="24"/>
        </w:rPr>
        <w:t xml:space="preserve">close of the sate case. </w:t>
      </w:r>
      <w:r>
        <w:rPr>
          <w:rFonts w:ascii="Times New Roman" w:hAnsi="Times New Roman"/>
          <w:sz w:val="24"/>
          <w:szCs w:val="24"/>
        </w:rPr>
        <w:t xml:space="preserve">There is no need for the court to summarise the evidence in detail for purposes of this application but </w:t>
      </w:r>
      <w:r w:rsidR="004A1BB3">
        <w:rPr>
          <w:rFonts w:ascii="Times New Roman" w:hAnsi="Times New Roman"/>
          <w:sz w:val="24"/>
          <w:szCs w:val="24"/>
        </w:rPr>
        <w:t xml:space="preserve">I </w:t>
      </w:r>
      <w:r>
        <w:rPr>
          <w:rFonts w:ascii="Times New Roman" w:hAnsi="Times New Roman"/>
          <w:sz w:val="24"/>
          <w:szCs w:val="24"/>
        </w:rPr>
        <w:t xml:space="preserve">will simply highlight what informed the second respondent’s </w:t>
      </w:r>
      <w:proofErr w:type="spellStart"/>
      <w:r>
        <w:rPr>
          <w:rFonts w:ascii="Times New Roman" w:hAnsi="Times New Roman"/>
          <w:sz w:val="24"/>
          <w:szCs w:val="24"/>
        </w:rPr>
        <w:t>well reasoned</w:t>
      </w:r>
      <w:proofErr w:type="spellEnd"/>
      <w:r>
        <w:rPr>
          <w:rFonts w:ascii="Times New Roman" w:hAnsi="Times New Roman"/>
          <w:sz w:val="24"/>
          <w:szCs w:val="24"/>
        </w:rPr>
        <w:t xml:space="preserve"> judgment.</w:t>
      </w:r>
    </w:p>
    <w:p w:rsidR="00BA3971" w:rsidRDefault="004A1BB3" w:rsidP="00BA3971">
      <w:pPr>
        <w:spacing w:after="0" w:line="360" w:lineRule="auto"/>
        <w:ind w:firstLine="720"/>
        <w:jc w:val="both"/>
        <w:rPr>
          <w:rFonts w:ascii="Times New Roman" w:hAnsi="Times New Roman"/>
          <w:sz w:val="24"/>
          <w:szCs w:val="24"/>
        </w:rPr>
      </w:pPr>
      <w:proofErr w:type="spellStart"/>
      <w:r>
        <w:rPr>
          <w:rFonts w:ascii="Times New Roman" w:hAnsi="Times New Roman"/>
          <w:sz w:val="24"/>
          <w:szCs w:val="24"/>
        </w:rPr>
        <w:t>Etwen</w:t>
      </w:r>
      <w:proofErr w:type="spellEnd"/>
      <w:r w:rsidR="00BA3971">
        <w:rPr>
          <w:rFonts w:ascii="Times New Roman" w:hAnsi="Times New Roman"/>
          <w:sz w:val="24"/>
          <w:szCs w:val="24"/>
        </w:rPr>
        <w:t xml:space="preserve"> Mhlanga the manager of Barclays bank properly conceded that he was an irrelevant witness. This is so on account o</w:t>
      </w:r>
      <w:r w:rsidR="00CF26F4">
        <w:rPr>
          <w:rFonts w:ascii="Times New Roman" w:hAnsi="Times New Roman"/>
          <w:sz w:val="24"/>
          <w:szCs w:val="24"/>
        </w:rPr>
        <w:t xml:space="preserve">f the facts </w:t>
      </w:r>
      <w:r>
        <w:rPr>
          <w:rFonts w:ascii="Times New Roman" w:hAnsi="Times New Roman"/>
          <w:sz w:val="24"/>
          <w:szCs w:val="24"/>
        </w:rPr>
        <w:t>that</w:t>
      </w:r>
      <w:r w:rsidR="00CF26F4">
        <w:rPr>
          <w:rFonts w:ascii="Times New Roman" w:hAnsi="Times New Roman"/>
          <w:sz w:val="24"/>
          <w:szCs w:val="24"/>
        </w:rPr>
        <w:t xml:space="preserve"> in count 1</w:t>
      </w:r>
      <w:r w:rsidR="00BA3971">
        <w:rPr>
          <w:rFonts w:ascii="Times New Roman" w:hAnsi="Times New Roman"/>
          <w:sz w:val="24"/>
          <w:szCs w:val="24"/>
        </w:rPr>
        <w:t xml:space="preserve"> it is alleged that the Z$3.5 million was </w:t>
      </w:r>
      <w:r>
        <w:rPr>
          <w:rFonts w:ascii="Times New Roman" w:hAnsi="Times New Roman"/>
          <w:sz w:val="24"/>
          <w:szCs w:val="24"/>
        </w:rPr>
        <w:t>paid</w:t>
      </w:r>
      <w:r w:rsidR="00BA3971">
        <w:rPr>
          <w:rFonts w:ascii="Times New Roman" w:hAnsi="Times New Roman"/>
          <w:sz w:val="24"/>
          <w:szCs w:val="24"/>
        </w:rPr>
        <w:t xml:space="preserve"> by </w:t>
      </w:r>
      <w:proofErr w:type="spellStart"/>
      <w:proofErr w:type="gramStart"/>
      <w:r w:rsidR="00BA3971">
        <w:rPr>
          <w:rFonts w:ascii="Times New Roman" w:hAnsi="Times New Roman"/>
          <w:sz w:val="24"/>
          <w:szCs w:val="24"/>
        </w:rPr>
        <w:t>cheque</w:t>
      </w:r>
      <w:proofErr w:type="spellEnd"/>
      <w:r w:rsidR="00BA3971">
        <w:rPr>
          <w:rFonts w:ascii="Times New Roman" w:hAnsi="Times New Roman"/>
          <w:sz w:val="24"/>
          <w:szCs w:val="24"/>
        </w:rPr>
        <w:t xml:space="preserve">  but</w:t>
      </w:r>
      <w:proofErr w:type="gramEnd"/>
      <w:r w:rsidR="00BA3971">
        <w:rPr>
          <w:rFonts w:ascii="Times New Roman" w:hAnsi="Times New Roman"/>
          <w:sz w:val="24"/>
          <w:szCs w:val="24"/>
        </w:rPr>
        <w:t xml:space="preserve"> the bank statements the state seeks to rely upon relates to a cash deposit.</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 xml:space="preserve">Mambo </w:t>
      </w:r>
      <w:proofErr w:type="spellStart"/>
      <w:r>
        <w:rPr>
          <w:rFonts w:ascii="Times New Roman" w:hAnsi="Times New Roman"/>
          <w:sz w:val="24"/>
          <w:szCs w:val="24"/>
        </w:rPr>
        <w:t>Nyeperai</w:t>
      </w:r>
      <w:proofErr w:type="spellEnd"/>
      <w:r>
        <w:rPr>
          <w:rFonts w:ascii="Times New Roman" w:hAnsi="Times New Roman"/>
          <w:sz w:val="24"/>
          <w:szCs w:val="24"/>
        </w:rPr>
        <w:t xml:space="preserve">, the accountant with </w:t>
      </w:r>
      <w:proofErr w:type="spellStart"/>
      <w:r>
        <w:rPr>
          <w:rFonts w:ascii="Times New Roman" w:hAnsi="Times New Roman"/>
          <w:sz w:val="24"/>
          <w:szCs w:val="24"/>
        </w:rPr>
        <w:t>Manase</w:t>
      </w:r>
      <w:proofErr w:type="spellEnd"/>
      <w:r>
        <w:rPr>
          <w:rFonts w:ascii="Times New Roman" w:hAnsi="Times New Roman"/>
          <w:sz w:val="24"/>
          <w:szCs w:val="24"/>
        </w:rPr>
        <w:t xml:space="preserve"> and </w:t>
      </w:r>
      <w:proofErr w:type="spellStart"/>
      <w:r>
        <w:rPr>
          <w:rFonts w:ascii="Times New Roman" w:hAnsi="Times New Roman"/>
          <w:sz w:val="24"/>
          <w:szCs w:val="24"/>
        </w:rPr>
        <w:t>Manase</w:t>
      </w:r>
      <w:proofErr w:type="spellEnd"/>
      <w:r>
        <w:rPr>
          <w:rFonts w:ascii="Times New Roman" w:hAnsi="Times New Roman"/>
          <w:sz w:val="24"/>
          <w:szCs w:val="24"/>
        </w:rPr>
        <w:t xml:space="preserve"> conceded that the proper </w:t>
      </w:r>
      <w:r w:rsidR="004A1BB3">
        <w:rPr>
          <w:rFonts w:ascii="Times New Roman" w:hAnsi="Times New Roman"/>
          <w:sz w:val="24"/>
          <w:szCs w:val="24"/>
        </w:rPr>
        <w:t>person</w:t>
      </w:r>
      <w:r>
        <w:rPr>
          <w:rFonts w:ascii="Times New Roman" w:hAnsi="Times New Roman"/>
          <w:sz w:val="24"/>
          <w:szCs w:val="24"/>
        </w:rPr>
        <w:t xml:space="preserve"> the state should have </w:t>
      </w:r>
      <w:r w:rsidR="004A1BB3">
        <w:rPr>
          <w:rFonts w:ascii="Times New Roman" w:hAnsi="Times New Roman"/>
          <w:sz w:val="24"/>
          <w:szCs w:val="24"/>
        </w:rPr>
        <w:t>called</w:t>
      </w:r>
      <w:r>
        <w:rPr>
          <w:rFonts w:ascii="Times New Roman" w:hAnsi="Times New Roman"/>
          <w:sz w:val="24"/>
          <w:szCs w:val="24"/>
        </w:rPr>
        <w:t xml:space="preserve"> to support allegations made is </w:t>
      </w:r>
      <w:proofErr w:type="spellStart"/>
      <w:r>
        <w:rPr>
          <w:rFonts w:ascii="Times New Roman" w:hAnsi="Times New Roman"/>
          <w:sz w:val="24"/>
          <w:szCs w:val="24"/>
        </w:rPr>
        <w:t>Mr</w:t>
      </w:r>
      <w:proofErr w:type="spellEnd"/>
      <w:r>
        <w:rPr>
          <w:rFonts w:ascii="Times New Roman" w:hAnsi="Times New Roman"/>
          <w:sz w:val="24"/>
          <w:szCs w:val="24"/>
        </w:rPr>
        <w:t xml:space="preserve"> </w:t>
      </w:r>
      <w:proofErr w:type="spellStart"/>
      <w:r w:rsidRPr="00CA4756">
        <w:rPr>
          <w:rFonts w:ascii="Times New Roman" w:hAnsi="Times New Roman"/>
          <w:i/>
          <w:sz w:val="24"/>
          <w:szCs w:val="24"/>
        </w:rPr>
        <w:t>Manase</w:t>
      </w:r>
      <w:proofErr w:type="spellEnd"/>
      <w:r>
        <w:rPr>
          <w:rFonts w:ascii="Times New Roman" w:hAnsi="Times New Roman"/>
          <w:sz w:val="24"/>
          <w:szCs w:val="24"/>
        </w:rPr>
        <w:t xml:space="preserve"> himself. He nonetheless confirmed the procedure as explained by the first respon</w:t>
      </w:r>
      <w:r w:rsidR="00CA4756">
        <w:rPr>
          <w:rFonts w:ascii="Times New Roman" w:hAnsi="Times New Roman"/>
          <w:sz w:val="24"/>
          <w:szCs w:val="24"/>
        </w:rPr>
        <w:t>dent of how law firms account fo</w:t>
      </w:r>
      <w:r>
        <w:rPr>
          <w:rFonts w:ascii="Times New Roman" w:hAnsi="Times New Roman"/>
          <w:sz w:val="24"/>
          <w:szCs w:val="24"/>
        </w:rPr>
        <w:t>r rejected or unpresented cheques. It is clear his evidence supports the first respondent’s version rather that the applicant’s version.</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 xml:space="preserve">Stephen the buyer of the said stand did not support </w:t>
      </w:r>
      <w:r w:rsidR="004A1BB3">
        <w:rPr>
          <w:rFonts w:ascii="Times New Roman" w:hAnsi="Times New Roman"/>
          <w:sz w:val="24"/>
          <w:szCs w:val="24"/>
        </w:rPr>
        <w:t>materially</w:t>
      </w:r>
      <w:r>
        <w:rPr>
          <w:rFonts w:ascii="Times New Roman" w:hAnsi="Times New Roman"/>
          <w:sz w:val="24"/>
          <w:szCs w:val="24"/>
        </w:rPr>
        <w:t xml:space="preserve"> the allegations made against the first respondent. He confirmed buying the stand from the seller Everson for Z$4 billion through an estate agent Richard Ellis. He confirmed the subsequent agreement to top up the</w:t>
      </w:r>
      <w:r w:rsidR="004A1BB3">
        <w:rPr>
          <w:rFonts w:ascii="Times New Roman" w:hAnsi="Times New Roman"/>
          <w:sz w:val="24"/>
          <w:szCs w:val="24"/>
        </w:rPr>
        <w:t xml:space="preserve"> selling </w:t>
      </w:r>
      <w:r>
        <w:rPr>
          <w:rFonts w:ascii="Times New Roman" w:hAnsi="Times New Roman"/>
          <w:sz w:val="24"/>
          <w:szCs w:val="24"/>
        </w:rPr>
        <w:t xml:space="preserve">price of Z$4 billion by Z$195 million in 2007 due to inflation and that this agreement </w:t>
      </w:r>
      <w:r>
        <w:rPr>
          <w:rFonts w:ascii="Times New Roman" w:hAnsi="Times New Roman"/>
          <w:sz w:val="24"/>
          <w:szCs w:val="24"/>
        </w:rPr>
        <w:lastRenderedPageBreak/>
        <w:t xml:space="preserve">involved the seller Everson and his lawyer the first respondent on one hand and or the other hand himself and his lawyer </w:t>
      </w:r>
      <w:proofErr w:type="spellStart"/>
      <w:r>
        <w:rPr>
          <w:rFonts w:ascii="Times New Roman" w:hAnsi="Times New Roman"/>
          <w:sz w:val="24"/>
          <w:szCs w:val="24"/>
        </w:rPr>
        <w:t>Mr</w:t>
      </w:r>
      <w:proofErr w:type="spellEnd"/>
      <w:r>
        <w:rPr>
          <w:rFonts w:ascii="Times New Roman" w:hAnsi="Times New Roman"/>
          <w:sz w:val="24"/>
          <w:szCs w:val="24"/>
        </w:rPr>
        <w:t xml:space="preserve"> </w:t>
      </w:r>
      <w:proofErr w:type="spellStart"/>
      <w:r w:rsidRPr="00163198">
        <w:rPr>
          <w:rFonts w:ascii="Times New Roman" w:hAnsi="Times New Roman"/>
          <w:i/>
          <w:sz w:val="24"/>
          <w:szCs w:val="24"/>
        </w:rPr>
        <w:t>Manase</w:t>
      </w:r>
      <w:proofErr w:type="spellEnd"/>
      <w:r>
        <w:rPr>
          <w:rFonts w:ascii="Times New Roman" w:hAnsi="Times New Roman"/>
          <w:sz w:val="24"/>
          <w:szCs w:val="24"/>
        </w:rPr>
        <w:t xml:space="preserve">. He made the payments to the first respondent’s law firm of the top up price adjustment on dates he could not </w:t>
      </w:r>
      <w:r w:rsidR="004A1BB3">
        <w:rPr>
          <w:rFonts w:ascii="Times New Roman" w:hAnsi="Times New Roman"/>
          <w:sz w:val="24"/>
          <w:szCs w:val="24"/>
        </w:rPr>
        <w:t>recall.</w:t>
      </w:r>
      <w:r>
        <w:rPr>
          <w:rFonts w:ascii="Times New Roman" w:hAnsi="Times New Roman"/>
          <w:sz w:val="24"/>
          <w:szCs w:val="24"/>
        </w:rPr>
        <w:t xml:space="preserve"> </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Stephen was clear that the key witness in this matter Everson was an unreliable witness and explained why. Stephen said the evidence of Everson is tainted by the fact he made a double sale of the stand. He insisted that contrary to Everson’s evidence he had paid for the stand in full and that Everson was greedy and chasing after inflation.</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evidence of the key witness Everson does not only fail to prove the essential elements of the offences charged but is manifestly unreliable and contradictory that no reasonable court </w:t>
      </w:r>
      <w:r w:rsidR="006156AE">
        <w:rPr>
          <w:rFonts w:ascii="Times New Roman" w:hAnsi="Times New Roman"/>
          <w:sz w:val="24"/>
          <w:szCs w:val="24"/>
        </w:rPr>
        <w:t>acting carefully</w:t>
      </w:r>
      <w:r>
        <w:rPr>
          <w:rFonts w:ascii="Times New Roman" w:hAnsi="Times New Roman"/>
          <w:sz w:val="24"/>
          <w:szCs w:val="24"/>
        </w:rPr>
        <w:t xml:space="preserve"> might properly con</w:t>
      </w:r>
      <w:r w:rsidR="00ED47AD">
        <w:rPr>
          <w:rFonts w:ascii="Times New Roman" w:hAnsi="Times New Roman"/>
          <w:sz w:val="24"/>
          <w:szCs w:val="24"/>
        </w:rPr>
        <w:t>vict</w:t>
      </w:r>
      <w:r>
        <w:rPr>
          <w:rFonts w:ascii="Times New Roman" w:hAnsi="Times New Roman"/>
          <w:sz w:val="24"/>
          <w:szCs w:val="24"/>
        </w:rPr>
        <w:t xml:space="preserve">. It is clearly unsafe to act upon such evidence. I will simply highlight the evidence which support these findings. </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 xml:space="preserve">Everson was unable to explain as to when exactly the payment of Z$3.5 million was made as he constantly changed the dates. </w:t>
      </w:r>
      <w:r w:rsidR="001440BE">
        <w:rPr>
          <w:rFonts w:ascii="Times New Roman" w:hAnsi="Times New Roman"/>
          <w:sz w:val="24"/>
          <w:szCs w:val="24"/>
        </w:rPr>
        <w:t>Initially</w:t>
      </w:r>
      <w:r>
        <w:rPr>
          <w:rFonts w:ascii="Times New Roman" w:hAnsi="Times New Roman"/>
          <w:sz w:val="24"/>
          <w:szCs w:val="24"/>
        </w:rPr>
        <w:t xml:space="preserve"> he said it was on 23 December 2006 but when it was confirmed that date fell on a Saturday he changed to 18 December </w:t>
      </w:r>
      <w:r w:rsidR="001440BE">
        <w:rPr>
          <w:rFonts w:ascii="Times New Roman" w:hAnsi="Times New Roman"/>
          <w:sz w:val="24"/>
          <w:szCs w:val="24"/>
        </w:rPr>
        <w:t>2006 but still the receipt book</w:t>
      </w:r>
      <w:r>
        <w:rPr>
          <w:rFonts w:ascii="Times New Roman" w:hAnsi="Times New Roman"/>
          <w:sz w:val="24"/>
          <w:szCs w:val="24"/>
        </w:rPr>
        <w:t xml:space="preserve"> showed no payments were made on 18 December 2006. In fact the evidence available is that the </w:t>
      </w:r>
      <w:proofErr w:type="spellStart"/>
      <w:r>
        <w:rPr>
          <w:rFonts w:ascii="Times New Roman" w:hAnsi="Times New Roman"/>
          <w:sz w:val="24"/>
          <w:szCs w:val="24"/>
        </w:rPr>
        <w:t>cheque</w:t>
      </w:r>
      <w:proofErr w:type="spellEnd"/>
      <w:r>
        <w:rPr>
          <w:rFonts w:ascii="Times New Roman" w:hAnsi="Times New Roman"/>
          <w:sz w:val="24"/>
          <w:szCs w:val="24"/>
        </w:rPr>
        <w:t xml:space="preserve"> of Z$3.5 million was received from Everson on 16 March 2007 as per the receipt issued. This does not support the material allegation that the first respondent received and converted the Z$3.5 million on 23 December 2006 which are two essential elements of the offence in </w:t>
      </w:r>
      <w:r w:rsidR="00163198">
        <w:rPr>
          <w:rFonts w:ascii="Times New Roman" w:hAnsi="Times New Roman"/>
          <w:sz w:val="24"/>
          <w:szCs w:val="24"/>
        </w:rPr>
        <w:t>count 1</w:t>
      </w:r>
      <w:r>
        <w:rPr>
          <w:rFonts w:ascii="Times New Roman" w:hAnsi="Times New Roman"/>
          <w:sz w:val="24"/>
          <w:szCs w:val="24"/>
        </w:rPr>
        <w:t>.</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 xml:space="preserve">An overview of Everson’s evidence is that he was simply unreliable. He was unable to explain simple issues like when the Z$3.5 million was paid and receipted. He was unable to produce the </w:t>
      </w:r>
      <w:proofErr w:type="spellStart"/>
      <w:r>
        <w:rPr>
          <w:rFonts w:ascii="Times New Roman" w:hAnsi="Times New Roman"/>
          <w:sz w:val="24"/>
          <w:szCs w:val="24"/>
        </w:rPr>
        <w:t>cheque</w:t>
      </w:r>
      <w:proofErr w:type="spellEnd"/>
      <w:r>
        <w:rPr>
          <w:rFonts w:ascii="Times New Roman" w:hAnsi="Times New Roman"/>
          <w:sz w:val="24"/>
          <w:szCs w:val="24"/>
        </w:rPr>
        <w:t xml:space="preserve"> leaf from the said Z$3.5 million. He was even prepared to disown his affidavit made and relied upon in the proceedings before my brother </w:t>
      </w:r>
      <w:proofErr w:type="spellStart"/>
      <w:r>
        <w:rPr>
          <w:rFonts w:ascii="Times New Roman" w:hAnsi="Times New Roman"/>
          <w:sz w:val="24"/>
          <w:szCs w:val="24"/>
        </w:rPr>
        <w:t>M</w:t>
      </w:r>
      <w:r w:rsidR="00CF1ADB">
        <w:rPr>
          <w:rFonts w:ascii="Times New Roman" w:hAnsi="Times New Roman"/>
          <w:sz w:val="24"/>
          <w:szCs w:val="24"/>
        </w:rPr>
        <w:t>usakwa</w:t>
      </w:r>
      <w:proofErr w:type="spellEnd"/>
      <w:r>
        <w:rPr>
          <w:rFonts w:ascii="Times New Roman" w:hAnsi="Times New Roman"/>
          <w:sz w:val="24"/>
          <w:szCs w:val="24"/>
        </w:rPr>
        <w:t xml:space="preserve"> J. He even insisted that he was not paid in full for the stand despite Stephen’s evidence and the finding by my brother </w:t>
      </w:r>
      <w:proofErr w:type="spellStart"/>
      <w:r>
        <w:rPr>
          <w:rFonts w:ascii="Times New Roman" w:hAnsi="Times New Roman"/>
          <w:sz w:val="24"/>
          <w:szCs w:val="24"/>
        </w:rPr>
        <w:t>M</w:t>
      </w:r>
      <w:r w:rsidR="00CF1ADB">
        <w:rPr>
          <w:rFonts w:ascii="Times New Roman" w:hAnsi="Times New Roman"/>
          <w:sz w:val="24"/>
          <w:szCs w:val="24"/>
        </w:rPr>
        <w:t>usakwa</w:t>
      </w:r>
      <w:proofErr w:type="spellEnd"/>
      <w:r>
        <w:rPr>
          <w:rFonts w:ascii="Times New Roman" w:hAnsi="Times New Roman"/>
          <w:sz w:val="24"/>
          <w:szCs w:val="24"/>
        </w:rPr>
        <w:t xml:space="preserve"> J that he had been fully paid and should </w:t>
      </w:r>
      <w:r w:rsidR="006F61F6">
        <w:rPr>
          <w:rFonts w:ascii="Times New Roman" w:hAnsi="Times New Roman"/>
          <w:sz w:val="24"/>
          <w:szCs w:val="24"/>
        </w:rPr>
        <w:t>pass</w:t>
      </w:r>
      <w:r>
        <w:rPr>
          <w:rFonts w:ascii="Times New Roman" w:hAnsi="Times New Roman"/>
          <w:sz w:val="24"/>
          <w:szCs w:val="24"/>
        </w:rPr>
        <w:t xml:space="preserve"> transfer. It is clear that Everson’s evidence is tainted by the fact that he was chasing after inflation.</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In relation to count 1 the trial court properly made the following findings:</w:t>
      </w:r>
    </w:p>
    <w:p w:rsidR="00BA3971" w:rsidRPr="00D92840" w:rsidRDefault="00BA3971" w:rsidP="00BA3971">
      <w:pPr>
        <w:pStyle w:val="ListParagraph"/>
        <w:numPr>
          <w:ilvl w:val="0"/>
          <w:numId w:val="13"/>
        </w:numPr>
        <w:spacing w:after="0" w:line="360" w:lineRule="auto"/>
        <w:jc w:val="both"/>
        <w:rPr>
          <w:rFonts w:ascii="Times New Roman" w:hAnsi="Times New Roman"/>
          <w:sz w:val="24"/>
          <w:szCs w:val="24"/>
        </w:rPr>
      </w:pPr>
      <w:r w:rsidRPr="00D92840">
        <w:rPr>
          <w:rFonts w:ascii="Times New Roman" w:hAnsi="Times New Roman"/>
          <w:sz w:val="24"/>
          <w:szCs w:val="24"/>
        </w:rPr>
        <w:t xml:space="preserve">That the evidence led did not show if the payment of Z$3.5 million was by cash or </w:t>
      </w:r>
      <w:proofErr w:type="spellStart"/>
      <w:r w:rsidRPr="00D92840">
        <w:rPr>
          <w:rFonts w:ascii="Times New Roman" w:hAnsi="Times New Roman"/>
          <w:sz w:val="24"/>
          <w:szCs w:val="24"/>
        </w:rPr>
        <w:t>cheque</w:t>
      </w:r>
      <w:proofErr w:type="spellEnd"/>
      <w:r w:rsidRPr="00D92840">
        <w:rPr>
          <w:rFonts w:ascii="Times New Roman" w:hAnsi="Times New Roman"/>
          <w:sz w:val="24"/>
          <w:szCs w:val="24"/>
        </w:rPr>
        <w:t>.</w:t>
      </w:r>
    </w:p>
    <w:p w:rsidR="00BA3971" w:rsidRPr="00D92840" w:rsidRDefault="00BA3971" w:rsidP="00BA3971">
      <w:pPr>
        <w:pStyle w:val="ListParagraph"/>
        <w:numPr>
          <w:ilvl w:val="0"/>
          <w:numId w:val="13"/>
        </w:numPr>
        <w:spacing w:after="0" w:line="360" w:lineRule="auto"/>
        <w:jc w:val="both"/>
        <w:rPr>
          <w:rFonts w:ascii="Times New Roman" w:hAnsi="Times New Roman"/>
          <w:sz w:val="24"/>
          <w:szCs w:val="24"/>
        </w:rPr>
      </w:pPr>
      <w:r w:rsidRPr="00D92840">
        <w:rPr>
          <w:rFonts w:ascii="Times New Roman" w:hAnsi="Times New Roman"/>
          <w:sz w:val="24"/>
          <w:szCs w:val="24"/>
        </w:rPr>
        <w:lastRenderedPageBreak/>
        <w:t xml:space="preserve">That the evidence led by the state did not establish whether the payment was made on 23 December 2006 or after Christmas in 2006 or </w:t>
      </w:r>
      <w:r w:rsidR="002C5A6C">
        <w:rPr>
          <w:rFonts w:ascii="Times New Roman" w:hAnsi="Times New Roman"/>
          <w:sz w:val="24"/>
          <w:szCs w:val="24"/>
        </w:rPr>
        <w:t>as per the receipt</w:t>
      </w:r>
      <w:r w:rsidRPr="00D92840">
        <w:rPr>
          <w:rFonts w:ascii="Times New Roman" w:hAnsi="Times New Roman"/>
          <w:sz w:val="24"/>
          <w:szCs w:val="24"/>
        </w:rPr>
        <w:t xml:space="preserve"> produced on 16 March 2007.</w:t>
      </w:r>
    </w:p>
    <w:p w:rsidR="00BA3971" w:rsidRDefault="00BA3971" w:rsidP="00BA3971">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That evidence led by the state was contradictory as to whether Everson was not issued with a receipt as per his statement to the</w:t>
      </w:r>
      <w:r w:rsidR="005C79EA">
        <w:rPr>
          <w:rFonts w:ascii="Times New Roman" w:hAnsi="Times New Roman"/>
          <w:sz w:val="24"/>
          <w:szCs w:val="24"/>
        </w:rPr>
        <w:t xml:space="preserve"> police</w:t>
      </w:r>
      <w:r>
        <w:rPr>
          <w:rFonts w:ascii="Times New Roman" w:hAnsi="Times New Roman"/>
          <w:sz w:val="24"/>
          <w:szCs w:val="24"/>
        </w:rPr>
        <w:t xml:space="preserve"> or was issued with such a </w:t>
      </w:r>
      <w:r w:rsidR="005C79EA">
        <w:rPr>
          <w:rFonts w:ascii="Times New Roman" w:hAnsi="Times New Roman"/>
          <w:sz w:val="24"/>
          <w:szCs w:val="24"/>
        </w:rPr>
        <w:t xml:space="preserve">receipt </w:t>
      </w:r>
      <w:r>
        <w:rPr>
          <w:rFonts w:ascii="Times New Roman" w:hAnsi="Times New Roman"/>
          <w:sz w:val="24"/>
          <w:szCs w:val="24"/>
        </w:rPr>
        <w:t>as per his evidence in court.</w:t>
      </w:r>
    </w:p>
    <w:p w:rsidR="00BA3971" w:rsidRDefault="00BA3971" w:rsidP="00BA3971">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That it has not been shown that the amount of Z$3.5 million has not been properly accounted for in accordance with the best accounting practice.</w:t>
      </w:r>
    </w:p>
    <w:p w:rsidR="00BA3971" w:rsidRDefault="00BA3971" w:rsidP="00BA3971">
      <w:pPr>
        <w:pStyle w:val="ListParagraph"/>
        <w:spacing w:after="0" w:line="360" w:lineRule="auto"/>
        <w:ind w:left="1080"/>
        <w:jc w:val="both"/>
        <w:rPr>
          <w:rFonts w:ascii="Times New Roman" w:hAnsi="Times New Roman"/>
          <w:sz w:val="24"/>
          <w:szCs w:val="24"/>
        </w:rPr>
      </w:pPr>
    </w:p>
    <w:p w:rsidR="00500227" w:rsidRDefault="00BA3971" w:rsidP="00BA3971">
      <w:pPr>
        <w:spacing w:after="0" w:line="360" w:lineRule="auto"/>
        <w:ind w:firstLine="720"/>
        <w:jc w:val="both"/>
        <w:rPr>
          <w:rFonts w:ascii="Times New Roman" w:hAnsi="Times New Roman"/>
          <w:sz w:val="24"/>
          <w:szCs w:val="24"/>
        </w:rPr>
      </w:pPr>
      <w:r w:rsidRPr="00B033B6">
        <w:rPr>
          <w:rFonts w:ascii="Times New Roman" w:hAnsi="Times New Roman"/>
          <w:sz w:val="24"/>
          <w:szCs w:val="24"/>
        </w:rPr>
        <w:t xml:space="preserve"> I</w:t>
      </w:r>
      <w:r w:rsidR="000743F1">
        <w:rPr>
          <w:rFonts w:ascii="Times New Roman" w:hAnsi="Times New Roman"/>
          <w:sz w:val="24"/>
          <w:szCs w:val="24"/>
        </w:rPr>
        <w:t>n</w:t>
      </w:r>
      <w:r w:rsidRPr="00B033B6">
        <w:rPr>
          <w:rFonts w:ascii="Times New Roman" w:hAnsi="Times New Roman"/>
          <w:sz w:val="24"/>
          <w:szCs w:val="24"/>
        </w:rPr>
        <w:t xml:space="preserve"> relation to count 2 it is not in issue that </w:t>
      </w:r>
      <w:r w:rsidR="000743F1">
        <w:rPr>
          <w:rFonts w:ascii="Times New Roman" w:hAnsi="Times New Roman"/>
          <w:sz w:val="24"/>
          <w:szCs w:val="24"/>
        </w:rPr>
        <w:t>after receiving the</w:t>
      </w:r>
      <w:r w:rsidRPr="00B033B6">
        <w:rPr>
          <w:rFonts w:ascii="Times New Roman" w:hAnsi="Times New Roman"/>
          <w:sz w:val="24"/>
          <w:szCs w:val="24"/>
        </w:rPr>
        <w:t xml:space="preserve"> Z$195 million (Z$160 + Z$35) from the buyer Stephen, the first respondent advised the seller Everson but Everson refused to accept the money. It was also shown that the first respondent thereafter made o</w:t>
      </w:r>
      <w:r w:rsidR="000743F1">
        <w:rPr>
          <w:rFonts w:ascii="Times New Roman" w:hAnsi="Times New Roman"/>
          <w:sz w:val="24"/>
          <w:szCs w:val="24"/>
        </w:rPr>
        <w:t>ut</w:t>
      </w:r>
      <w:r w:rsidRPr="00B033B6">
        <w:rPr>
          <w:rFonts w:ascii="Times New Roman" w:hAnsi="Times New Roman"/>
          <w:sz w:val="24"/>
          <w:szCs w:val="24"/>
        </w:rPr>
        <w:t xml:space="preserve"> a </w:t>
      </w:r>
      <w:proofErr w:type="spellStart"/>
      <w:r w:rsidRPr="00B033B6">
        <w:rPr>
          <w:rFonts w:ascii="Times New Roman" w:hAnsi="Times New Roman"/>
          <w:sz w:val="24"/>
          <w:szCs w:val="24"/>
        </w:rPr>
        <w:t>cheque</w:t>
      </w:r>
      <w:proofErr w:type="spellEnd"/>
      <w:r w:rsidRPr="00B033B6">
        <w:rPr>
          <w:rFonts w:ascii="Times New Roman" w:hAnsi="Times New Roman"/>
          <w:sz w:val="24"/>
          <w:szCs w:val="24"/>
        </w:rPr>
        <w:t xml:space="preserve"> of the same amount to </w:t>
      </w:r>
      <w:proofErr w:type="spellStart"/>
      <w:r w:rsidRPr="00B033B6">
        <w:rPr>
          <w:rFonts w:ascii="Times New Roman" w:hAnsi="Times New Roman"/>
          <w:sz w:val="24"/>
          <w:szCs w:val="24"/>
        </w:rPr>
        <w:t>Manase</w:t>
      </w:r>
      <w:proofErr w:type="spellEnd"/>
      <w:r w:rsidRPr="00B033B6">
        <w:rPr>
          <w:rFonts w:ascii="Times New Roman" w:hAnsi="Times New Roman"/>
          <w:sz w:val="24"/>
          <w:szCs w:val="24"/>
        </w:rPr>
        <w:t xml:space="preserve"> and </w:t>
      </w:r>
      <w:proofErr w:type="spellStart"/>
      <w:r w:rsidRPr="00B033B6">
        <w:rPr>
          <w:rFonts w:ascii="Times New Roman" w:hAnsi="Times New Roman"/>
          <w:sz w:val="24"/>
          <w:szCs w:val="24"/>
        </w:rPr>
        <w:t>Manase</w:t>
      </w:r>
      <w:proofErr w:type="spellEnd"/>
      <w:r w:rsidRPr="00B033B6">
        <w:rPr>
          <w:rFonts w:ascii="Times New Roman" w:hAnsi="Times New Roman"/>
          <w:sz w:val="24"/>
          <w:szCs w:val="24"/>
        </w:rPr>
        <w:t xml:space="preserve"> the lawyers for Stephen who too refused to accept the amount. It was placed before the trial court that as per SI 109/08 dated 30 August 2008 all amounts outstanding in count 1 and count 2 were rendered</w:t>
      </w:r>
      <w:r>
        <w:rPr>
          <w:rFonts w:ascii="Times New Roman" w:hAnsi="Times New Roman"/>
          <w:sz w:val="24"/>
          <w:szCs w:val="24"/>
        </w:rPr>
        <w:t xml:space="preserve"> worthless. The evidence led show that the amount of Z$195 million was accounted for until</w:t>
      </w:r>
      <w:r w:rsidR="00D378ED">
        <w:rPr>
          <w:rFonts w:ascii="Times New Roman" w:hAnsi="Times New Roman"/>
          <w:sz w:val="24"/>
          <w:szCs w:val="24"/>
        </w:rPr>
        <w:t xml:space="preserve"> it was rendered valueless</w:t>
      </w:r>
      <w:r>
        <w:rPr>
          <w:rFonts w:ascii="Times New Roman" w:hAnsi="Times New Roman"/>
          <w:sz w:val="24"/>
          <w:szCs w:val="24"/>
        </w:rPr>
        <w:t xml:space="preserve"> due to moribund currency and inflation which left nothing for the first respondent to convert to his own use.</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 xml:space="preserve">It was clear that </w:t>
      </w:r>
      <w:proofErr w:type="spellStart"/>
      <w:r w:rsidR="00346F17">
        <w:rPr>
          <w:rFonts w:ascii="Times New Roman" w:hAnsi="Times New Roman"/>
          <w:sz w:val="24"/>
          <w:szCs w:val="24"/>
        </w:rPr>
        <w:t>Mr</w:t>
      </w:r>
      <w:proofErr w:type="spellEnd"/>
      <w:r w:rsidR="00346F17">
        <w:rPr>
          <w:rFonts w:ascii="Times New Roman" w:hAnsi="Times New Roman"/>
          <w:sz w:val="24"/>
          <w:szCs w:val="24"/>
        </w:rPr>
        <w:t xml:space="preserve"> </w:t>
      </w:r>
      <w:r w:rsidR="00346F17" w:rsidRPr="00346F17">
        <w:rPr>
          <w:rFonts w:ascii="Times New Roman" w:hAnsi="Times New Roman"/>
          <w:i/>
          <w:sz w:val="24"/>
          <w:szCs w:val="24"/>
        </w:rPr>
        <w:t>Makoto</w:t>
      </w:r>
      <w:r>
        <w:rPr>
          <w:rFonts w:ascii="Times New Roman" w:hAnsi="Times New Roman"/>
          <w:sz w:val="24"/>
          <w:szCs w:val="24"/>
        </w:rPr>
        <w:t xml:space="preserve"> was constrained in making submissions</w:t>
      </w:r>
      <w:r w:rsidR="00346F17">
        <w:rPr>
          <w:rFonts w:ascii="Times New Roman" w:hAnsi="Times New Roman"/>
          <w:sz w:val="24"/>
          <w:szCs w:val="24"/>
        </w:rPr>
        <w:t xml:space="preserve"> on</w:t>
      </w:r>
      <w:r>
        <w:rPr>
          <w:rFonts w:ascii="Times New Roman" w:hAnsi="Times New Roman"/>
          <w:sz w:val="24"/>
          <w:szCs w:val="24"/>
        </w:rPr>
        <w:t xml:space="preserve"> the merits of the ap</w:t>
      </w:r>
      <w:r w:rsidR="00346F17">
        <w:rPr>
          <w:rFonts w:ascii="Times New Roman" w:hAnsi="Times New Roman"/>
          <w:sz w:val="24"/>
          <w:szCs w:val="24"/>
        </w:rPr>
        <w:t>plication. He conceded that he could not meaning</w:t>
      </w:r>
      <w:r>
        <w:rPr>
          <w:rFonts w:ascii="Times New Roman" w:hAnsi="Times New Roman"/>
          <w:sz w:val="24"/>
          <w:szCs w:val="24"/>
        </w:rPr>
        <w:t xml:space="preserve">fully challenge all the exhibits or documents produced during the state case by consent. </w:t>
      </w:r>
      <w:proofErr w:type="spellStart"/>
      <w:r>
        <w:rPr>
          <w:rFonts w:ascii="Times New Roman" w:hAnsi="Times New Roman"/>
          <w:sz w:val="24"/>
          <w:szCs w:val="24"/>
        </w:rPr>
        <w:t>Mr</w:t>
      </w:r>
      <w:proofErr w:type="spellEnd"/>
      <w:r>
        <w:rPr>
          <w:rFonts w:ascii="Times New Roman" w:hAnsi="Times New Roman"/>
          <w:sz w:val="24"/>
          <w:szCs w:val="24"/>
        </w:rPr>
        <w:t xml:space="preserve"> </w:t>
      </w:r>
      <w:r w:rsidRPr="005E41CE">
        <w:rPr>
          <w:rFonts w:ascii="Times New Roman" w:hAnsi="Times New Roman"/>
          <w:i/>
          <w:sz w:val="24"/>
          <w:szCs w:val="24"/>
        </w:rPr>
        <w:t>Makoto</w:t>
      </w:r>
      <w:r>
        <w:rPr>
          <w:rFonts w:ascii="Times New Roman" w:hAnsi="Times New Roman"/>
          <w:sz w:val="24"/>
          <w:szCs w:val="24"/>
        </w:rPr>
        <w:t xml:space="preserve"> exhibited understandable inhibitions in making his case on the merits. Put simply he was not able to attack the judgment of the court </w:t>
      </w:r>
      <w:r>
        <w:rPr>
          <w:rFonts w:ascii="Times New Roman" w:hAnsi="Times New Roman"/>
          <w:i/>
          <w:sz w:val="24"/>
          <w:szCs w:val="24"/>
        </w:rPr>
        <w:t>a quo</w:t>
      </w:r>
      <w:r>
        <w:rPr>
          <w:rFonts w:ascii="Times New Roman" w:hAnsi="Times New Roman"/>
          <w:sz w:val="24"/>
          <w:szCs w:val="24"/>
        </w:rPr>
        <w:t>.</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I find no misdirection at all either on the facts or the law by the second respondent. The facts in both count 1 and count 2 are largely common cause. All the exhibits which are in documentary form were produced by consent and remained uncontroverted and the trial court properly relied on the exhibits in assessing the state case. The second respondent did not consider extrinsic factors hence his decision cannot be said to be pervasive.</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 xml:space="preserve">I am not satisfied that the applicant has established that the intended appeal enjoys reasonable prospects of success. To accede to the applicant’s request would simply amount to </w:t>
      </w:r>
      <w:r>
        <w:rPr>
          <w:rFonts w:ascii="Times New Roman" w:hAnsi="Times New Roman"/>
          <w:sz w:val="24"/>
          <w:szCs w:val="24"/>
        </w:rPr>
        <w:lastRenderedPageBreak/>
        <w:t>massaging the applicant’s ego. There is need for finality in litigation and I am unable to exercise my discretion in favour of the applicant by granting leave to appeal. It is not reasonable and not in interests of justice to do so. The application for leave to appeal lacks merit and should fail.</w:t>
      </w:r>
    </w:p>
    <w:p w:rsidR="00BA3971" w:rsidRDefault="00BA3971" w:rsidP="00BA3971">
      <w:pPr>
        <w:spacing w:after="0" w:line="360" w:lineRule="auto"/>
        <w:ind w:firstLine="720"/>
        <w:jc w:val="both"/>
        <w:rPr>
          <w:rFonts w:ascii="Times New Roman" w:hAnsi="Times New Roman"/>
          <w:sz w:val="24"/>
          <w:szCs w:val="24"/>
        </w:rPr>
      </w:pPr>
      <w:r>
        <w:rPr>
          <w:rFonts w:ascii="Times New Roman" w:hAnsi="Times New Roman"/>
          <w:sz w:val="24"/>
          <w:szCs w:val="24"/>
        </w:rPr>
        <w:t>Accordingly, it is ordered that;</w:t>
      </w:r>
    </w:p>
    <w:p w:rsidR="00BA3971" w:rsidRDefault="00BA3971" w:rsidP="00BA3971">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The application for leave to appeal be and is hereby dismissed. </w:t>
      </w:r>
    </w:p>
    <w:p w:rsidR="00BA3971" w:rsidRDefault="00BA3971" w:rsidP="00BA3971">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There is no order as to costs.</w:t>
      </w:r>
    </w:p>
    <w:p w:rsidR="00A01D73" w:rsidRDefault="00A01D73" w:rsidP="00A01D73">
      <w:pPr>
        <w:spacing w:after="0" w:line="360" w:lineRule="auto"/>
        <w:jc w:val="both"/>
        <w:rPr>
          <w:rFonts w:ascii="Times New Roman" w:hAnsi="Times New Roman"/>
          <w:sz w:val="24"/>
          <w:szCs w:val="24"/>
        </w:rPr>
      </w:pPr>
    </w:p>
    <w:p w:rsidR="00A01D73" w:rsidRDefault="00A01D73" w:rsidP="00A01D73">
      <w:pPr>
        <w:spacing w:after="0" w:line="360" w:lineRule="auto"/>
        <w:jc w:val="both"/>
        <w:rPr>
          <w:rFonts w:ascii="Times New Roman" w:hAnsi="Times New Roman"/>
          <w:sz w:val="24"/>
          <w:szCs w:val="24"/>
        </w:rPr>
      </w:pPr>
    </w:p>
    <w:p w:rsidR="00A01D73" w:rsidRPr="00A01D73" w:rsidRDefault="00A01D73" w:rsidP="00A01D73">
      <w:pPr>
        <w:spacing w:after="0" w:line="360" w:lineRule="auto"/>
        <w:jc w:val="both"/>
        <w:rPr>
          <w:rFonts w:ascii="Times New Roman" w:hAnsi="Times New Roman"/>
          <w:sz w:val="24"/>
          <w:szCs w:val="24"/>
        </w:rPr>
      </w:pPr>
    </w:p>
    <w:p w:rsidR="00BA3971" w:rsidRDefault="00BA3971" w:rsidP="00BA3971">
      <w:pPr>
        <w:spacing w:after="0" w:line="360" w:lineRule="auto"/>
        <w:jc w:val="both"/>
        <w:rPr>
          <w:rFonts w:ascii="Times New Roman" w:hAnsi="Times New Roman"/>
          <w:sz w:val="24"/>
          <w:szCs w:val="24"/>
        </w:rPr>
      </w:pPr>
    </w:p>
    <w:p w:rsidR="00481E1E" w:rsidRDefault="00481E1E" w:rsidP="00BA3971">
      <w:pPr>
        <w:spacing w:after="0" w:line="240" w:lineRule="auto"/>
        <w:jc w:val="both"/>
        <w:rPr>
          <w:rFonts w:ascii="Times New Roman" w:hAnsi="Times New Roman"/>
          <w:i/>
          <w:sz w:val="24"/>
          <w:szCs w:val="24"/>
        </w:rPr>
      </w:pPr>
    </w:p>
    <w:p w:rsidR="00BA3971" w:rsidRDefault="00BA3971" w:rsidP="00BA3971">
      <w:pPr>
        <w:spacing w:after="0" w:line="240" w:lineRule="auto"/>
        <w:jc w:val="both"/>
        <w:rPr>
          <w:rFonts w:ascii="Times New Roman" w:hAnsi="Times New Roman"/>
          <w:sz w:val="24"/>
          <w:szCs w:val="24"/>
        </w:rPr>
      </w:pPr>
      <w:r>
        <w:rPr>
          <w:rFonts w:ascii="Times New Roman" w:hAnsi="Times New Roman"/>
          <w:i/>
          <w:sz w:val="24"/>
          <w:szCs w:val="24"/>
        </w:rPr>
        <w:t>National Prosecuting Authority</w:t>
      </w:r>
      <w:r>
        <w:rPr>
          <w:rFonts w:ascii="Times New Roman" w:hAnsi="Times New Roman"/>
          <w:sz w:val="24"/>
          <w:szCs w:val="24"/>
        </w:rPr>
        <w:t>, applicant’s legal practitioners</w:t>
      </w:r>
    </w:p>
    <w:p w:rsidR="000B20F9" w:rsidRDefault="00BA3971" w:rsidP="007930EB">
      <w:pPr>
        <w:spacing w:after="0" w:line="240" w:lineRule="auto"/>
        <w:jc w:val="both"/>
        <w:rPr>
          <w:rFonts w:ascii="Times New Roman" w:hAnsi="Times New Roman"/>
          <w:i/>
          <w:sz w:val="24"/>
          <w:szCs w:val="24"/>
        </w:rPr>
      </w:pPr>
      <w:proofErr w:type="spellStart"/>
      <w:r>
        <w:rPr>
          <w:rFonts w:ascii="Times New Roman" w:hAnsi="Times New Roman"/>
          <w:i/>
          <w:sz w:val="24"/>
          <w:szCs w:val="24"/>
        </w:rPr>
        <w:t>Maunga</w:t>
      </w:r>
      <w:proofErr w:type="spellEnd"/>
      <w:r>
        <w:rPr>
          <w:rFonts w:ascii="Times New Roman" w:hAnsi="Times New Roman"/>
          <w:i/>
          <w:sz w:val="24"/>
          <w:szCs w:val="24"/>
        </w:rPr>
        <w:t xml:space="preserve"> </w:t>
      </w:r>
      <w:proofErr w:type="spellStart"/>
      <w:r>
        <w:rPr>
          <w:rFonts w:ascii="Times New Roman" w:hAnsi="Times New Roman"/>
          <w:i/>
          <w:sz w:val="24"/>
          <w:szCs w:val="24"/>
        </w:rPr>
        <w:t>Maanda</w:t>
      </w:r>
      <w:proofErr w:type="spellEnd"/>
      <w:r>
        <w:rPr>
          <w:rFonts w:ascii="Times New Roman" w:hAnsi="Times New Roman"/>
          <w:i/>
          <w:sz w:val="24"/>
          <w:szCs w:val="24"/>
        </w:rPr>
        <w:t xml:space="preserve"> &amp; Associates</w:t>
      </w:r>
      <w:r>
        <w:rPr>
          <w:rFonts w:ascii="Times New Roman" w:hAnsi="Times New Roman"/>
          <w:sz w:val="24"/>
          <w:szCs w:val="24"/>
        </w:rPr>
        <w:t>, 1</w:t>
      </w:r>
      <w:r w:rsidRPr="004F07D4">
        <w:rPr>
          <w:rFonts w:ascii="Times New Roman" w:hAnsi="Times New Roman"/>
          <w:sz w:val="24"/>
          <w:szCs w:val="24"/>
          <w:vertAlign w:val="superscript"/>
        </w:rPr>
        <w:t>st</w:t>
      </w:r>
      <w:r>
        <w:rPr>
          <w:rFonts w:ascii="Times New Roman" w:hAnsi="Times New Roman"/>
          <w:sz w:val="24"/>
          <w:szCs w:val="24"/>
        </w:rPr>
        <w:t xml:space="preserve"> respondent’s legal practitioners </w:t>
      </w:r>
    </w:p>
    <w:sectPr w:rsidR="000B20F9" w:rsidSect="00A851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D7" w:rsidRDefault="00C80CD7" w:rsidP="00AC454C">
      <w:pPr>
        <w:spacing w:after="0" w:line="240" w:lineRule="auto"/>
      </w:pPr>
      <w:r>
        <w:separator/>
      </w:r>
    </w:p>
  </w:endnote>
  <w:endnote w:type="continuationSeparator" w:id="0">
    <w:p w:rsidR="00C80CD7" w:rsidRDefault="00C80CD7" w:rsidP="00AC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FC" w:rsidRDefault="00D42CFC">
    <w:pPr>
      <w:pStyle w:val="Footer"/>
    </w:pPr>
  </w:p>
  <w:p w:rsidR="00D42CFC" w:rsidRDefault="00D42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D7" w:rsidRDefault="00C80CD7" w:rsidP="00AC454C">
      <w:pPr>
        <w:spacing w:after="0" w:line="240" w:lineRule="auto"/>
      </w:pPr>
      <w:r>
        <w:separator/>
      </w:r>
    </w:p>
  </w:footnote>
  <w:footnote w:type="continuationSeparator" w:id="0">
    <w:p w:rsidR="00C80CD7" w:rsidRDefault="00C80CD7" w:rsidP="00AC4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D7" w:rsidRDefault="009E0DD7" w:rsidP="001116F9">
    <w:pPr>
      <w:pStyle w:val="Header"/>
      <w:spacing w:after="0" w:line="240" w:lineRule="auto"/>
      <w:jc w:val="right"/>
      <w:rPr>
        <w:noProof/>
      </w:rPr>
    </w:pPr>
    <w:r>
      <w:fldChar w:fldCharType="begin"/>
    </w:r>
    <w:r>
      <w:instrText xml:space="preserve"> PAGE   \* MERGEFORMAT </w:instrText>
    </w:r>
    <w:r>
      <w:fldChar w:fldCharType="separate"/>
    </w:r>
    <w:r w:rsidR="009B2A6D">
      <w:rPr>
        <w:noProof/>
      </w:rPr>
      <w:t>1</w:t>
    </w:r>
    <w:r>
      <w:rPr>
        <w:noProof/>
      </w:rPr>
      <w:fldChar w:fldCharType="end"/>
    </w:r>
  </w:p>
  <w:p w:rsidR="009E0DD7" w:rsidRDefault="009E0DD7" w:rsidP="001116F9">
    <w:pPr>
      <w:pStyle w:val="Header"/>
      <w:spacing w:after="0" w:line="240" w:lineRule="auto"/>
      <w:jc w:val="right"/>
    </w:pPr>
    <w:proofErr w:type="gramStart"/>
    <w:r>
      <w:t>HH</w:t>
    </w:r>
    <w:r w:rsidR="008A0AA3">
      <w:t xml:space="preserve"> </w:t>
    </w:r>
    <w:r w:rsidR="00206CD5">
      <w:t xml:space="preserve"> 186</w:t>
    </w:r>
    <w:proofErr w:type="gramEnd"/>
    <w:r w:rsidR="00206CD5">
      <w:t>/15</w:t>
    </w:r>
  </w:p>
  <w:p w:rsidR="00F058E3" w:rsidRDefault="006E29AB" w:rsidP="001116F9">
    <w:pPr>
      <w:pStyle w:val="Header"/>
      <w:spacing w:after="0" w:line="240" w:lineRule="auto"/>
    </w:pPr>
    <w:r>
      <w:tab/>
    </w:r>
    <w:r>
      <w:tab/>
      <w:t>CON 119/14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2BD"/>
    <w:multiLevelType w:val="hybridMultilevel"/>
    <w:tmpl w:val="CA7E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E37BA"/>
    <w:multiLevelType w:val="hybridMultilevel"/>
    <w:tmpl w:val="3B5EF74C"/>
    <w:lvl w:ilvl="0" w:tplc="A46C6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60E5D"/>
    <w:multiLevelType w:val="hybridMultilevel"/>
    <w:tmpl w:val="49665DA2"/>
    <w:lvl w:ilvl="0" w:tplc="064CFD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54343F6"/>
    <w:multiLevelType w:val="hybridMultilevel"/>
    <w:tmpl w:val="505EAFE0"/>
    <w:lvl w:ilvl="0" w:tplc="C5B8A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8707B8"/>
    <w:multiLevelType w:val="hybridMultilevel"/>
    <w:tmpl w:val="C59C93BC"/>
    <w:lvl w:ilvl="0" w:tplc="C46C1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07A02"/>
    <w:multiLevelType w:val="hybridMultilevel"/>
    <w:tmpl w:val="EF82D75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43722D11"/>
    <w:multiLevelType w:val="hybridMultilevel"/>
    <w:tmpl w:val="C7CA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12DF4"/>
    <w:multiLevelType w:val="hybridMultilevel"/>
    <w:tmpl w:val="58D2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F488C"/>
    <w:multiLevelType w:val="hybridMultilevel"/>
    <w:tmpl w:val="E1D6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C79C1"/>
    <w:multiLevelType w:val="hybridMultilevel"/>
    <w:tmpl w:val="9C3AD36C"/>
    <w:lvl w:ilvl="0" w:tplc="901C0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3184B"/>
    <w:multiLevelType w:val="hybridMultilevel"/>
    <w:tmpl w:val="49CA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62637"/>
    <w:multiLevelType w:val="hybridMultilevel"/>
    <w:tmpl w:val="F1DE637A"/>
    <w:lvl w:ilvl="0" w:tplc="D48A6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032BA6"/>
    <w:multiLevelType w:val="hybridMultilevel"/>
    <w:tmpl w:val="241EDDC2"/>
    <w:lvl w:ilvl="0" w:tplc="5ED223C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6C89087C"/>
    <w:multiLevelType w:val="hybridMultilevel"/>
    <w:tmpl w:val="8FB23386"/>
    <w:lvl w:ilvl="0" w:tplc="FABEF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8"/>
  </w:num>
  <w:num w:numId="4">
    <w:abstractNumId w:val="0"/>
  </w:num>
  <w:num w:numId="5">
    <w:abstractNumId w:val="1"/>
  </w:num>
  <w:num w:numId="6">
    <w:abstractNumId w:val="7"/>
  </w:num>
  <w:num w:numId="7">
    <w:abstractNumId w:val="10"/>
  </w:num>
  <w:num w:numId="8">
    <w:abstractNumId w:val="3"/>
  </w:num>
  <w:num w:numId="9">
    <w:abstractNumId w:val="13"/>
  </w:num>
  <w:num w:numId="10">
    <w:abstractNumId w:val="11"/>
  </w:num>
  <w:num w:numId="11">
    <w:abstractNumId w:val="4"/>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4C"/>
    <w:rsid w:val="00011559"/>
    <w:rsid w:val="0001442B"/>
    <w:rsid w:val="00021560"/>
    <w:rsid w:val="0002385B"/>
    <w:rsid w:val="0003390E"/>
    <w:rsid w:val="00041B4F"/>
    <w:rsid w:val="00042607"/>
    <w:rsid w:val="00055677"/>
    <w:rsid w:val="00067561"/>
    <w:rsid w:val="000716F5"/>
    <w:rsid w:val="00072AB9"/>
    <w:rsid w:val="000743F1"/>
    <w:rsid w:val="00082190"/>
    <w:rsid w:val="00085566"/>
    <w:rsid w:val="000870F6"/>
    <w:rsid w:val="000961D4"/>
    <w:rsid w:val="000A07ED"/>
    <w:rsid w:val="000A1FD3"/>
    <w:rsid w:val="000A3ADB"/>
    <w:rsid w:val="000A7A19"/>
    <w:rsid w:val="000B1250"/>
    <w:rsid w:val="000B128E"/>
    <w:rsid w:val="000B20F9"/>
    <w:rsid w:val="000B245A"/>
    <w:rsid w:val="000B4782"/>
    <w:rsid w:val="000B4812"/>
    <w:rsid w:val="000B5222"/>
    <w:rsid w:val="000C1428"/>
    <w:rsid w:val="000C2047"/>
    <w:rsid w:val="000C32CA"/>
    <w:rsid w:val="000C6B65"/>
    <w:rsid w:val="000C711D"/>
    <w:rsid w:val="000D47A9"/>
    <w:rsid w:val="000E0707"/>
    <w:rsid w:val="000F0B0F"/>
    <w:rsid w:val="000F539A"/>
    <w:rsid w:val="000F5AB4"/>
    <w:rsid w:val="000F6EBF"/>
    <w:rsid w:val="00107184"/>
    <w:rsid w:val="001116F9"/>
    <w:rsid w:val="00112091"/>
    <w:rsid w:val="00112444"/>
    <w:rsid w:val="00122DDD"/>
    <w:rsid w:val="00125319"/>
    <w:rsid w:val="001255E6"/>
    <w:rsid w:val="00130EBB"/>
    <w:rsid w:val="001324D7"/>
    <w:rsid w:val="00137422"/>
    <w:rsid w:val="001413CA"/>
    <w:rsid w:val="00141BED"/>
    <w:rsid w:val="001440BE"/>
    <w:rsid w:val="00163198"/>
    <w:rsid w:val="00163BD3"/>
    <w:rsid w:val="001647D4"/>
    <w:rsid w:val="001832E0"/>
    <w:rsid w:val="00184D7A"/>
    <w:rsid w:val="00185934"/>
    <w:rsid w:val="001907E9"/>
    <w:rsid w:val="0019092E"/>
    <w:rsid w:val="00196B68"/>
    <w:rsid w:val="001A079F"/>
    <w:rsid w:val="001A1850"/>
    <w:rsid w:val="001A6640"/>
    <w:rsid w:val="001C02FC"/>
    <w:rsid w:val="001C5F1D"/>
    <w:rsid w:val="001D7583"/>
    <w:rsid w:val="001E2BB7"/>
    <w:rsid w:val="001E2E0B"/>
    <w:rsid w:val="001E35EA"/>
    <w:rsid w:val="001F56A3"/>
    <w:rsid w:val="00200BCC"/>
    <w:rsid w:val="00203D25"/>
    <w:rsid w:val="0020552D"/>
    <w:rsid w:val="00206CD5"/>
    <w:rsid w:val="00207E41"/>
    <w:rsid w:val="00216283"/>
    <w:rsid w:val="00217935"/>
    <w:rsid w:val="00224DBC"/>
    <w:rsid w:val="00227976"/>
    <w:rsid w:val="00233B9E"/>
    <w:rsid w:val="00236FFA"/>
    <w:rsid w:val="0024179C"/>
    <w:rsid w:val="00270C3B"/>
    <w:rsid w:val="00272F25"/>
    <w:rsid w:val="00280A03"/>
    <w:rsid w:val="00280EF8"/>
    <w:rsid w:val="002821EF"/>
    <w:rsid w:val="002954B8"/>
    <w:rsid w:val="00296573"/>
    <w:rsid w:val="002A0333"/>
    <w:rsid w:val="002B7575"/>
    <w:rsid w:val="002C2177"/>
    <w:rsid w:val="002C31ED"/>
    <w:rsid w:val="002C5A6C"/>
    <w:rsid w:val="002D7F3A"/>
    <w:rsid w:val="002E558D"/>
    <w:rsid w:val="002F015F"/>
    <w:rsid w:val="002F1A8A"/>
    <w:rsid w:val="00313560"/>
    <w:rsid w:val="00314E09"/>
    <w:rsid w:val="00316939"/>
    <w:rsid w:val="00317643"/>
    <w:rsid w:val="00317851"/>
    <w:rsid w:val="003303DF"/>
    <w:rsid w:val="003450B6"/>
    <w:rsid w:val="003460A3"/>
    <w:rsid w:val="00346F17"/>
    <w:rsid w:val="003525A8"/>
    <w:rsid w:val="00352BF1"/>
    <w:rsid w:val="003566CD"/>
    <w:rsid w:val="00360691"/>
    <w:rsid w:val="003612BC"/>
    <w:rsid w:val="0036427F"/>
    <w:rsid w:val="003750C9"/>
    <w:rsid w:val="00375B1D"/>
    <w:rsid w:val="00375C00"/>
    <w:rsid w:val="0037654E"/>
    <w:rsid w:val="00376562"/>
    <w:rsid w:val="00376757"/>
    <w:rsid w:val="00381006"/>
    <w:rsid w:val="003910D9"/>
    <w:rsid w:val="003A382B"/>
    <w:rsid w:val="003A5319"/>
    <w:rsid w:val="003A6D8C"/>
    <w:rsid w:val="003A76C3"/>
    <w:rsid w:val="003D0246"/>
    <w:rsid w:val="003D2560"/>
    <w:rsid w:val="003D4D12"/>
    <w:rsid w:val="003D51BD"/>
    <w:rsid w:val="003E503A"/>
    <w:rsid w:val="003F5EC3"/>
    <w:rsid w:val="0040250A"/>
    <w:rsid w:val="00402D11"/>
    <w:rsid w:val="00405F25"/>
    <w:rsid w:val="004073DE"/>
    <w:rsid w:val="00412156"/>
    <w:rsid w:val="00427643"/>
    <w:rsid w:val="0043444B"/>
    <w:rsid w:val="00440D15"/>
    <w:rsid w:val="00462F63"/>
    <w:rsid w:val="0046314B"/>
    <w:rsid w:val="004633F7"/>
    <w:rsid w:val="0046404D"/>
    <w:rsid w:val="004718AE"/>
    <w:rsid w:val="00475FEC"/>
    <w:rsid w:val="00481317"/>
    <w:rsid w:val="00481E1E"/>
    <w:rsid w:val="00487E5E"/>
    <w:rsid w:val="0049565F"/>
    <w:rsid w:val="004A1BB3"/>
    <w:rsid w:val="004A4A70"/>
    <w:rsid w:val="004A7ECA"/>
    <w:rsid w:val="004B11B3"/>
    <w:rsid w:val="004B3533"/>
    <w:rsid w:val="004C062D"/>
    <w:rsid w:val="004C2C06"/>
    <w:rsid w:val="004E290C"/>
    <w:rsid w:val="004E29DD"/>
    <w:rsid w:val="004F00BD"/>
    <w:rsid w:val="004F498B"/>
    <w:rsid w:val="004F6A9A"/>
    <w:rsid w:val="00500227"/>
    <w:rsid w:val="00504B41"/>
    <w:rsid w:val="00511999"/>
    <w:rsid w:val="005135A2"/>
    <w:rsid w:val="0051403A"/>
    <w:rsid w:val="005258D3"/>
    <w:rsid w:val="005328ED"/>
    <w:rsid w:val="005368C9"/>
    <w:rsid w:val="00563B8B"/>
    <w:rsid w:val="00564BAC"/>
    <w:rsid w:val="00574F00"/>
    <w:rsid w:val="00575174"/>
    <w:rsid w:val="00575E71"/>
    <w:rsid w:val="00576974"/>
    <w:rsid w:val="00576E53"/>
    <w:rsid w:val="00580C3C"/>
    <w:rsid w:val="0058123C"/>
    <w:rsid w:val="00584881"/>
    <w:rsid w:val="00587561"/>
    <w:rsid w:val="0059206D"/>
    <w:rsid w:val="005B5AAF"/>
    <w:rsid w:val="005C1A03"/>
    <w:rsid w:val="005C6A00"/>
    <w:rsid w:val="005C7972"/>
    <w:rsid w:val="005C79EA"/>
    <w:rsid w:val="005D1034"/>
    <w:rsid w:val="005D262E"/>
    <w:rsid w:val="005D294D"/>
    <w:rsid w:val="005E17E0"/>
    <w:rsid w:val="005E3190"/>
    <w:rsid w:val="005E50F2"/>
    <w:rsid w:val="005E5DF9"/>
    <w:rsid w:val="005E6D37"/>
    <w:rsid w:val="005F0351"/>
    <w:rsid w:val="005F2116"/>
    <w:rsid w:val="005F3F69"/>
    <w:rsid w:val="0060609A"/>
    <w:rsid w:val="006156AE"/>
    <w:rsid w:val="00624D19"/>
    <w:rsid w:val="0064048C"/>
    <w:rsid w:val="0064173C"/>
    <w:rsid w:val="00643247"/>
    <w:rsid w:val="00643ED6"/>
    <w:rsid w:val="00651BB3"/>
    <w:rsid w:val="00663584"/>
    <w:rsid w:val="00667D4A"/>
    <w:rsid w:val="00670FD7"/>
    <w:rsid w:val="0067118B"/>
    <w:rsid w:val="00672C9E"/>
    <w:rsid w:val="00681C04"/>
    <w:rsid w:val="00683691"/>
    <w:rsid w:val="00697BBA"/>
    <w:rsid w:val="006A44CD"/>
    <w:rsid w:val="006A492E"/>
    <w:rsid w:val="006A5580"/>
    <w:rsid w:val="006A7E21"/>
    <w:rsid w:val="006B58D8"/>
    <w:rsid w:val="006B6176"/>
    <w:rsid w:val="006C0D21"/>
    <w:rsid w:val="006C522F"/>
    <w:rsid w:val="006C61D5"/>
    <w:rsid w:val="006C6D32"/>
    <w:rsid w:val="006D24B8"/>
    <w:rsid w:val="006D2A6C"/>
    <w:rsid w:val="006E1866"/>
    <w:rsid w:val="006E2948"/>
    <w:rsid w:val="006E29AB"/>
    <w:rsid w:val="006E3CD2"/>
    <w:rsid w:val="006E48DE"/>
    <w:rsid w:val="006F305E"/>
    <w:rsid w:val="006F61F6"/>
    <w:rsid w:val="00704F51"/>
    <w:rsid w:val="00714EC7"/>
    <w:rsid w:val="0072496F"/>
    <w:rsid w:val="0072644B"/>
    <w:rsid w:val="00732AE9"/>
    <w:rsid w:val="00733001"/>
    <w:rsid w:val="007363BA"/>
    <w:rsid w:val="00757E97"/>
    <w:rsid w:val="00761FC1"/>
    <w:rsid w:val="007631E8"/>
    <w:rsid w:val="00765C4F"/>
    <w:rsid w:val="007716C2"/>
    <w:rsid w:val="0077461D"/>
    <w:rsid w:val="00774C04"/>
    <w:rsid w:val="007753C0"/>
    <w:rsid w:val="0077703A"/>
    <w:rsid w:val="00783BF3"/>
    <w:rsid w:val="007857C0"/>
    <w:rsid w:val="007930EB"/>
    <w:rsid w:val="007978C2"/>
    <w:rsid w:val="007A0993"/>
    <w:rsid w:val="007A2803"/>
    <w:rsid w:val="007A3DFC"/>
    <w:rsid w:val="007B09D1"/>
    <w:rsid w:val="007B37C5"/>
    <w:rsid w:val="007B5725"/>
    <w:rsid w:val="007C29DE"/>
    <w:rsid w:val="007C3891"/>
    <w:rsid w:val="007C579C"/>
    <w:rsid w:val="007C5ABB"/>
    <w:rsid w:val="007C77F2"/>
    <w:rsid w:val="007D08ED"/>
    <w:rsid w:val="007D195B"/>
    <w:rsid w:val="007D2479"/>
    <w:rsid w:val="007E50C3"/>
    <w:rsid w:val="007F0D31"/>
    <w:rsid w:val="007F311A"/>
    <w:rsid w:val="007F7CAD"/>
    <w:rsid w:val="00814794"/>
    <w:rsid w:val="00822486"/>
    <w:rsid w:val="008313C0"/>
    <w:rsid w:val="0083273B"/>
    <w:rsid w:val="00836108"/>
    <w:rsid w:val="00836456"/>
    <w:rsid w:val="008516FD"/>
    <w:rsid w:val="00852AEF"/>
    <w:rsid w:val="00855D74"/>
    <w:rsid w:val="00864DF4"/>
    <w:rsid w:val="00865B38"/>
    <w:rsid w:val="0087644A"/>
    <w:rsid w:val="00883063"/>
    <w:rsid w:val="00885C92"/>
    <w:rsid w:val="00887A8D"/>
    <w:rsid w:val="008967F6"/>
    <w:rsid w:val="008970F9"/>
    <w:rsid w:val="008A0AA3"/>
    <w:rsid w:val="008B2745"/>
    <w:rsid w:val="008B3AD3"/>
    <w:rsid w:val="008B48B1"/>
    <w:rsid w:val="008B7E6E"/>
    <w:rsid w:val="008C0DE6"/>
    <w:rsid w:val="008C2A5C"/>
    <w:rsid w:val="008C5466"/>
    <w:rsid w:val="008C6C21"/>
    <w:rsid w:val="008C6F46"/>
    <w:rsid w:val="008C722E"/>
    <w:rsid w:val="008D3506"/>
    <w:rsid w:val="008D5E42"/>
    <w:rsid w:val="008E1734"/>
    <w:rsid w:val="008E7DE0"/>
    <w:rsid w:val="008F516E"/>
    <w:rsid w:val="008F6E46"/>
    <w:rsid w:val="009004F2"/>
    <w:rsid w:val="00901D03"/>
    <w:rsid w:val="00907FDD"/>
    <w:rsid w:val="009115E7"/>
    <w:rsid w:val="00912FCA"/>
    <w:rsid w:val="00916500"/>
    <w:rsid w:val="009209CA"/>
    <w:rsid w:val="00923AF8"/>
    <w:rsid w:val="00924332"/>
    <w:rsid w:val="0092618D"/>
    <w:rsid w:val="009271B4"/>
    <w:rsid w:val="009377AB"/>
    <w:rsid w:val="009379D4"/>
    <w:rsid w:val="009433B9"/>
    <w:rsid w:val="009516CE"/>
    <w:rsid w:val="009523F0"/>
    <w:rsid w:val="00966AE1"/>
    <w:rsid w:val="00972426"/>
    <w:rsid w:val="0097553A"/>
    <w:rsid w:val="00980788"/>
    <w:rsid w:val="00981FE6"/>
    <w:rsid w:val="0098224C"/>
    <w:rsid w:val="0098506B"/>
    <w:rsid w:val="00990D56"/>
    <w:rsid w:val="00992378"/>
    <w:rsid w:val="0099627F"/>
    <w:rsid w:val="009A0CB0"/>
    <w:rsid w:val="009B0E21"/>
    <w:rsid w:val="009B2A6D"/>
    <w:rsid w:val="009B3AC5"/>
    <w:rsid w:val="009B6C6B"/>
    <w:rsid w:val="009E0DD7"/>
    <w:rsid w:val="009E2968"/>
    <w:rsid w:val="009E6124"/>
    <w:rsid w:val="009E7D52"/>
    <w:rsid w:val="009F0323"/>
    <w:rsid w:val="009F0FF6"/>
    <w:rsid w:val="009F511C"/>
    <w:rsid w:val="009F666C"/>
    <w:rsid w:val="009F6FAF"/>
    <w:rsid w:val="009F7F6F"/>
    <w:rsid w:val="00A00413"/>
    <w:rsid w:val="00A01D73"/>
    <w:rsid w:val="00A15FF3"/>
    <w:rsid w:val="00A2094D"/>
    <w:rsid w:val="00A219E9"/>
    <w:rsid w:val="00A222E4"/>
    <w:rsid w:val="00A22447"/>
    <w:rsid w:val="00A26466"/>
    <w:rsid w:val="00A271F3"/>
    <w:rsid w:val="00A30922"/>
    <w:rsid w:val="00A35FD7"/>
    <w:rsid w:val="00A443C4"/>
    <w:rsid w:val="00A5111C"/>
    <w:rsid w:val="00A5293D"/>
    <w:rsid w:val="00A63A73"/>
    <w:rsid w:val="00A663C0"/>
    <w:rsid w:val="00A66749"/>
    <w:rsid w:val="00A70BD1"/>
    <w:rsid w:val="00A7127C"/>
    <w:rsid w:val="00A7444C"/>
    <w:rsid w:val="00A76A45"/>
    <w:rsid w:val="00A851D3"/>
    <w:rsid w:val="00A8747D"/>
    <w:rsid w:val="00AA1E82"/>
    <w:rsid w:val="00AA44EA"/>
    <w:rsid w:val="00AB3A7B"/>
    <w:rsid w:val="00AC304B"/>
    <w:rsid w:val="00AC3454"/>
    <w:rsid w:val="00AC454C"/>
    <w:rsid w:val="00AD5C61"/>
    <w:rsid w:val="00AD7109"/>
    <w:rsid w:val="00AF592B"/>
    <w:rsid w:val="00AF74FD"/>
    <w:rsid w:val="00B039AD"/>
    <w:rsid w:val="00B06688"/>
    <w:rsid w:val="00B10E15"/>
    <w:rsid w:val="00B20F70"/>
    <w:rsid w:val="00B22963"/>
    <w:rsid w:val="00B30E0B"/>
    <w:rsid w:val="00B44342"/>
    <w:rsid w:val="00B458B6"/>
    <w:rsid w:val="00B52144"/>
    <w:rsid w:val="00B5299A"/>
    <w:rsid w:val="00B5379B"/>
    <w:rsid w:val="00B57780"/>
    <w:rsid w:val="00B63B3E"/>
    <w:rsid w:val="00B727F8"/>
    <w:rsid w:val="00B72ED0"/>
    <w:rsid w:val="00B73043"/>
    <w:rsid w:val="00B7442A"/>
    <w:rsid w:val="00B86307"/>
    <w:rsid w:val="00B90CD2"/>
    <w:rsid w:val="00B919F2"/>
    <w:rsid w:val="00B95E40"/>
    <w:rsid w:val="00BA047F"/>
    <w:rsid w:val="00BA3971"/>
    <w:rsid w:val="00BA4673"/>
    <w:rsid w:val="00BA6A3C"/>
    <w:rsid w:val="00BB4FDA"/>
    <w:rsid w:val="00BB52B1"/>
    <w:rsid w:val="00BC18B5"/>
    <w:rsid w:val="00BD0D90"/>
    <w:rsid w:val="00BD5BB9"/>
    <w:rsid w:val="00BE077F"/>
    <w:rsid w:val="00BE4537"/>
    <w:rsid w:val="00BE75D3"/>
    <w:rsid w:val="00BF1174"/>
    <w:rsid w:val="00BF1E80"/>
    <w:rsid w:val="00C00A96"/>
    <w:rsid w:val="00C073F4"/>
    <w:rsid w:val="00C07DB9"/>
    <w:rsid w:val="00C13179"/>
    <w:rsid w:val="00C1411C"/>
    <w:rsid w:val="00C20C75"/>
    <w:rsid w:val="00C210DD"/>
    <w:rsid w:val="00C2326C"/>
    <w:rsid w:val="00C2333D"/>
    <w:rsid w:val="00C2532A"/>
    <w:rsid w:val="00C25461"/>
    <w:rsid w:val="00C352ED"/>
    <w:rsid w:val="00C40E29"/>
    <w:rsid w:val="00C4165E"/>
    <w:rsid w:val="00C439A2"/>
    <w:rsid w:val="00C4457B"/>
    <w:rsid w:val="00C64BCE"/>
    <w:rsid w:val="00C6572A"/>
    <w:rsid w:val="00C65D62"/>
    <w:rsid w:val="00C72123"/>
    <w:rsid w:val="00C80CD7"/>
    <w:rsid w:val="00C949C7"/>
    <w:rsid w:val="00CA4756"/>
    <w:rsid w:val="00CA65B2"/>
    <w:rsid w:val="00CA6B9B"/>
    <w:rsid w:val="00CA7796"/>
    <w:rsid w:val="00CB07E5"/>
    <w:rsid w:val="00CB3DB5"/>
    <w:rsid w:val="00CB6D33"/>
    <w:rsid w:val="00CD1AC8"/>
    <w:rsid w:val="00CD7064"/>
    <w:rsid w:val="00CE0BDA"/>
    <w:rsid w:val="00CF00FD"/>
    <w:rsid w:val="00CF1ADB"/>
    <w:rsid w:val="00CF26F4"/>
    <w:rsid w:val="00CF3068"/>
    <w:rsid w:val="00CF3156"/>
    <w:rsid w:val="00D004D7"/>
    <w:rsid w:val="00D07397"/>
    <w:rsid w:val="00D140EA"/>
    <w:rsid w:val="00D2146D"/>
    <w:rsid w:val="00D23B19"/>
    <w:rsid w:val="00D2541B"/>
    <w:rsid w:val="00D326E2"/>
    <w:rsid w:val="00D378ED"/>
    <w:rsid w:val="00D42CFC"/>
    <w:rsid w:val="00D46199"/>
    <w:rsid w:val="00D507A1"/>
    <w:rsid w:val="00D55563"/>
    <w:rsid w:val="00D5698C"/>
    <w:rsid w:val="00D6528E"/>
    <w:rsid w:val="00D7298F"/>
    <w:rsid w:val="00D73904"/>
    <w:rsid w:val="00D7750F"/>
    <w:rsid w:val="00D812F8"/>
    <w:rsid w:val="00D81B8B"/>
    <w:rsid w:val="00D82C3A"/>
    <w:rsid w:val="00D845F6"/>
    <w:rsid w:val="00D92070"/>
    <w:rsid w:val="00D923BB"/>
    <w:rsid w:val="00D93E33"/>
    <w:rsid w:val="00D95613"/>
    <w:rsid w:val="00DA5AAD"/>
    <w:rsid w:val="00DB0F3A"/>
    <w:rsid w:val="00DC6794"/>
    <w:rsid w:val="00DC69F4"/>
    <w:rsid w:val="00DC727D"/>
    <w:rsid w:val="00DC7F04"/>
    <w:rsid w:val="00DD1A32"/>
    <w:rsid w:val="00DD64DE"/>
    <w:rsid w:val="00DE14CC"/>
    <w:rsid w:val="00E13293"/>
    <w:rsid w:val="00E149C1"/>
    <w:rsid w:val="00E15D58"/>
    <w:rsid w:val="00E15FAA"/>
    <w:rsid w:val="00E26A29"/>
    <w:rsid w:val="00E32549"/>
    <w:rsid w:val="00E37907"/>
    <w:rsid w:val="00E45010"/>
    <w:rsid w:val="00E4728A"/>
    <w:rsid w:val="00E472CB"/>
    <w:rsid w:val="00E500EB"/>
    <w:rsid w:val="00E5444B"/>
    <w:rsid w:val="00E54B9F"/>
    <w:rsid w:val="00E55B68"/>
    <w:rsid w:val="00E560C6"/>
    <w:rsid w:val="00E60E13"/>
    <w:rsid w:val="00E61210"/>
    <w:rsid w:val="00E639BC"/>
    <w:rsid w:val="00E64798"/>
    <w:rsid w:val="00E77164"/>
    <w:rsid w:val="00E90E24"/>
    <w:rsid w:val="00EA610F"/>
    <w:rsid w:val="00EA636E"/>
    <w:rsid w:val="00EA7C00"/>
    <w:rsid w:val="00EB379A"/>
    <w:rsid w:val="00EB6611"/>
    <w:rsid w:val="00EC12DF"/>
    <w:rsid w:val="00EC2A73"/>
    <w:rsid w:val="00EC4881"/>
    <w:rsid w:val="00EC65B9"/>
    <w:rsid w:val="00ED0EB7"/>
    <w:rsid w:val="00ED47AD"/>
    <w:rsid w:val="00EE0D30"/>
    <w:rsid w:val="00EE142B"/>
    <w:rsid w:val="00EF0FB3"/>
    <w:rsid w:val="00EF4782"/>
    <w:rsid w:val="00F00D45"/>
    <w:rsid w:val="00F02E90"/>
    <w:rsid w:val="00F058E3"/>
    <w:rsid w:val="00F113AD"/>
    <w:rsid w:val="00F12880"/>
    <w:rsid w:val="00F177B8"/>
    <w:rsid w:val="00F20739"/>
    <w:rsid w:val="00F364FE"/>
    <w:rsid w:val="00F37981"/>
    <w:rsid w:val="00F4321E"/>
    <w:rsid w:val="00F450D9"/>
    <w:rsid w:val="00F53F5D"/>
    <w:rsid w:val="00F54652"/>
    <w:rsid w:val="00F55149"/>
    <w:rsid w:val="00F87195"/>
    <w:rsid w:val="00F95977"/>
    <w:rsid w:val="00FA4091"/>
    <w:rsid w:val="00FB6A26"/>
    <w:rsid w:val="00FB72CD"/>
    <w:rsid w:val="00FC0C42"/>
    <w:rsid w:val="00FC5329"/>
    <w:rsid w:val="00FD057E"/>
    <w:rsid w:val="00FD0854"/>
    <w:rsid w:val="00FD24A5"/>
    <w:rsid w:val="00FD35D8"/>
    <w:rsid w:val="00FD7B08"/>
    <w:rsid w:val="00FE2E8D"/>
    <w:rsid w:val="00FF3BF9"/>
    <w:rsid w:val="00FF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4C"/>
    <w:pPr>
      <w:ind w:left="720"/>
      <w:contextualSpacing/>
    </w:pPr>
  </w:style>
  <w:style w:type="paragraph" w:styleId="FootnoteText">
    <w:name w:val="footnote text"/>
    <w:basedOn w:val="Normal"/>
    <w:link w:val="FootnoteTextChar"/>
    <w:uiPriority w:val="99"/>
    <w:semiHidden/>
    <w:unhideWhenUsed/>
    <w:rsid w:val="00AC454C"/>
    <w:rPr>
      <w:sz w:val="20"/>
      <w:szCs w:val="20"/>
    </w:rPr>
  </w:style>
  <w:style w:type="character" w:customStyle="1" w:styleId="FootnoteTextChar">
    <w:name w:val="Footnote Text Char"/>
    <w:link w:val="FootnoteText"/>
    <w:uiPriority w:val="99"/>
    <w:semiHidden/>
    <w:rsid w:val="00AC454C"/>
    <w:rPr>
      <w:rFonts w:ascii="Calibri" w:eastAsia="Calibri" w:hAnsi="Calibri" w:cs="Times New Roman"/>
      <w:sz w:val="20"/>
      <w:szCs w:val="20"/>
    </w:rPr>
  </w:style>
  <w:style w:type="character" w:styleId="FootnoteReference">
    <w:name w:val="footnote reference"/>
    <w:uiPriority w:val="99"/>
    <w:semiHidden/>
    <w:unhideWhenUsed/>
    <w:rsid w:val="00AC454C"/>
    <w:rPr>
      <w:vertAlign w:val="superscript"/>
    </w:rPr>
  </w:style>
  <w:style w:type="paragraph" w:styleId="Header">
    <w:name w:val="header"/>
    <w:basedOn w:val="Normal"/>
    <w:link w:val="HeaderChar"/>
    <w:uiPriority w:val="99"/>
    <w:unhideWhenUsed/>
    <w:rsid w:val="00F058E3"/>
    <w:pPr>
      <w:tabs>
        <w:tab w:val="center" w:pos="4680"/>
        <w:tab w:val="right" w:pos="9360"/>
      </w:tabs>
    </w:pPr>
  </w:style>
  <w:style w:type="character" w:customStyle="1" w:styleId="HeaderChar">
    <w:name w:val="Header Char"/>
    <w:link w:val="Header"/>
    <w:uiPriority w:val="99"/>
    <w:rsid w:val="00F058E3"/>
    <w:rPr>
      <w:sz w:val="22"/>
      <w:szCs w:val="22"/>
    </w:rPr>
  </w:style>
  <w:style w:type="paragraph" w:styleId="Footer">
    <w:name w:val="footer"/>
    <w:basedOn w:val="Normal"/>
    <w:link w:val="FooterChar"/>
    <w:uiPriority w:val="99"/>
    <w:unhideWhenUsed/>
    <w:rsid w:val="00F058E3"/>
    <w:pPr>
      <w:tabs>
        <w:tab w:val="center" w:pos="4680"/>
        <w:tab w:val="right" w:pos="9360"/>
      </w:tabs>
    </w:pPr>
  </w:style>
  <w:style w:type="character" w:customStyle="1" w:styleId="FooterChar">
    <w:name w:val="Footer Char"/>
    <w:link w:val="Footer"/>
    <w:uiPriority w:val="99"/>
    <w:rsid w:val="00F058E3"/>
    <w:rPr>
      <w:sz w:val="22"/>
      <w:szCs w:val="22"/>
    </w:rPr>
  </w:style>
  <w:style w:type="paragraph" w:styleId="BalloonText">
    <w:name w:val="Balloon Text"/>
    <w:basedOn w:val="Normal"/>
    <w:link w:val="BalloonTextChar"/>
    <w:uiPriority w:val="99"/>
    <w:semiHidden/>
    <w:unhideWhenUsed/>
    <w:rsid w:val="00B72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4C"/>
    <w:pPr>
      <w:ind w:left="720"/>
      <w:contextualSpacing/>
    </w:pPr>
  </w:style>
  <w:style w:type="paragraph" w:styleId="FootnoteText">
    <w:name w:val="footnote text"/>
    <w:basedOn w:val="Normal"/>
    <w:link w:val="FootnoteTextChar"/>
    <w:uiPriority w:val="99"/>
    <w:semiHidden/>
    <w:unhideWhenUsed/>
    <w:rsid w:val="00AC454C"/>
    <w:rPr>
      <w:sz w:val="20"/>
      <w:szCs w:val="20"/>
    </w:rPr>
  </w:style>
  <w:style w:type="character" w:customStyle="1" w:styleId="FootnoteTextChar">
    <w:name w:val="Footnote Text Char"/>
    <w:link w:val="FootnoteText"/>
    <w:uiPriority w:val="99"/>
    <w:semiHidden/>
    <w:rsid w:val="00AC454C"/>
    <w:rPr>
      <w:rFonts w:ascii="Calibri" w:eastAsia="Calibri" w:hAnsi="Calibri" w:cs="Times New Roman"/>
      <w:sz w:val="20"/>
      <w:szCs w:val="20"/>
    </w:rPr>
  </w:style>
  <w:style w:type="character" w:styleId="FootnoteReference">
    <w:name w:val="footnote reference"/>
    <w:uiPriority w:val="99"/>
    <w:semiHidden/>
    <w:unhideWhenUsed/>
    <w:rsid w:val="00AC454C"/>
    <w:rPr>
      <w:vertAlign w:val="superscript"/>
    </w:rPr>
  </w:style>
  <w:style w:type="paragraph" w:styleId="Header">
    <w:name w:val="header"/>
    <w:basedOn w:val="Normal"/>
    <w:link w:val="HeaderChar"/>
    <w:uiPriority w:val="99"/>
    <w:unhideWhenUsed/>
    <w:rsid w:val="00F058E3"/>
    <w:pPr>
      <w:tabs>
        <w:tab w:val="center" w:pos="4680"/>
        <w:tab w:val="right" w:pos="9360"/>
      </w:tabs>
    </w:pPr>
  </w:style>
  <w:style w:type="character" w:customStyle="1" w:styleId="HeaderChar">
    <w:name w:val="Header Char"/>
    <w:link w:val="Header"/>
    <w:uiPriority w:val="99"/>
    <w:rsid w:val="00F058E3"/>
    <w:rPr>
      <w:sz w:val="22"/>
      <w:szCs w:val="22"/>
    </w:rPr>
  </w:style>
  <w:style w:type="paragraph" w:styleId="Footer">
    <w:name w:val="footer"/>
    <w:basedOn w:val="Normal"/>
    <w:link w:val="FooterChar"/>
    <w:uiPriority w:val="99"/>
    <w:unhideWhenUsed/>
    <w:rsid w:val="00F058E3"/>
    <w:pPr>
      <w:tabs>
        <w:tab w:val="center" w:pos="4680"/>
        <w:tab w:val="right" w:pos="9360"/>
      </w:tabs>
    </w:pPr>
  </w:style>
  <w:style w:type="character" w:customStyle="1" w:styleId="FooterChar">
    <w:name w:val="Footer Char"/>
    <w:link w:val="Footer"/>
    <w:uiPriority w:val="99"/>
    <w:rsid w:val="00F058E3"/>
    <w:rPr>
      <w:sz w:val="22"/>
      <w:szCs w:val="22"/>
    </w:rPr>
  </w:style>
  <w:style w:type="paragraph" w:styleId="BalloonText">
    <w:name w:val="Balloon Text"/>
    <w:basedOn w:val="Normal"/>
    <w:link w:val="BalloonTextChar"/>
    <w:uiPriority w:val="99"/>
    <w:semiHidden/>
    <w:unhideWhenUsed/>
    <w:rsid w:val="00B72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8CA08-895A-46DB-B297-60BDF0D3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2015-02-19T22:00:00Z</cp:lastPrinted>
  <dcterms:created xsi:type="dcterms:W3CDTF">2015-03-03T10:53:00Z</dcterms:created>
  <dcterms:modified xsi:type="dcterms:W3CDTF">2015-03-03T10:53:00Z</dcterms:modified>
</cp:coreProperties>
</file>