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B7" w:rsidRPr="006C1985" w:rsidRDefault="00DD7933" w:rsidP="00BA3022">
      <w:pPr>
        <w:jc w:val="both"/>
        <w:rPr>
          <w:rFonts w:ascii="Times New Roman" w:hAnsi="Times New Roman" w:cs="Times New Roman"/>
          <w:sz w:val="24"/>
          <w:szCs w:val="24"/>
        </w:rPr>
      </w:pPr>
      <w:bookmarkStart w:id="0" w:name="_GoBack"/>
      <w:bookmarkEnd w:id="0"/>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p>
    <w:p w:rsidR="00DD7933" w:rsidRPr="006C1985" w:rsidRDefault="00DD7933" w:rsidP="006C1985">
      <w:pPr>
        <w:spacing w:after="0" w:line="240" w:lineRule="auto"/>
        <w:jc w:val="both"/>
        <w:rPr>
          <w:rFonts w:ascii="Times New Roman" w:hAnsi="Times New Roman" w:cs="Times New Roman"/>
          <w:sz w:val="24"/>
          <w:szCs w:val="24"/>
        </w:rPr>
      </w:pP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r w:rsidRPr="006C1985">
        <w:rPr>
          <w:rFonts w:ascii="Times New Roman" w:hAnsi="Times New Roman" w:cs="Times New Roman"/>
          <w:sz w:val="24"/>
          <w:szCs w:val="24"/>
        </w:rPr>
        <w:tab/>
      </w:r>
    </w:p>
    <w:p w:rsidR="00DD7933" w:rsidRPr="006C1985" w:rsidRDefault="00F82F9F" w:rsidP="006C1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D7933" w:rsidRPr="006C1985">
        <w:rPr>
          <w:rFonts w:ascii="Times New Roman" w:hAnsi="Times New Roman" w:cs="Times New Roman"/>
          <w:sz w:val="24"/>
          <w:szCs w:val="24"/>
        </w:rPr>
        <w:t xml:space="preserve"> MINES (PVT) LTD</w:t>
      </w:r>
    </w:p>
    <w:p w:rsidR="00DD7933" w:rsidRPr="006C1985" w:rsidRDefault="00DD7933" w:rsidP="006C1985">
      <w:pPr>
        <w:spacing w:after="0" w:line="240" w:lineRule="auto"/>
        <w:jc w:val="both"/>
        <w:rPr>
          <w:rFonts w:ascii="Times New Roman" w:hAnsi="Times New Roman" w:cs="Times New Roman"/>
          <w:sz w:val="24"/>
          <w:szCs w:val="24"/>
        </w:rPr>
      </w:pPr>
      <w:proofErr w:type="gramStart"/>
      <w:r w:rsidRPr="006C1985">
        <w:rPr>
          <w:rFonts w:ascii="Times New Roman" w:hAnsi="Times New Roman" w:cs="Times New Roman"/>
          <w:sz w:val="24"/>
          <w:szCs w:val="24"/>
        </w:rPr>
        <w:t>v</w:t>
      </w:r>
      <w:r w:rsidR="006C1985">
        <w:rPr>
          <w:rFonts w:ascii="Times New Roman" w:hAnsi="Times New Roman" w:cs="Times New Roman"/>
          <w:sz w:val="24"/>
          <w:szCs w:val="24"/>
        </w:rPr>
        <w:t>ersus</w:t>
      </w:r>
      <w:proofErr w:type="gramEnd"/>
    </w:p>
    <w:p w:rsidR="00DD7933" w:rsidRPr="006C1985" w:rsidRDefault="00DD7933" w:rsidP="006C1985">
      <w:pPr>
        <w:spacing w:after="0" w:line="240" w:lineRule="auto"/>
        <w:jc w:val="both"/>
        <w:rPr>
          <w:rFonts w:ascii="Times New Roman" w:hAnsi="Times New Roman" w:cs="Times New Roman"/>
          <w:sz w:val="24"/>
          <w:szCs w:val="24"/>
        </w:rPr>
      </w:pPr>
      <w:r w:rsidRPr="006C1985">
        <w:rPr>
          <w:rFonts w:ascii="Times New Roman" w:hAnsi="Times New Roman" w:cs="Times New Roman"/>
          <w:sz w:val="24"/>
          <w:szCs w:val="24"/>
        </w:rPr>
        <w:t>ZIMBABWE REVENUE AUTHORITY</w:t>
      </w:r>
    </w:p>
    <w:p w:rsidR="00DD7933" w:rsidRDefault="00DD7933" w:rsidP="00BA3022">
      <w:pPr>
        <w:jc w:val="both"/>
        <w:rPr>
          <w:rFonts w:ascii="Times New Roman" w:hAnsi="Times New Roman" w:cs="Times New Roman"/>
          <w:sz w:val="24"/>
          <w:szCs w:val="24"/>
        </w:rPr>
      </w:pPr>
    </w:p>
    <w:p w:rsidR="00D94367" w:rsidRPr="006C1985" w:rsidRDefault="00D94367" w:rsidP="00D94367">
      <w:pPr>
        <w:spacing w:after="0"/>
        <w:jc w:val="both"/>
        <w:rPr>
          <w:rFonts w:ascii="Times New Roman" w:hAnsi="Times New Roman" w:cs="Times New Roman"/>
          <w:sz w:val="24"/>
          <w:szCs w:val="24"/>
        </w:rPr>
      </w:pPr>
    </w:p>
    <w:p w:rsidR="006C1985" w:rsidRDefault="00D94367" w:rsidP="00D94367">
      <w:pPr>
        <w:spacing w:after="0"/>
        <w:jc w:val="both"/>
        <w:rPr>
          <w:rFonts w:ascii="Times New Roman" w:hAnsi="Times New Roman" w:cs="Times New Roman"/>
          <w:sz w:val="24"/>
          <w:szCs w:val="24"/>
        </w:rPr>
      </w:pPr>
      <w:r>
        <w:rPr>
          <w:rFonts w:ascii="Times New Roman" w:hAnsi="Times New Roman" w:cs="Times New Roman"/>
          <w:sz w:val="24"/>
          <w:szCs w:val="24"/>
        </w:rPr>
        <w:t>SPECIAL COURT FOR INCOME TAX APPEALS</w:t>
      </w:r>
    </w:p>
    <w:p w:rsidR="00DD7933" w:rsidRPr="006C1985" w:rsidRDefault="00DD7933" w:rsidP="00D94367">
      <w:pPr>
        <w:spacing w:after="0" w:line="240" w:lineRule="auto"/>
        <w:jc w:val="both"/>
        <w:rPr>
          <w:rFonts w:ascii="Times New Roman" w:hAnsi="Times New Roman" w:cs="Times New Roman"/>
          <w:sz w:val="24"/>
          <w:szCs w:val="24"/>
        </w:rPr>
      </w:pPr>
      <w:r w:rsidRPr="006C1985">
        <w:rPr>
          <w:rFonts w:ascii="Times New Roman" w:hAnsi="Times New Roman" w:cs="Times New Roman"/>
          <w:sz w:val="24"/>
          <w:szCs w:val="24"/>
        </w:rPr>
        <w:t>KUDYA J</w:t>
      </w:r>
    </w:p>
    <w:p w:rsidR="00DD7933" w:rsidRDefault="00DD7933" w:rsidP="006C1985">
      <w:pPr>
        <w:spacing w:after="0" w:line="240" w:lineRule="auto"/>
        <w:jc w:val="both"/>
        <w:rPr>
          <w:rFonts w:ascii="Times New Roman" w:hAnsi="Times New Roman" w:cs="Times New Roman"/>
          <w:sz w:val="24"/>
          <w:szCs w:val="24"/>
        </w:rPr>
      </w:pPr>
      <w:r w:rsidRPr="006C1985">
        <w:rPr>
          <w:rFonts w:ascii="Times New Roman" w:hAnsi="Times New Roman" w:cs="Times New Roman"/>
          <w:sz w:val="24"/>
          <w:szCs w:val="24"/>
        </w:rPr>
        <w:t>HARARE</w:t>
      </w:r>
      <w:r w:rsidR="00BD5135">
        <w:rPr>
          <w:rFonts w:ascii="Times New Roman" w:hAnsi="Times New Roman" w:cs="Times New Roman"/>
          <w:sz w:val="24"/>
          <w:szCs w:val="24"/>
        </w:rPr>
        <w:t>,</w:t>
      </w:r>
      <w:r w:rsidRPr="006C1985">
        <w:rPr>
          <w:rFonts w:ascii="Times New Roman" w:hAnsi="Times New Roman" w:cs="Times New Roman"/>
          <w:sz w:val="24"/>
          <w:szCs w:val="24"/>
        </w:rPr>
        <w:t xml:space="preserve"> 15 September 2014 and </w:t>
      </w:r>
      <w:r w:rsidR="00CB63C8" w:rsidRPr="006C1985">
        <w:rPr>
          <w:rFonts w:ascii="Times New Roman" w:hAnsi="Times New Roman" w:cs="Times New Roman"/>
          <w:sz w:val="24"/>
          <w:szCs w:val="24"/>
        </w:rPr>
        <w:t>13</w:t>
      </w:r>
      <w:r w:rsidR="00A8228C" w:rsidRPr="006C1985">
        <w:rPr>
          <w:rFonts w:ascii="Times New Roman" w:hAnsi="Times New Roman" w:cs="Times New Roman"/>
          <w:sz w:val="24"/>
          <w:szCs w:val="24"/>
        </w:rPr>
        <w:t xml:space="preserve"> </w:t>
      </w:r>
      <w:r w:rsidRPr="006C1985">
        <w:rPr>
          <w:rFonts w:ascii="Times New Roman" w:hAnsi="Times New Roman" w:cs="Times New Roman"/>
          <w:sz w:val="24"/>
          <w:szCs w:val="24"/>
        </w:rPr>
        <w:t>March 2015</w:t>
      </w:r>
    </w:p>
    <w:p w:rsidR="006C1985" w:rsidRDefault="006C1985" w:rsidP="006C1985">
      <w:pPr>
        <w:spacing w:after="0" w:line="240" w:lineRule="auto"/>
        <w:jc w:val="both"/>
        <w:rPr>
          <w:rFonts w:ascii="Times New Roman" w:hAnsi="Times New Roman" w:cs="Times New Roman"/>
          <w:sz w:val="24"/>
          <w:szCs w:val="24"/>
        </w:rPr>
      </w:pPr>
    </w:p>
    <w:p w:rsidR="006C1985" w:rsidRPr="006C1985" w:rsidRDefault="006C1985" w:rsidP="00D94367">
      <w:pPr>
        <w:spacing w:after="0" w:line="360" w:lineRule="auto"/>
        <w:jc w:val="both"/>
        <w:rPr>
          <w:rFonts w:ascii="Times New Roman" w:hAnsi="Times New Roman" w:cs="Times New Roman"/>
          <w:sz w:val="24"/>
          <w:szCs w:val="24"/>
        </w:rPr>
      </w:pPr>
    </w:p>
    <w:p w:rsidR="00DD7933" w:rsidRPr="006C1985" w:rsidRDefault="00DD7933" w:rsidP="00BA3022">
      <w:pPr>
        <w:jc w:val="both"/>
        <w:rPr>
          <w:rFonts w:ascii="Times New Roman" w:hAnsi="Times New Roman" w:cs="Times New Roman"/>
          <w:b/>
          <w:sz w:val="24"/>
          <w:szCs w:val="24"/>
        </w:rPr>
      </w:pPr>
      <w:r w:rsidRPr="006C1985">
        <w:rPr>
          <w:rFonts w:ascii="Times New Roman" w:hAnsi="Times New Roman" w:cs="Times New Roman"/>
          <w:b/>
          <w:sz w:val="24"/>
          <w:szCs w:val="24"/>
        </w:rPr>
        <w:t>Income Tax Appeal</w:t>
      </w:r>
    </w:p>
    <w:p w:rsidR="006C1985" w:rsidRDefault="006C1985" w:rsidP="00BA3022">
      <w:pPr>
        <w:jc w:val="both"/>
        <w:rPr>
          <w:rFonts w:ascii="Times New Roman" w:hAnsi="Times New Roman" w:cs="Times New Roman"/>
          <w:i/>
          <w:sz w:val="24"/>
          <w:szCs w:val="24"/>
        </w:rPr>
      </w:pPr>
    </w:p>
    <w:p w:rsidR="00DD7933" w:rsidRPr="006C1985" w:rsidRDefault="00DD7933" w:rsidP="006C1985">
      <w:pPr>
        <w:spacing w:after="0" w:line="240" w:lineRule="auto"/>
        <w:jc w:val="both"/>
        <w:rPr>
          <w:rFonts w:ascii="Times New Roman" w:hAnsi="Times New Roman" w:cs="Times New Roman"/>
          <w:sz w:val="24"/>
          <w:szCs w:val="24"/>
        </w:rPr>
      </w:pPr>
      <w:r w:rsidRPr="006C1985">
        <w:rPr>
          <w:rFonts w:ascii="Times New Roman" w:hAnsi="Times New Roman" w:cs="Times New Roman"/>
          <w:i/>
          <w:sz w:val="24"/>
          <w:szCs w:val="24"/>
        </w:rPr>
        <w:t xml:space="preserve">AP de Bourbon, </w:t>
      </w:r>
      <w:r w:rsidRPr="006C1985">
        <w:rPr>
          <w:rFonts w:ascii="Times New Roman" w:hAnsi="Times New Roman" w:cs="Times New Roman"/>
          <w:sz w:val="24"/>
          <w:szCs w:val="24"/>
        </w:rPr>
        <w:t>for the appellant</w:t>
      </w:r>
    </w:p>
    <w:p w:rsidR="00DD7933" w:rsidRDefault="00DD7933" w:rsidP="006C1985">
      <w:pPr>
        <w:spacing w:after="0" w:line="240" w:lineRule="auto"/>
        <w:jc w:val="both"/>
        <w:rPr>
          <w:rFonts w:ascii="Times New Roman" w:hAnsi="Times New Roman" w:cs="Times New Roman"/>
          <w:sz w:val="24"/>
          <w:szCs w:val="24"/>
        </w:rPr>
      </w:pPr>
      <w:r w:rsidRPr="006C1985">
        <w:rPr>
          <w:rFonts w:ascii="Times New Roman" w:hAnsi="Times New Roman" w:cs="Times New Roman"/>
          <w:i/>
          <w:sz w:val="24"/>
          <w:szCs w:val="24"/>
        </w:rPr>
        <w:t xml:space="preserve">T </w:t>
      </w:r>
      <w:proofErr w:type="spellStart"/>
      <w:r w:rsidRPr="006C1985">
        <w:rPr>
          <w:rFonts w:ascii="Times New Roman" w:hAnsi="Times New Roman" w:cs="Times New Roman"/>
          <w:i/>
          <w:sz w:val="24"/>
          <w:szCs w:val="24"/>
        </w:rPr>
        <w:t>Magwaliba</w:t>
      </w:r>
      <w:proofErr w:type="spellEnd"/>
      <w:r w:rsidRPr="006C1985">
        <w:rPr>
          <w:rFonts w:ascii="Times New Roman" w:hAnsi="Times New Roman" w:cs="Times New Roman"/>
          <w:i/>
          <w:sz w:val="24"/>
          <w:szCs w:val="24"/>
        </w:rPr>
        <w:t xml:space="preserve">, </w:t>
      </w:r>
      <w:r w:rsidRPr="006C1985">
        <w:rPr>
          <w:rFonts w:ascii="Times New Roman" w:hAnsi="Times New Roman" w:cs="Times New Roman"/>
          <w:sz w:val="24"/>
          <w:szCs w:val="24"/>
        </w:rPr>
        <w:t>for the respondent</w:t>
      </w:r>
    </w:p>
    <w:p w:rsidR="006C1985" w:rsidRPr="006C1985" w:rsidRDefault="006C1985" w:rsidP="006C1985">
      <w:pPr>
        <w:spacing w:after="0" w:line="240" w:lineRule="auto"/>
        <w:jc w:val="both"/>
        <w:rPr>
          <w:rFonts w:ascii="Times New Roman" w:hAnsi="Times New Roman" w:cs="Times New Roman"/>
          <w:sz w:val="24"/>
          <w:szCs w:val="24"/>
        </w:rPr>
      </w:pPr>
    </w:p>
    <w:p w:rsidR="00D94367" w:rsidRDefault="00D94367" w:rsidP="00D94367">
      <w:pPr>
        <w:spacing w:after="0" w:line="240" w:lineRule="auto"/>
        <w:ind w:firstLine="720"/>
        <w:jc w:val="both"/>
        <w:rPr>
          <w:rFonts w:ascii="Times New Roman" w:hAnsi="Times New Roman" w:cs="Times New Roman"/>
          <w:sz w:val="24"/>
          <w:szCs w:val="24"/>
        </w:rPr>
      </w:pPr>
    </w:p>
    <w:p w:rsidR="00AD2A4F" w:rsidRPr="006C1985" w:rsidRDefault="0002310C" w:rsidP="00BD5135">
      <w:pPr>
        <w:spacing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KUDYA J: The issue for determination in the present appeal is </w:t>
      </w:r>
      <w:r w:rsidR="00087582" w:rsidRPr="006C1985">
        <w:rPr>
          <w:rFonts w:ascii="Times New Roman" w:hAnsi="Times New Roman" w:cs="Times New Roman"/>
          <w:sz w:val="24"/>
          <w:szCs w:val="24"/>
        </w:rPr>
        <w:t xml:space="preserve">whether </w:t>
      </w:r>
      <w:r w:rsidRPr="006C1985">
        <w:rPr>
          <w:rFonts w:ascii="Times New Roman" w:hAnsi="Times New Roman" w:cs="Times New Roman"/>
          <w:sz w:val="24"/>
          <w:szCs w:val="24"/>
        </w:rPr>
        <w:t xml:space="preserve">in the computation of additional profits tax </w:t>
      </w:r>
      <w:r w:rsidR="00087582" w:rsidRPr="006C1985">
        <w:rPr>
          <w:rFonts w:ascii="Times New Roman" w:hAnsi="Times New Roman" w:cs="Times New Roman"/>
          <w:sz w:val="24"/>
          <w:szCs w:val="24"/>
        </w:rPr>
        <w:t>an assessed loss carried forward is an allowable deduction in the calculation of net cash receipts in para 1(2) of the 23</w:t>
      </w:r>
      <w:r w:rsidR="00087582" w:rsidRPr="006C1985">
        <w:rPr>
          <w:rFonts w:ascii="Times New Roman" w:hAnsi="Times New Roman" w:cs="Times New Roman"/>
          <w:sz w:val="24"/>
          <w:szCs w:val="24"/>
          <w:vertAlign w:val="superscript"/>
        </w:rPr>
        <w:t>rd</w:t>
      </w:r>
      <w:r w:rsidRPr="006C1985">
        <w:rPr>
          <w:rFonts w:ascii="Times New Roman" w:hAnsi="Times New Roman" w:cs="Times New Roman"/>
          <w:sz w:val="24"/>
          <w:szCs w:val="24"/>
        </w:rPr>
        <w:t xml:space="preserve"> S</w:t>
      </w:r>
      <w:r w:rsidR="00087582" w:rsidRPr="006C1985">
        <w:rPr>
          <w:rFonts w:ascii="Times New Roman" w:hAnsi="Times New Roman" w:cs="Times New Roman"/>
          <w:sz w:val="24"/>
          <w:szCs w:val="24"/>
        </w:rPr>
        <w:t>chedule of the Income Tax Act</w:t>
      </w:r>
      <w:r w:rsidR="00AD2A4F" w:rsidRPr="006C1985">
        <w:rPr>
          <w:rFonts w:ascii="Times New Roman" w:hAnsi="Times New Roman" w:cs="Times New Roman"/>
          <w:sz w:val="24"/>
          <w:szCs w:val="24"/>
        </w:rPr>
        <w:t xml:space="preserve">. </w:t>
      </w:r>
    </w:p>
    <w:p w:rsidR="006A4215" w:rsidRPr="006C1985" w:rsidRDefault="00AD2A4F" w:rsidP="00BD5135">
      <w:pPr>
        <w:jc w:val="both"/>
        <w:rPr>
          <w:rFonts w:ascii="Times New Roman" w:hAnsi="Times New Roman" w:cs="Times New Roman"/>
          <w:sz w:val="24"/>
          <w:szCs w:val="24"/>
          <w:u w:val="single"/>
        </w:rPr>
      </w:pPr>
      <w:r w:rsidRPr="006C1985">
        <w:rPr>
          <w:rFonts w:ascii="Times New Roman" w:hAnsi="Times New Roman" w:cs="Times New Roman"/>
          <w:sz w:val="24"/>
          <w:szCs w:val="24"/>
          <w:u w:val="single"/>
        </w:rPr>
        <w:t xml:space="preserve">The </w:t>
      </w:r>
      <w:r w:rsidR="006A4215" w:rsidRPr="006C1985">
        <w:rPr>
          <w:rFonts w:ascii="Times New Roman" w:hAnsi="Times New Roman" w:cs="Times New Roman"/>
          <w:sz w:val="24"/>
          <w:szCs w:val="24"/>
          <w:u w:val="single"/>
        </w:rPr>
        <w:t>Background</w:t>
      </w:r>
    </w:p>
    <w:p w:rsidR="003F323A" w:rsidRPr="006C1985" w:rsidRDefault="003F323A"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The appellant is a company registered in Zimbabwe, wholly owned by a company incorporated in </w:t>
      </w:r>
      <w:r w:rsidR="0002310C" w:rsidRPr="006C1985">
        <w:rPr>
          <w:rFonts w:ascii="Times New Roman" w:hAnsi="Times New Roman" w:cs="Times New Roman"/>
          <w:sz w:val="24"/>
          <w:szCs w:val="24"/>
        </w:rPr>
        <w:t>Guernsey, Channel Islands and</w:t>
      </w:r>
      <w:r w:rsidRPr="006C1985">
        <w:rPr>
          <w:rFonts w:ascii="Times New Roman" w:hAnsi="Times New Roman" w:cs="Times New Roman"/>
          <w:sz w:val="24"/>
          <w:szCs w:val="24"/>
        </w:rPr>
        <w:t xml:space="preserve"> </w:t>
      </w:r>
      <w:r w:rsidR="00AD2A4F" w:rsidRPr="006C1985">
        <w:rPr>
          <w:rFonts w:ascii="Times New Roman" w:hAnsi="Times New Roman" w:cs="Times New Roman"/>
          <w:sz w:val="24"/>
          <w:szCs w:val="24"/>
        </w:rPr>
        <w:t>listed on the Australian Stock E</w:t>
      </w:r>
      <w:r w:rsidRPr="006C1985">
        <w:rPr>
          <w:rFonts w:ascii="Times New Roman" w:hAnsi="Times New Roman" w:cs="Times New Roman"/>
          <w:sz w:val="24"/>
          <w:szCs w:val="24"/>
        </w:rPr>
        <w:t>xchange. It mines and processes platinum group metals in Zimbabwe under a special mining lease issued in terms of the Mines and Minerals Act</w:t>
      </w:r>
      <w:r w:rsidR="006C1985">
        <w:rPr>
          <w:rFonts w:ascii="Times New Roman" w:hAnsi="Times New Roman" w:cs="Times New Roman"/>
          <w:sz w:val="24"/>
          <w:szCs w:val="24"/>
        </w:rPr>
        <w:t xml:space="preserve"> </w:t>
      </w:r>
      <w:r w:rsidRPr="006C1985">
        <w:rPr>
          <w:rFonts w:ascii="Times New Roman" w:hAnsi="Times New Roman" w:cs="Times New Roman"/>
          <w:sz w:val="24"/>
          <w:szCs w:val="24"/>
        </w:rPr>
        <w:t>[</w:t>
      </w:r>
      <w:r w:rsidRPr="006C1985">
        <w:rPr>
          <w:rFonts w:ascii="Times New Roman" w:hAnsi="Times New Roman" w:cs="Times New Roman"/>
          <w:i/>
          <w:sz w:val="24"/>
          <w:szCs w:val="24"/>
        </w:rPr>
        <w:t>Chapter 21:05].</w:t>
      </w:r>
    </w:p>
    <w:p w:rsidR="00E7513A" w:rsidRPr="006C1985" w:rsidRDefault="003F323A"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In terms of the Income </w:t>
      </w:r>
      <w:r w:rsidR="006C1985">
        <w:rPr>
          <w:rFonts w:ascii="Times New Roman" w:hAnsi="Times New Roman" w:cs="Times New Roman"/>
          <w:sz w:val="24"/>
          <w:szCs w:val="24"/>
        </w:rPr>
        <w:t>T</w:t>
      </w:r>
      <w:r w:rsidRPr="006C1985">
        <w:rPr>
          <w:rFonts w:ascii="Times New Roman" w:hAnsi="Times New Roman" w:cs="Times New Roman"/>
          <w:sz w:val="24"/>
          <w:szCs w:val="24"/>
        </w:rPr>
        <w:t>ax Act, holders of a special mining lease were subject to a corporate income tax rate of 15% against a genera</w:t>
      </w:r>
      <w:r w:rsidR="00EA2239" w:rsidRPr="006C1985">
        <w:rPr>
          <w:rFonts w:ascii="Times New Roman" w:hAnsi="Times New Roman" w:cs="Times New Roman"/>
          <w:sz w:val="24"/>
          <w:szCs w:val="24"/>
        </w:rPr>
        <w:t>l mining corporate tax rate of 2</w:t>
      </w:r>
      <w:r w:rsidRPr="006C1985">
        <w:rPr>
          <w:rFonts w:ascii="Times New Roman" w:hAnsi="Times New Roman" w:cs="Times New Roman"/>
          <w:sz w:val="24"/>
          <w:szCs w:val="24"/>
        </w:rPr>
        <w:t>5%. In addition such holders are levied additional profits tax.</w:t>
      </w:r>
    </w:p>
    <w:p w:rsidR="00E7513A" w:rsidRPr="006C1985" w:rsidRDefault="003F323A" w:rsidP="00BD5135">
      <w:pPr>
        <w:spacing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T</w:t>
      </w:r>
      <w:r w:rsidR="00E7513A" w:rsidRPr="006C1985">
        <w:rPr>
          <w:rFonts w:ascii="Times New Roman" w:hAnsi="Times New Roman" w:cs="Times New Roman"/>
          <w:sz w:val="24"/>
          <w:szCs w:val="24"/>
        </w:rPr>
        <w:t>he t</w:t>
      </w:r>
      <w:r w:rsidRPr="006C1985">
        <w:rPr>
          <w:rFonts w:ascii="Times New Roman" w:hAnsi="Times New Roman" w:cs="Times New Roman"/>
          <w:sz w:val="24"/>
          <w:szCs w:val="24"/>
        </w:rPr>
        <w:t xml:space="preserve">axable income for </w:t>
      </w:r>
      <w:r w:rsidR="00E7513A" w:rsidRPr="006C1985">
        <w:rPr>
          <w:rFonts w:ascii="Times New Roman" w:hAnsi="Times New Roman" w:cs="Times New Roman"/>
          <w:sz w:val="24"/>
          <w:szCs w:val="24"/>
        </w:rPr>
        <w:t>a holder</w:t>
      </w:r>
      <w:r w:rsidRPr="006C1985">
        <w:rPr>
          <w:rFonts w:ascii="Times New Roman" w:hAnsi="Times New Roman" w:cs="Times New Roman"/>
          <w:sz w:val="24"/>
          <w:szCs w:val="24"/>
        </w:rPr>
        <w:t xml:space="preserve"> of </w:t>
      </w:r>
      <w:r w:rsidR="00E7513A" w:rsidRPr="006C1985">
        <w:rPr>
          <w:rFonts w:ascii="Times New Roman" w:hAnsi="Times New Roman" w:cs="Times New Roman"/>
          <w:sz w:val="24"/>
          <w:szCs w:val="24"/>
        </w:rPr>
        <w:t xml:space="preserve">a special mining lease </w:t>
      </w:r>
      <w:r w:rsidRPr="006C1985">
        <w:rPr>
          <w:rFonts w:ascii="Times New Roman" w:hAnsi="Times New Roman" w:cs="Times New Roman"/>
          <w:sz w:val="24"/>
          <w:szCs w:val="24"/>
        </w:rPr>
        <w:t xml:space="preserve">is </w:t>
      </w:r>
      <w:r w:rsidR="00E7513A" w:rsidRPr="006C1985">
        <w:rPr>
          <w:rFonts w:ascii="Times New Roman" w:hAnsi="Times New Roman" w:cs="Times New Roman"/>
          <w:sz w:val="24"/>
          <w:szCs w:val="24"/>
        </w:rPr>
        <w:t>charged under s 22 of the Income Tax Act which reads:</w:t>
      </w:r>
      <w:r w:rsidR="00E7513A" w:rsidRPr="006C1985">
        <w:rPr>
          <w:rFonts w:ascii="Times New Roman" w:hAnsi="Times New Roman" w:cs="Times New Roman"/>
          <w:b/>
          <w:bCs/>
          <w:sz w:val="24"/>
          <w:szCs w:val="24"/>
        </w:rPr>
        <w:t xml:space="preserve"> </w:t>
      </w:r>
    </w:p>
    <w:p w:rsidR="00E7513A" w:rsidRPr="006C1985" w:rsidRDefault="006C1985" w:rsidP="00BD5135">
      <w:pPr>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b/>
          <w:bCs/>
        </w:rPr>
        <w:t>“</w:t>
      </w:r>
      <w:r w:rsidR="00E7513A" w:rsidRPr="006C1985">
        <w:rPr>
          <w:rFonts w:ascii="Times New Roman" w:hAnsi="Times New Roman" w:cs="Times New Roman"/>
          <w:b/>
          <w:bCs/>
        </w:rPr>
        <w:t>22 Special provisions relating to special mining lease operations</w:t>
      </w:r>
    </w:p>
    <w:p w:rsidR="00E7513A" w:rsidRPr="006C1985" w:rsidRDefault="00E7513A" w:rsidP="00BD5135">
      <w:pPr>
        <w:autoSpaceDE w:val="0"/>
        <w:autoSpaceDN w:val="0"/>
        <w:adjustRightInd w:val="0"/>
        <w:spacing w:after="0" w:line="240" w:lineRule="auto"/>
        <w:ind w:left="720"/>
        <w:jc w:val="both"/>
        <w:rPr>
          <w:rFonts w:ascii="Times New Roman" w:hAnsi="Times New Roman" w:cs="Times New Roman"/>
        </w:rPr>
      </w:pPr>
      <w:r w:rsidRPr="006C1985">
        <w:rPr>
          <w:rFonts w:ascii="Times New Roman" w:hAnsi="Times New Roman" w:cs="Times New Roman"/>
        </w:rPr>
        <w:t>(1) In the case of the holder of a special mining lease, that part of the holder’s taxable income or assessed loss, as the case may be, which is attributable to special mining lease operations for a year of assessment shall be determined in accordance with the Twenty-Second Schedule.</w:t>
      </w:r>
    </w:p>
    <w:p w:rsidR="00E7513A" w:rsidRPr="006C1985" w:rsidRDefault="00E7513A" w:rsidP="00BD5135">
      <w:pPr>
        <w:autoSpaceDE w:val="0"/>
        <w:autoSpaceDN w:val="0"/>
        <w:adjustRightInd w:val="0"/>
        <w:spacing w:after="0" w:line="240" w:lineRule="auto"/>
        <w:ind w:left="720"/>
        <w:jc w:val="both"/>
        <w:rPr>
          <w:rFonts w:ascii="Times New Roman" w:hAnsi="Times New Roman" w:cs="Times New Roman"/>
        </w:rPr>
      </w:pPr>
      <w:r w:rsidRPr="006C1985">
        <w:rPr>
          <w:rFonts w:ascii="Times New Roman" w:hAnsi="Times New Roman" w:cs="Times New Roman"/>
        </w:rPr>
        <w:t xml:space="preserve">(2) If the holder of a special mining lease derives income from any trade other than special mining lease operations, that part of his taxable income or assessed loss, as the case may be, </w:t>
      </w:r>
      <w:r w:rsidRPr="006C1985">
        <w:rPr>
          <w:rFonts w:ascii="Times New Roman" w:hAnsi="Times New Roman" w:cs="Times New Roman"/>
        </w:rPr>
        <w:lastRenderedPageBreak/>
        <w:t>which is attributable to that other trade shall be determined in accordance with the general provisions of this Act</w:t>
      </w:r>
      <w:r w:rsidR="006C1985">
        <w:rPr>
          <w:rFonts w:ascii="Times New Roman" w:hAnsi="Times New Roman" w:cs="Times New Roman"/>
        </w:rPr>
        <w:t>”</w:t>
      </w:r>
      <w:r w:rsidRPr="006C1985">
        <w:rPr>
          <w:rFonts w:ascii="Times New Roman" w:hAnsi="Times New Roman" w:cs="Times New Roman"/>
        </w:rPr>
        <w:t>.</w:t>
      </w:r>
    </w:p>
    <w:p w:rsidR="00E7513A" w:rsidRPr="006C1985" w:rsidRDefault="00E7513A"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It is </w:t>
      </w:r>
      <w:r w:rsidR="003F323A" w:rsidRPr="006C1985">
        <w:rPr>
          <w:rFonts w:ascii="Times New Roman" w:hAnsi="Times New Roman" w:cs="Times New Roman"/>
          <w:sz w:val="24"/>
          <w:szCs w:val="24"/>
        </w:rPr>
        <w:t>computed under the provisions of the 22</w:t>
      </w:r>
      <w:r w:rsidR="003F323A" w:rsidRPr="006C1985">
        <w:rPr>
          <w:rFonts w:ascii="Times New Roman" w:hAnsi="Times New Roman" w:cs="Times New Roman"/>
          <w:sz w:val="24"/>
          <w:szCs w:val="24"/>
          <w:vertAlign w:val="superscript"/>
        </w:rPr>
        <w:t>nd</w:t>
      </w:r>
      <w:r w:rsidR="003F323A" w:rsidRPr="006C1985">
        <w:rPr>
          <w:rFonts w:ascii="Times New Roman" w:hAnsi="Times New Roman" w:cs="Times New Roman"/>
          <w:sz w:val="24"/>
          <w:szCs w:val="24"/>
        </w:rPr>
        <w:t xml:space="preserve"> Schedule</w:t>
      </w:r>
      <w:r w:rsidR="00AD2A4F" w:rsidRPr="006C1985">
        <w:rPr>
          <w:rFonts w:ascii="Times New Roman" w:hAnsi="Times New Roman" w:cs="Times New Roman"/>
          <w:sz w:val="24"/>
          <w:szCs w:val="24"/>
        </w:rPr>
        <w:t xml:space="preserve"> </w:t>
      </w:r>
      <w:r w:rsidR="00D70312" w:rsidRPr="006C1985">
        <w:rPr>
          <w:rFonts w:ascii="Times New Roman" w:hAnsi="Times New Roman" w:cs="Times New Roman"/>
          <w:sz w:val="24"/>
          <w:szCs w:val="24"/>
        </w:rPr>
        <w:t xml:space="preserve">of the Income Tax Act </w:t>
      </w:r>
      <w:r w:rsidR="00AD2A4F" w:rsidRPr="006C1985">
        <w:rPr>
          <w:rFonts w:ascii="Times New Roman" w:hAnsi="Times New Roman" w:cs="Times New Roman"/>
          <w:sz w:val="24"/>
          <w:szCs w:val="24"/>
        </w:rPr>
        <w:t>headed: Determination of Gross I</w:t>
      </w:r>
      <w:r w:rsidR="006A4215" w:rsidRPr="006C1985">
        <w:rPr>
          <w:rFonts w:ascii="Times New Roman" w:hAnsi="Times New Roman" w:cs="Times New Roman"/>
          <w:sz w:val="24"/>
          <w:szCs w:val="24"/>
        </w:rPr>
        <w:t xml:space="preserve">ncome </w:t>
      </w:r>
      <w:r w:rsidR="00D70312" w:rsidRPr="006C1985">
        <w:rPr>
          <w:rFonts w:ascii="Times New Roman" w:hAnsi="Times New Roman" w:cs="Times New Roman"/>
          <w:sz w:val="24"/>
          <w:szCs w:val="24"/>
        </w:rPr>
        <w:t>and Taxable Income or Assessed Loss from S</w:t>
      </w:r>
      <w:r w:rsidR="006A4215" w:rsidRPr="006C1985">
        <w:rPr>
          <w:rFonts w:ascii="Times New Roman" w:hAnsi="Times New Roman" w:cs="Times New Roman"/>
          <w:sz w:val="24"/>
          <w:szCs w:val="24"/>
        </w:rPr>
        <w:t>pecia</w:t>
      </w:r>
      <w:r w:rsidR="00D70312" w:rsidRPr="006C1985">
        <w:rPr>
          <w:rFonts w:ascii="Times New Roman" w:hAnsi="Times New Roman" w:cs="Times New Roman"/>
          <w:sz w:val="24"/>
          <w:szCs w:val="24"/>
        </w:rPr>
        <w:t>l M</w:t>
      </w:r>
      <w:r w:rsidR="006A4215" w:rsidRPr="006C1985">
        <w:rPr>
          <w:rFonts w:ascii="Times New Roman" w:hAnsi="Times New Roman" w:cs="Times New Roman"/>
          <w:sz w:val="24"/>
          <w:szCs w:val="24"/>
        </w:rPr>
        <w:t>inin</w:t>
      </w:r>
      <w:r w:rsidR="00D70312" w:rsidRPr="006C1985">
        <w:rPr>
          <w:rFonts w:ascii="Times New Roman" w:hAnsi="Times New Roman" w:cs="Times New Roman"/>
          <w:sz w:val="24"/>
          <w:szCs w:val="24"/>
        </w:rPr>
        <w:t>g Lease O</w:t>
      </w:r>
      <w:r w:rsidR="00EA2239" w:rsidRPr="006C1985">
        <w:rPr>
          <w:rFonts w:ascii="Times New Roman" w:hAnsi="Times New Roman" w:cs="Times New Roman"/>
          <w:sz w:val="24"/>
          <w:szCs w:val="24"/>
        </w:rPr>
        <w:t xml:space="preserve">perations. </w:t>
      </w:r>
    </w:p>
    <w:p w:rsidR="006A4215" w:rsidRPr="006C1985" w:rsidRDefault="00EA2239"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Additional P</w:t>
      </w:r>
      <w:r w:rsidR="006A4215" w:rsidRPr="006C1985">
        <w:rPr>
          <w:rFonts w:ascii="Times New Roman" w:hAnsi="Times New Roman" w:cs="Times New Roman"/>
          <w:sz w:val="24"/>
          <w:szCs w:val="24"/>
        </w:rPr>
        <w:t>rofits Tax is charged in terms of s 33 of the Income Tax Act</w:t>
      </w:r>
      <w:r w:rsidR="00E7513A" w:rsidRPr="006C1985">
        <w:rPr>
          <w:rFonts w:ascii="Times New Roman" w:hAnsi="Times New Roman" w:cs="Times New Roman"/>
          <w:sz w:val="24"/>
          <w:szCs w:val="24"/>
        </w:rPr>
        <w:t xml:space="preserve"> </w:t>
      </w:r>
      <w:r w:rsidR="00F82F9F">
        <w:rPr>
          <w:rFonts w:ascii="Times New Roman" w:hAnsi="Times New Roman" w:cs="Times New Roman"/>
          <w:sz w:val="24"/>
          <w:szCs w:val="24"/>
        </w:rPr>
        <w:t xml:space="preserve">and </w:t>
      </w:r>
      <w:r w:rsidR="006A4215" w:rsidRPr="006C1985">
        <w:rPr>
          <w:rFonts w:ascii="Times New Roman" w:hAnsi="Times New Roman" w:cs="Times New Roman"/>
          <w:sz w:val="24"/>
          <w:szCs w:val="24"/>
        </w:rPr>
        <w:t>is determined in accordance with the provisions of the 23</w:t>
      </w:r>
      <w:r w:rsidR="006A4215" w:rsidRPr="006C1985">
        <w:rPr>
          <w:rFonts w:ascii="Times New Roman" w:hAnsi="Times New Roman" w:cs="Times New Roman"/>
          <w:sz w:val="24"/>
          <w:szCs w:val="24"/>
          <w:vertAlign w:val="superscript"/>
        </w:rPr>
        <w:t>rd</w:t>
      </w:r>
      <w:r w:rsidR="00F82F9F">
        <w:rPr>
          <w:rFonts w:ascii="Times New Roman" w:hAnsi="Times New Roman" w:cs="Times New Roman"/>
          <w:sz w:val="24"/>
          <w:szCs w:val="24"/>
        </w:rPr>
        <w:t xml:space="preserve"> S</w:t>
      </w:r>
      <w:r w:rsidR="00D70312" w:rsidRPr="006C1985">
        <w:rPr>
          <w:rFonts w:ascii="Times New Roman" w:hAnsi="Times New Roman" w:cs="Times New Roman"/>
          <w:sz w:val="24"/>
          <w:szCs w:val="24"/>
        </w:rPr>
        <w:t>chedule headed: Determination of Additional Profits Tax in respect of Special Mining Lease Area</w:t>
      </w:r>
      <w:r w:rsidR="006A4215" w:rsidRPr="006C1985">
        <w:rPr>
          <w:rFonts w:ascii="Times New Roman" w:hAnsi="Times New Roman" w:cs="Times New Roman"/>
          <w:sz w:val="24"/>
          <w:szCs w:val="24"/>
        </w:rPr>
        <w:t>.</w:t>
      </w:r>
      <w:r w:rsidR="00E7513A" w:rsidRPr="006C1985">
        <w:rPr>
          <w:rFonts w:ascii="Times New Roman" w:hAnsi="Times New Roman" w:cs="Times New Roman"/>
          <w:sz w:val="24"/>
          <w:szCs w:val="24"/>
        </w:rPr>
        <w:t xml:space="preserve"> </w:t>
      </w:r>
      <w:r w:rsidR="006A4215" w:rsidRPr="006C1985">
        <w:rPr>
          <w:rFonts w:ascii="Times New Roman" w:hAnsi="Times New Roman" w:cs="Times New Roman"/>
          <w:sz w:val="24"/>
          <w:szCs w:val="24"/>
        </w:rPr>
        <w:t xml:space="preserve">Notwithstanding some </w:t>
      </w:r>
      <w:r w:rsidRPr="006C1985">
        <w:rPr>
          <w:rFonts w:ascii="Times New Roman" w:hAnsi="Times New Roman" w:cs="Times New Roman"/>
          <w:sz w:val="24"/>
          <w:szCs w:val="24"/>
        </w:rPr>
        <w:t xml:space="preserve">contrary </w:t>
      </w:r>
      <w:r w:rsidR="006A4215" w:rsidRPr="006C1985">
        <w:rPr>
          <w:rFonts w:ascii="Times New Roman" w:hAnsi="Times New Roman" w:cs="Times New Roman"/>
          <w:sz w:val="24"/>
          <w:szCs w:val="24"/>
        </w:rPr>
        <w:t xml:space="preserve">undertakings made by the Government of Zimbabwe in 2001, the appellant conceded that it was liable to additional profits tax. </w:t>
      </w:r>
    </w:p>
    <w:p w:rsidR="00143BF3" w:rsidRPr="006C1985" w:rsidRDefault="005D7685" w:rsidP="00BD5135">
      <w:pPr>
        <w:jc w:val="both"/>
        <w:rPr>
          <w:rFonts w:ascii="Times New Roman" w:hAnsi="Times New Roman" w:cs="Times New Roman"/>
          <w:sz w:val="24"/>
          <w:szCs w:val="24"/>
          <w:u w:val="single"/>
        </w:rPr>
      </w:pPr>
      <w:r w:rsidRPr="006C1985">
        <w:rPr>
          <w:rFonts w:ascii="Times New Roman" w:hAnsi="Times New Roman" w:cs="Times New Roman"/>
          <w:sz w:val="24"/>
          <w:szCs w:val="24"/>
          <w:u w:val="single"/>
        </w:rPr>
        <w:t xml:space="preserve">The </w:t>
      </w:r>
      <w:r w:rsidR="00143BF3" w:rsidRPr="006C1985">
        <w:rPr>
          <w:rFonts w:ascii="Times New Roman" w:hAnsi="Times New Roman" w:cs="Times New Roman"/>
          <w:sz w:val="24"/>
          <w:szCs w:val="24"/>
          <w:u w:val="single"/>
        </w:rPr>
        <w:t>facts</w:t>
      </w:r>
    </w:p>
    <w:p w:rsidR="000724A0" w:rsidRPr="006C1985" w:rsidRDefault="00143BF3"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The </w:t>
      </w:r>
      <w:r w:rsidR="005D7685" w:rsidRPr="006C1985">
        <w:rPr>
          <w:rFonts w:ascii="Times New Roman" w:hAnsi="Times New Roman" w:cs="Times New Roman"/>
          <w:sz w:val="24"/>
          <w:szCs w:val="24"/>
        </w:rPr>
        <w:t>r</w:t>
      </w:r>
      <w:r w:rsidR="00880442">
        <w:rPr>
          <w:rFonts w:ascii="Times New Roman" w:hAnsi="Times New Roman" w:cs="Times New Roman"/>
          <w:sz w:val="24"/>
          <w:szCs w:val="24"/>
        </w:rPr>
        <w:t>espondent assessed the appellan</w:t>
      </w:r>
      <w:r w:rsidR="005D7685" w:rsidRPr="006C1985">
        <w:rPr>
          <w:rFonts w:ascii="Times New Roman" w:hAnsi="Times New Roman" w:cs="Times New Roman"/>
          <w:sz w:val="24"/>
          <w:szCs w:val="24"/>
        </w:rPr>
        <w:t xml:space="preserve">t in July 2009 for additional profits tax for the period 2004 to 2009. </w:t>
      </w:r>
      <w:r w:rsidR="001752CE" w:rsidRPr="006C1985">
        <w:rPr>
          <w:rFonts w:ascii="Times New Roman" w:hAnsi="Times New Roman" w:cs="Times New Roman"/>
          <w:sz w:val="24"/>
          <w:szCs w:val="24"/>
        </w:rPr>
        <w:t>The appellant included as an allowable deduction the aggregate of the allowable deductions attributable to the special mining lease area fo</w:t>
      </w:r>
      <w:r w:rsidR="00C11221" w:rsidRPr="006C1985">
        <w:rPr>
          <w:rFonts w:ascii="Times New Roman" w:hAnsi="Times New Roman" w:cs="Times New Roman"/>
          <w:sz w:val="24"/>
          <w:szCs w:val="24"/>
        </w:rPr>
        <w:t>r the purpose of calculating its</w:t>
      </w:r>
      <w:r w:rsidR="001752CE" w:rsidRPr="006C1985">
        <w:rPr>
          <w:rFonts w:ascii="Times New Roman" w:hAnsi="Times New Roman" w:cs="Times New Roman"/>
          <w:sz w:val="24"/>
          <w:szCs w:val="24"/>
        </w:rPr>
        <w:t xml:space="preserve"> </w:t>
      </w:r>
      <w:r w:rsidR="00C11221" w:rsidRPr="006C1985">
        <w:rPr>
          <w:rFonts w:ascii="Times New Roman" w:hAnsi="Times New Roman" w:cs="Times New Roman"/>
          <w:sz w:val="24"/>
          <w:szCs w:val="24"/>
        </w:rPr>
        <w:t xml:space="preserve">tax liability for income tax the </w:t>
      </w:r>
      <w:r w:rsidR="001752CE" w:rsidRPr="006C1985">
        <w:rPr>
          <w:rFonts w:ascii="Times New Roman" w:hAnsi="Times New Roman" w:cs="Times New Roman"/>
          <w:sz w:val="24"/>
          <w:szCs w:val="24"/>
        </w:rPr>
        <w:t xml:space="preserve">assessed losses incurred up to June 2005 </w:t>
      </w:r>
      <w:r w:rsidR="00E76246" w:rsidRPr="006C1985">
        <w:rPr>
          <w:rFonts w:ascii="Times New Roman" w:hAnsi="Times New Roman" w:cs="Times New Roman"/>
          <w:sz w:val="24"/>
          <w:szCs w:val="24"/>
        </w:rPr>
        <w:t>in the sum of US$ 26 668 264</w:t>
      </w:r>
      <w:r w:rsidR="00C11221" w:rsidRPr="006C1985">
        <w:rPr>
          <w:rFonts w:ascii="Times New Roman" w:hAnsi="Times New Roman" w:cs="Times New Roman"/>
          <w:sz w:val="24"/>
          <w:szCs w:val="24"/>
        </w:rPr>
        <w:t xml:space="preserve">. It purportedly acted in </w:t>
      </w:r>
      <w:r w:rsidR="001752CE" w:rsidRPr="006C1985">
        <w:rPr>
          <w:rFonts w:ascii="Times New Roman" w:hAnsi="Times New Roman" w:cs="Times New Roman"/>
          <w:sz w:val="24"/>
          <w:szCs w:val="24"/>
        </w:rPr>
        <w:t>terms of the 23</w:t>
      </w:r>
      <w:r w:rsidR="001752CE" w:rsidRPr="006C1985">
        <w:rPr>
          <w:rFonts w:ascii="Times New Roman" w:hAnsi="Times New Roman" w:cs="Times New Roman"/>
          <w:sz w:val="24"/>
          <w:szCs w:val="24"/>
          <w:vertAlign w:val="superscript"/>
        </w:rPr>
        <w:t>rd</w:t>
      </w:r>
      <w:r w:rsidR="001752CE" w:rsidRPr="006C1985">
        <w:rPr>
          <w:rFonts w:ascii="Times New Roman" w:hAnsi="Times New Roman" w:cs="Times New Roman"/>
          <w:sz w:val="24"/>
          <w:szCs w:val="24"/>
        </w:rPr>
        <w:t xml:space="preserve"> Schedule. It took the position that assessed losses were allowable deductions against both the income tax liability and the additional profits tax of a holder of a special mining lease.  The respondent </w:t>
      </w:r>
      <w:r w:rsidR="005D7685" w:rsidRPr="006C1985">
        <w:rPr>
          <w:rFonts w:ascii="Times New Roman" w:hAnsi="Times New Roman" w:cs="Times New Roman"/>
          <w:sz w:val="24"/>
          <w:szCs w:val="24"/>
        </w:rPr>
        <w:t xml:space="preserve">verbally questioned the appellant on the double deduction of the cumulative assessed losses to June 2005 in both the income tax liability and additional profits tax liability. </w:t>
      </w:r>
      <w:r w:rsidR="001752CE" w:rsidRPr="006C1985">
        <w:rPr>
          <w:rFonts w:ascii="Times New Roman" w:hAnsi="Times New Roman" w:cs="Times New Roman"/>
          <w:sz w:val="24"/>
          <w:szCs w:val="24"/>
        </w:rPr>
        <w:t>It</w:t>
      </w:r>
      <w:r w:rsidR="00C11221" w:rsidRPr="006C1985">
        <w:rPr>
          <w:rFonts w:ascii="Times New Roman" w:hAnsi="Times New Roman" w:cs="Times New Roman"/>
          <w:sz w:val="24"/>
          <w:szCs w:val="24"/>
        </w:rPr>
        <w:t>, however,</w:t>
      </w:r>
      <w:r w:rsidR="001752CE" w:rsidRPr="006C1985">
        <w:rPr>
          <w:rFonts w:ascii="Times New Roman" w:hAnsi="Times New Roman" w:cs="Times New Roman"/>
          <w:sz w:val="24"/>
          <w:szCs w:val="24"/>
        </w:rPr>
        <w:t xml:space="preserve"> passed the double deduction and o</w:t>
      </w:r>
      <w:r w:rsidR="006A4215" w:rsidRPr="006C1985">
        <w:rPr>
          <w:rFonts w:ascii="Times New Roman" w:hAnsi="Times New Roman" w:cs="Times New Roman"/>
          <w:sz w:val="24"/>
          <w:szCs w:val="24"/>
        </w:rPr>
        <w:t xml:space="preserve">n </w:t>
      </w:r>
      <w:r w:rsidR="005D7685" w:rsidRPr="006C1985">
        <w:rPr>
          <w:rFonts w:ascii="Times New Roman" w:hAnsi="Times New Roman" w:cs="Times New Roman"/>
          <w:sz w:val="24"/>
          <w:szCs w:val="24"/>
        </w:rPr>
        <w:t xml:space="preserve">27 </w:t>
      </w:r>
      <w:r w:rsidR="006A4215" w:rsidRPr="006C1985">
        <w:rPr>
          <w:rFonts w:ascii="Times New Roman" w:hAnsi="Times New Roman" w:cs="Times New Roman"/>
          <w:sz w:val="24"/>
          <w:szCs w:val="24"/>
        </w:rPr>
        <w:t xml:space="preserve">July </w:t>
      </w:r>
      <w:r w:rsidR="001752CE" w:rsidRPr="006C1985">
        <w:rPr>
          <w:rFonts w:ascii="Times New Roman" w:hAnsi="Times New Roman" w:cs="Times New Roman"/>
          <w:sz w:val="24"/>
          <w:szCs w:val="24"/>
        </w:rPr>
        <w:t>2009</w:t>
      </w:r>
      <w:r w:rsidR="006A4215" w:rsidRPr="006C1985">
        <w:rPr>
          <w:rFonts w:ascii="Times New Roman" w:hAnsi="Times New Roman" w:cs="Times New Roman"/>
          <w:sz w:val="24"/>
          <w:szCs w:val="24"/>
        </w:rPr>
        <w:t xml:space="preserve"> assessed the appellant for additional profits tax in the amount US$23 485 026.62</w:t>
      </w:r>
      <w:r w:rsidR="00CD6442" w:rsidRPr="006C1985">
        <w:rPr>
          <w:rFonts w:ascii="Times New Roman" w:hAnsi="Times New Roman" w:cs="Times New Roman"/>
          <w:sz w:val="24"/>
          <w:szCs w:val="24"/>
        </w:rPr>
        <w:t xml:space="preserve"> </w:t>
      </w:r>
      <w:r w:rsidR="006A4215" w:rsidRPr="006C1985">
        <w:rPr>
          <w:rFonts w:ascii="Times New Roman" w:hAnsi="Times New Roman" w:cs="Times New Roman"/>
          <w:sz w:val="24"/>
          <w:szCs w:val="24"/>
        </w:rPr>
        <w:t>for the years 2004 to 2007</w:t>
      </w:r>
      <w:r w:rsidR="00CD6442" w:rsidRPr="006C1985">
        <w:rPr>
          <w:rFonts w:ascii="Times New Roman" w:hAnsi="Times New Roman" w:cs="Times New Roman"/>
          <w:sz w:val="24"/>
          <w:szCs w:val="24"/>
        </w:rPr>
        <w:t xml:space="preserve"> </w:t>
      </w:r>
      <w:r w:rsidR="000724A0" w:rsidRPr="006C1985">
        <w:rPr>
          <w:rFonts w:ascii="Times New Roman" w:hAnsi="Times New Roman" w:cs="Times New Roman"/>
          <w:sz w:val="24"/>
          <w:szCs w:val="24"/>
        </w:rPr>
        <w:t>[Annexures</w:t>
      </w:r>
      <w:r w:rsidR="00CD6442" w:rsidRPr="006C1985">
        <w:rPr>
          <w:rFonts w:ascii="Times New Roman" w:hAnsi="Times New Roman" w:cs="Times New Roman"/>
          <w:sz w:val="24"/>
          <w:szCs w:val="24"/>
        </w:rPr>
        <w:t xml:space="preserve"> B1-B4 of appellant’s case]</w:t>
      </w:r>
      <w:r w:rsidR="006A4215" w:rsidRPr="006C1985">
        <w:rPr>
          <w:rFonts w:ascii="Times New Roman" w:hAnsi="Times New Roman" w:cs="Times New Roman"/>
          <w:sz w:val="24"/>
          <w:szCs w:val="24"/>
        </w:rPr>
        <w:t xml:space="preserve">. </w:t>
      </w:r>
      <w:r w:rsidR="000724A0" w:rsidRPr="006C1985">
        <w:rPr>
          <w:rFonts w:ascii="Times New Roman" w:hAnsi="Times New Roman" w:cs="Times New Roman"/>
          <w:sz w:val="24"/>
          <w:szCs w:val="24"/>
        </w:rPr>
        <w:t xml:space="preserve">The appellant accepted liability and settled the amount in full in 2010. </w:t>
      </w:r>
    </w:p>
    <w:p w:rsidR="00A81401" w:rsidRPr="006C1985" w:rsidRDefault="000724A0"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The respondent reassessed the appellant for additional profits tax for the period 2001 to 2007. The computed liability remained unchanged at the figure previously assessed and paid for in full</w:t>
      </w:r>
      <w:r w:rsidR="00E07FF8" w:rsidRPr="006C1985">
        <w:rPr>
          <w:rFonts w:ascii="Times New Roman" w:hAnsi="Times New Roman" w:cs="Times New Roman"/>
          <w:sz w:val="24"/>
          <w:szCs w:val="24"/>
        </w:rPr>
        <w:t>. The respondent, however, revisit</w:t>
      </w:r>
      <w:r w:rsidRPr="006C1985">
        <w:rPr>
          <w:rFonts w:ascii="Times New Roman" w:hAnsi="Times New Roman" w:cs="Times New Roman"/>
          <w:sz w:val="24"/>
          <w:szCs w:val="24"/>
        </w:rPr>
        <w:t xml:space="preserve">ed the deduction </w:t>
      </w:r>
      <w:r w:rsidR="00E07FF8" w:rsidRPr="006C1985">
        <w:rPr>
          <w:rFonts w:ascii="Times New Roman" w:hAnsi="Times New Roman" w:cs="Times New Roman"/>
          <w:sz w:val="24"/>
          <w:szCs w:val="24"/>
        </w:rPr>
        <w:t xml:space="preserve">of the assessed tax losses incurred up to June 2005 </w:t>
      </w:r>
      <w:r w:rsidRPr="006C1985">
        <w:rPr>
          <w:rFonts w:ascii="Times New Roman" w:hAnsi="Times New Roman" w:cs="Times New Roman"/>
          <w:sz w:val="24"/>
          <w:szCs w:val="24"/>
        </w:rPr>
        <w:t xml:space="preserve">in the </w:t>
      </w:r>
      <w:r w:rsidR="00E07FF8" w:rsidRPr="006C1985">
        <w:rPr>
          <w:rFonts w:ascii="Times New Roman" w:hAnsi="Times New Roman" w:cs="Times New Roman"/>
          <w:sz w:val="24"/>
          <w:szCs w:val="24"/>
        </w:rPr>
        <w:t xml:space="preserve">computation of the </w:t>
      </w:r>
      <w:r w:rsidRPr="006C1985">
        <w:rPr>
          <w:rFonts w:ascii="Times New Roman" w:hAnsi="Times New Roman" w:cs="Times New Roman"/>
          <w:sz w:val="24"/>
          <w:szCs w:val="24"/>
        </w:rPr>
        <w:t>2006 additional profits tax.</w:t>
      </w:r>
      <w:r w:rsidR="00D062ED" w:rsidRPr="006C1985">
        <w:rPr>
          <w:rFonts w:ascii="Times New Roman" w:hAnsi="Times New Roman" w:cs="Times New Roman"/>
          <w:sz w:val="24"/>
          <w:szCs w:val="24"/>
        </w:rPr>
        <w:t xml:space="preserve"> </w:t>
      </w:r>
      <w:r w:rsidR="002C33F2" w:rsidRPr="006C1985">
        <w:rPr>
          <w:rFonts w:ascii="Times New Roman" w:hAnsi="Times New Roman" w:cs="Times New Roman"/>
          <w:sz w:val="24"/>
          <w:szCs w:val="24"/>
        </w:rPr>
        <w:t xml:space="preserve">On 13 December 2010, it issued amended assessments </w:t>
      </w:r>
      <w:r w:rsidR="00262356" w:rsidRPr="006C1985">
        <w:rPr>
          <w:rFonts w:ascii="Times New Roman" w:hAnsi="Times New Roman" w:cs="Times New Roman"/>
          <w:sz w:val="24"/>
          <w:szCs w:val="24"/>
        </w:rPr>
        <w:t>[C2-C4 captured in C1 of the appellant’s case</w:t>
      </w:r>
      <w:r w:rsidR="005D3B3A" w:rsidRPr="006C1985">
        <w:rPr>
          <w:rFonts w:ascii="Times New Roman" w:hAnsi="Times New Roman" w:cs="Times New Roman"/>
          <w:sz w:val="24"/>
          <w:szCs w:val="24"/>
        </w:rPr>
        <w:t xml:space="preserve"> and annexure A-C of Commissioner’s </w:t>
      </w:r>
      <w:r w:rsidR="00EE7E05" w:rsidRPr="006C1985">
        <w:rPr>
          <w:rFonts w:ascii="Times New Roman" w:hAnsi="Times New Roman" w:cs="Times New Roman"/>
          <w:sz w:val="24"/>
          <w:szCs w:val="24"/>
        </w:rPr>
        <w:t>case]</w:t>
      </w:r>
      <w:r w:rsidR="00262356" w:rsidRPr="006C1985">
        <w:rPr>
          <w:rFonts w:ascii="Times New Roman" w:hAnsi="Times New Roman" w:cs="Times New Roman"/>
          <w:sz w:val="24"/>
          <w:szCs w:val="24"/>
        </w:rPr>
        <w:t xml:space="preserve"> </w:t>
      </w:r>
      <w:r w:rsidR="007C15FE" w:rsidRPr="006C1985">
        <w:rPr>
          <w:rFonts w:ascii="Times New Roman" w:hAnsi="Times New Roman" w:cs="Times New Roman"/>
          <w:sz w:val="24"/>
          <w:szCs w:val="24"/>
        </w:rPr>
        <w:t xml:space="preserve">for the years ending 31 December 2005, 31 December 2006 and 31 December 2007 </w:t>
      </w:r>
      <w:r w:rsidR="00262356" w:rsidRPr="006C1985">
        <w:rPr>
          <w:rFonts w:ascii="Times New Roman" w:hAnsi="Times New Roman" w:cs="Times New Roman"/>
          <w:sz w:val="24"/>
          <w:szCs w:val="24"/>
        </w:rPr>
        <w:t>disallowing the deduction of assessed losses</w:t>
      </w:r>
      <w:r w:rsidR="007C15FE" w:rsidRPr="006C1985">
        <w:rPr>
          <w:rFonts w:ascii="Times New Roman" w:hAnsi="Times New Roman" w:cs="Times New Roman"/>
          <w:sz w:val="24"/>
          <w:szCs w:val="24"/>
        </w:rPr>
        <w:t xml:space="preserve"> fro</w:t>
      </w:r>
      <w:r w:rsidR="00262356" w:rsidRPr="006C1985">
        <w:rPr>
          <w:rFonts w:ascii="Times New Roman" w:hAnsi="Times New Roman" w:cs="Times New Roman"/>
          <w:sz w:val="24"/>
          <w:szCs w:val="24"/>
        </w:rPr>
        <w:t xml:space="preserve">m the additional profits tax that had already been deducted from the gross income of the appellant.  </w:t>
      </w:r>
      <w:r w:rsidR="007B709E" w:rsidRPr="006C1985">
        <w:rPr>
          <w:rFonts w:ascii="Times New Roman" w:hAnsi="Times New Roman" w:cs="Times New Roman"/>
          <w:sz w:val="24"/>
          <w:szCs w:val="24"/>
        </w:rPr>
        <w:t>The effect was to increase the additional profits tax for the appella</w:t>
      </w:r>
      <w:r w:rsidR="00D83C4D" w:rsidRPr="006C1985">
        <w:rPr>
          <w:rFonts w:ascii="Times New Roman" w:hAnsi="Times New Roman" w:cs="Times New Roman"/>
          <w:sz w:val="24"/>
          <w:szCs w:val="24"/>
        </w:rPr>
        <w:t>nt by a further US</w:t>
      </w:r>
      <w:r w:rsidR="00496429" w:rsidRPr="006C1985">
        <w:rPr>
          <w:rFonts w:ascii="Times New Roman" w:hAnsi="Times New Roman" w:cs="Times New Roman"/>
          <w:sz w:val="24"/>
          <w:szCs w:val="24"/>
        </w:rPr>
        <w:t>$</w:t>
      </w:r>
      <w:r w:rsidR="00F51368" w:rsidRPr="006C1985">
        <w:rPr>
          <w:rFonts w:ascii="Times New Roman" w:hAnsi="Times New Roman" w:cs="Times New Roman"/>
          <w:sz w:val="24"/>
          <w:szCs w:val="24"/>
        </w:rPr>
        <w:t>26 895 889</w:t>
      </w:r>
      <w:r w:rsidR="00D83C4D" w:rsidRPr="006C1985">
        <w:rPr>
          <w:rFonts w:ascii="Times New Roman" w:hAnsi="Times New Roman" w:cs="Times New Roman"/>
          <w:sz w:val="24"/>
          <w:szCs w:val="24"/>
        </w:rPr>
        <w:t>.26</w:t>
      </w:r>
      <w:r w:rsidR="007B709E" w:rsidRPr="006C1985">
        <w:rPr>
          <w:rFonts w:ascii="Times New Roman" w:hAnsi="Times New Roman" w:cs="Times New Roman"/>
          <w:sz w:val="24"/>
          <w:szCs w:val="24"/>
        </w:rPr>
        <w:t xml:space="preserve"> from the amount previously accepted and paid for in full.</w:t>
      </w:r>
    </w:p>
    <w:p w:rsidR="0085511B" w:rsidRPr="006C1985" w:rsidRDefault="00A81401" w:rsidP="00BD5135">
      <w:pPr>
        <w:spacing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lastRenderedPageBreak/>
        <w:t>The appellant objected to the amended assessments</w:t>
      </w:r>
      <w:r w:rsidR="00496429" w:rsidRPr="006C1985">
        <w:rPr>
          <w:rFonts w:ascii="Times New Roman" w:hAnsi="Times New Roman" w:cs="Times New Roman"/>
          <w:sz w:val="24"/>
          <w:szCs w:val="24"/>
        </w:rPr>
        <w:t xml:space="preserve"> on 15 December 2010. </w:t>
      </w:r>
      <w:r w:rsidRPr="006C1985">
        <w:rPr>
          <w:rFonts w:ascii="Times New Roman" w:hAnsi="Times New Roman" w:cs="Times New Roman"/>
          <w:sz w:val="24"/>
          <w:szCs w:val="24"/>
        </w:rPr>
        <w:t xml:space="preserve">The respondent disallowed the objection </w:t>
      </w:r>
      <w:r w:rsidR="00496429" w:rsidRPr="006C1985">
        <w:rPr>
          <w:rFonts w:ascii="Times New Roman" w:hAnsi="Times New Roman" w:cs="Times New Roman"/>
          <w:sz w:val="24"/>
          <w:szCs w:val="24"/>
        </w:rPr>
        <w:t>on 18 February 2011 [annexure E of Commissioner’s case and annexure A to appellant’s notice of appeal] but</w:t>
      </w:r>
      <w:r w:rsidRPr="006C1985">
        <w:rPr>
          <w:rFonts w:ascii="Times New Roman" w:hAnsi="Times New Roman" w:cs="Times New Roman"/>
          <w:sz w:val="24"/>
          <w:szCs w:val="24"/>
        </w:rPr>
        <w:t xml:space="preserve"> suspended </w:t>
      </w:r>
      <w:r w:rsidR="00E76246" w:rsidRPr="006C1985">
        <w:rPr>
          <w:rFonts w:ascii="Times New Roman" w:hAnsi="Times New Roman" w:cs="Times New Roman"/>
          <w:sz w:val="24"/>
          <w:szCs w:val="24"/>
        </w:rPr>
        <w:t xml:space="preserve">in terms of s 69 (1) of the Income Tax Act </w:t>
      </w:r>
      <w:r w:rsidRPr="006C1985">
        <w:rPr>
          <w:rFonts w:ascii="Times New Roman" w:hAnsi="Times New Roman" w:cs="Times New Roman"/>
          <w:sz w:val="24"/>
          <w:szCs w:val="24"/>
        </w:rPr>
        <w:t>payment of the additional profits tax pending the determination of the present appeal</w:t>
      </w:r>
      <w:r w:rsidR="0085511B" w:rsidRPr="006C1985">
        <w:rPr>
          <w:rFonts w:ascii="Times New Roman" w:hAnsi="Times New Roman" w:cs="Times New Roman"/>
          <w:sz w:val="24"/>
          <w:szCs w:val="24"/>
        </w:rPr>
        <w:t xml:space="preserve">. The appellant filed the notice of appeal on 11 March 2011 and the commissioner replied to the notice on 3 </w:t>
      </w:r>
      <w:r w:rsidR="00E76246" w:rsidRPr="006C1985">
        <w:rPr>
          <w:rFonts w:ascii="Times New Roman" w:hAnsi="Times New Roman" w:cs="Times New Roman"/>
          <w:sz w:val="24"/>
          <w:szCs w:val="24"/>
        </w:rPr>
        <w:t>May 2011.</w:t>
      </w:r>
      <w:r w:rsidR="0085511B" w:rsidRPr="006C1985">
        <w:rPr>
          <w:rFonts w:ascii="Times New Roman" w:hAnsi="Times New Roman" w:cs="Times New Roman"/>
          <w:sz w:val="24"/>
          <w:szCs w:val="24"/>
        </w:rPr>
        <w:t xml:space="preserve"> The appellant, however, filed its</w:t>
      </w:r>
      <w:r w:rsidR="00C6527F">
        <w:rPr>
          <w:rFonts w:ascii="Times New Roman" w:hAnsi="Times New Roman" w:cs="Times New Roman"/>
          <w:sz w:val="24"/>
          <w:szCs w:val="24"/>
        </w:rPr>
        <w:t xml:space="preserve"> case on 9 May which prompted the reply from the respondent of</w:t>
      </w:r>
      <w:r w:rsidR="0085511B" w:rsidRPr="006C1985">
        <w:rPr>
          <w:rFonts w:ascii="Times New Roman" w:hAnsi="Times New Roman" w:cs="Times New Roman"/>
          <w:sz w:val="24"/>
          <w:szCs w:val="24"/>
        </w:rPr>
        <w:t xml:space="preserve"> 18 July 2011. </w:t>
      </w:r>
    </w:p>
    <w:p w:rsidR="0064231B" w:rsidRPr="006C1985" w:rsidRDefault="0064231B" w:rsidP="00BD5135">
      <w:pPr>
        <w:jc w:val="both"/>
        <w:rPr>
          <w:rFonts w:ascii="Times New Roman" w:hAnsi="Times New Roman" w:cs="Times New Roman"/>
          <w:sz w:val="24"/>
          <w:szCs w:val="24"/>
          <w:u w:val="single"/>
        </w:rPr>
      </w:pPr>
      <w:r w:rsidRPr="006C1985">
        <w:rPr>
          <w:rFonts w:ascii="Times New Roman" w:hAnsi="Times New Roman" w:cs="Times New Roman"/>
          <w:sz w:val="24"/>
          <w:szCs w:val="24"/>
          <w:u w:val="single"/>
        </w:rPr>
        <w:t>The issue</w:t>
      </w:r>
    </w:p>
    <w:p w:rsidR="006C7FE5" w:rsidRPr="006C1985" w:rsidRDefault="0064231B" w:rsidP="00BD5135">
      <w:pPr>
        <w:spacing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At the pre-trial hearing of 10 July 2014 the issue referred to trial was: whether or not the assessed loss incurred in the previous year is an allowable deduction for purposes of computing net cash receipts in terms of para 2 (3) (a) (</w:t>
      </w:r>
      <w:proofErr w:type="spellStart"/>
      <w:r w:rsidRPr="006C1985">
        <w:rPr>
          <w:rFonts w:ascii="Times New Roman" w:hAnsi="Times New Roman" w:cs="Times New Roman"/>
          <w:sz w:val="24"/>
          <w:szCs w:val="24"/>
        </w:rPr>
        <w:t>i</w:t>
      </w:r>
      <w:proofErr w:type="spellEnd"/>
      <w:r w:rsidRPr="006C1985">
        <w:rPr>
          <w:rFonts w:ascii="Times New Roman" w:hAnsi="Times New Roman" w:cs="Times New Roman"/>
          <w:sz w:val="24"/>
          <w:szCs w:val="24"/>
        </w:rPr>
        <w:t>) of the 23</w:t>
      </w:r>
      <w:r w:rsidRPr="006C1985">
        <w:rPr>
          <w:rFonts w:ascii="Times New Roman" w:hAnsi="Times New Roman" w:cs="Times New Roman"/>
          <w:sz w:val="24"/>
          <w:szCs w:val="24"/>
          <w:vertAlign w:val="superscript"/>
        </w:rPr>
        <w:t>rd</w:t>
      </w:r>
      <w:r w:rsidRPr="006C1985">
        <w:rPr>
          <w:rFonts w:ascii="Times New Roman" w:hAnsi="Times New Roman" w:cs="Times New Roman"/>
          <w:sz w:val="24"/>
          <w:szCs w:val="24"/>
        </w:rPr>
        <w:t xml:space="preserve"> Schedule of the Income Tax Act</w:t>
      </w:r>
      <w:r w:rsidR="00D83C4D" w:rsidRPr="006C1985">
        <w:rPr>
          <w:rFonts w:ascii="Times New Roman" w:hAnsi="Times New Roman" w:cs="Times New Roman"/>
          <w:sz w:val="24"/>
          <w:szCs w:val="24"/>
        </w:rPr>
        <w:t>.</w:t>
      </w:r>
      <w:r w:rsidRPr="006C1985">
        <w:rPr>
          <w:rFonts w:ascii="Times New Roman" w:hAnsi="Times New Roman" w:cs="Times New Roman"/>
          <w:sz w:val="24"/>
          <w:szCs w:val="24"/>
        </w:rPr>
        <w:t xml:space="preserve"> </w:t>
      </w:r>
    </w:p>
    <w:p w:rsidR="0064231B" w:rsidRPr="006C1985" w:rsidRDefault="00356C31" w:rsidP="00BD5135">
      <w:pPr>
        <w:jc w:val="both"/>
        <w:rPr>
          <w:rFonts w:ascii="Times New Roman" w:hAnsi="Times New Roman" w:cs="Times New Roman"/>
          <w:sz w:val="24"/>
          <w:szCs w:val="24"/>
          <w:u w:val="single"/>
        </w:rPr>
      </w:pPr>
      <w:r w:rsidRPr="006C1985">
        <w:rPr>
          <w:rFonts w:ascii="Times New Roman" w:hAnsi="Times New Roman" w:cs="Times New Roman"/>
          <w:sz w:val="24"/>
          <w:szCs w:val="24"/>
          <w:u w:val="single"/>
        </w:rPr>
        <w:t>The statutory provisions</w:t>
      </w:r>
    </w:p>
    <w:p w:rsidR="00CA300E" w:rsidRPr="006C1985" w:rsidRDefault="00BC0CC9" w:rsidP="00BD5135">
      <w:pPr>
        <w:spacing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Additional profits tax in respect of a special mining lease area is charged in terms of s 33 (1) and (2) of the Income Tax Act. The two sub-sections read:</w:t>
      </w:r>
    </w:p>
    <w:p w:rsidR="00CA300E" w:rsidRPr="00BD5135" w:rsidRDefault="00CA300E" w:rsidP="00BD5135">
      <w:pPr>
        <w:autoSpaceDE w:val="0"/>
        <w:autoSpaceDN w:val="0"/>
        <w:adjustRightInd w:val="0"/>
        <w:spacing w:after="0" w:line="240" w:lineRule="auto"/>
        <w:jc w:val="both"/>
        <w:rPr>
          <w:rFonts w:ascii="Times New Roman" w:hAnsi="Times New Roman" w:cs="Times New Roman"/>
          <w:b/>
          <w:bCs/>
        </w:rPr>
      </w:pPr>
      <w:r w:rsidRPr="006C1985">
        <w:rPr>
          <w:rFonts w:ascii="Times New Roman" w:hAnsi="Times New Roman" w:cs="Times New Roman"/>
          <w:sz w:val="24"/>
          <w:szCs w:val="24"/>
        </w:rPr>
        <w:tab/>
      </w:r>
      <w:r w:rsidRPr="00BD5135">
        <w:rPr>
          <w:rFonts w:ascii="Times New Roman" w:hAnsi="Times New Roman" w:cs="Times New Roman"/>
        </w:rPr>
        <w:t>“</w:t>
      </w:r>
      <w:r w:rsidRPr="00BD5135">
        <w:rPr>
          <w:rFonts w:ascii="Times New Roman" w:hAnsi="Times New Roman" w:cs="Times New Roman"/>
          <w:b/>
          <w:bCs/>
        </w:rPr>
        <w:t>33 Additional profits tax in respect of special mining lease areas</w:t>
      </w:r>
    </w:p>
    <w:p w:rsidR="00CA300E" w:rsidRPr="00BD5135" w:rsidRDefault="00AE4209" w:rsidP="00BD5135">
      <w:pPr>
        <w:autoSpaceDE w:val="0"/>
        <w:autoSpaceDN w:val="0"/>
        <w:adjustRightInd w:val="0"/>
        <w:spacing w:after="0" w:line="240" w:lineRule="auto"/>
        <w:ind w:left="720"/>
        <w:jc w:val="both"/>
        <w:rPr>
          <w:rFonts w:ascii="Times New Roman" w:hAnsi="Times New Roman" w:cs="Times New Roman"/>
        </w:rPr>
      </w:pPr>
      <w:r w:rsidRPr="00BD5135">
        <w:rPr>
          <w:rFonts w:ascii="Times New Roman" w:hAnsi="Times New Roman" w:cs="Times New Roman"/>
        </w:rPr>
        <w:t xml:space="preserve">(1) </w:t>
      </w:r>
      <w:r w:rsidR="00CA300E" w:rsidRPr="00BD5135">
        <w:rPr>
          <w:rFonts w:ascii="Times New Roman" w:hAnsi="Times New Roman" w:cs="Times New Roman"/>
        </w:rPr>
        <w:t>There shall be charged, levied and collected throughout Zimbabwe for the benefit of the Consolidated</w:t>
      </w:r>
      <w:r w:rsidR="00BC0CC9" w:rsidRPr="00BD5135">
        <w:rPr>
          <w:rFonts w:ascii="Times New Roman" w:hAnsi="Times New Roman" w:cs="Times New Roman"/>
        </w:rPr>
        <w:t xml:space="preserve"> </w:t>
      </w:r>
      <w:r w:rsidR="00CA300E" w:rsidRPr="00BD5135">
        <w:rPr>
          <w:rFonts w:ascii="Times New Roman" w:hAnsi="Times New Roman" w:cs="Times New Roman"/>
        </w:rPr>
        <w:t>Revenue Fund an additional profits tax, determined in accordance with the Twenty-Third Schedule, in respect of</w:t>
      </w:r>
      <w:r w:rsidR="00BC0CC9" w:rsidRPr="00BD5135">
        <w:rPr>
          <w:rFonts w:ascii="Times New Roman" w:hAnsi="Times New Roman" w:cs="Times New Roman"/>
        </w:rPr>
        <w:t xml:space="preserve"> </w:t>
      </w:r>
      <w:r w:rsidR="00CA300E" w:rsidRPr="00BD5135">
        <w:rPr>
          <w:rFonts w:ascii="Times New Roman" w:hAnsi="Times New Roman" w:cs="Times New Roman"/>
        </w:rPr>
        <w:t>the first accumulated net cash position and the second accumulated net cash position, as so determined, in respect of any special mining lease area for any year of assessment.</w:t>
      </w:r>
    </w:p>
    <w:p w:rsidR="00CA300E" w:rsidRPr="00BD5135" w:rsidRDefault="00CA300E" w:rsidP="00BD5135">
      <w:pPr>
        <w:autoSpaceDE w:val="0"/>
        <w:autoSpaceDN w:val="0"/>
        <w:adjustRightInd w:val="0"/>
        <w:spacing w:after="0" w:line="240" w:lineRule="auto"/>
        <w:ind w:left="720"/>
        <w:jc w:val="both"/>
        <w:rPr>
          <w:rFonts w:ascii="Times New Roman" w:hAnsi="Times New Roman" w:cs="Times New Roman"/>
        </w:rPr>
      </w:pPr>
      <w:r w:rsidRPr="00BD5135">
        <w:rPr>
          <w:rFonts w:ascii="Times New Roman" w:hAnsi="Times New Roman" w:cs="Times New Roman"/>
        </w:rPr>
        <w:t xml:space="preserve">(2) </w:t>
      </w:r>
      <w:proofErr w:type="gramStart"/>
      <w:r w:rsidRPr="00BD5135">
        <w:rPr>
          <w:rFonts w:ascii="Times New Roman" w:hAnsi="Times New Roman" w:cs="Times New Roman"/>
        </w:rPr>
        <w:t>The</w:t>
      </w:r>
      <w:proofErr w:type="gramEnd"/>
      <w:r w:rsidRPr="00BD5135">
        <w:rPr>
          <w:rFonts w:ascii="Times New Roman" w:hAnsi="Times New Roman" w:cs="Times New Roman"/>
        </w:rPr>
        <w:t xml:space="preserve"> additional profits tax referred to in subsection (1) shall be determined</w:t>
      </w:r>
      <w:r w:rsidR="00BC0CC9" w:rsidRPr="00BD5135">
        <w:rPr>
          <w:rFonts w:ascii="Times New Roman" w:hAnsi="Times New Roman" w:cs="Times New Roman"/>
        </w:rPr>
        <w:t xml:space="preserve">, charged and levied in respect </w:t>
      </w:r>
      <w:r w:rsidRPr="00BD5135">
        <w:rPr>
          <w:rFonts w:ascii="Times New Roman" w:hAnsi="Times New Roman" w:cs="Times New Roman"/>
        </w:rPr>
        <w:t>of each special mining lease area separately</w:t>
      </w:r>
      <w:r w:rsidR="004E1164" w:rsidRPr="00BD5135">
        <w:rPr>
          <w:rFonts w:ascii="Times New Roman" w:hAnsi="Times New Roman" w:cs="Times New Roman"/>
        </w:rPr>
        <w:t>”</w:t>
      </w:r>
      <w:r w:rsidRPr="00BD5135">
        <w:rPr>
          <w:rFonts w:ascii="Times New Roman" w:hAnsi="Times New Roman" w:cs="Times New Roman"/>
        </w:rPr>
        <w:t>.</w:t>
      </w:r>
    </w:p>
    <w:p w:rsidR="00BC0CC9" w:rsidRPr="00BD5135" w:rsidRDefault="00BC0CC9" w:rsidP="00BD5135">
      <w:pPr>
        <w:jc w:val="both"/>
        <w:rPr>
          <w:rFonts w:ascii="Times New Roman" w:hAnsi="Times New Roman" w:cs="Times New Roman"/>
        </w:rPr>
      </w:pPr>
    </w:p>
    <w:p w:rsidR="00FA538C" w:rsidRPr="006C1985" w:rsidRDefault="00E61EBC"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T</w:t>
      </w:r>
      <w:r w:rsidR="0064231B" w:rsidRPr="006C1985">
        <w:rPr>
          <w:rFonts w:ascii="Times New Roman" w:hAnsi="Times New Roman" w:cs="Times New Roman"/>
          <w:sz w:val="24"/>
          <w:szCs w:val="24"/>
        </w:rPr>
        <w:t>he formula for calculating additional profit</w:t>
      </w:r>
      <w:r w:rsidR="008367B7">
        <w:rPr>
          <w:rFonts w:ascii="Times New Roman" w:hAnsi="Times New Roman" w:cs="Times New Roman"/>
          <w:sz w:val="24"/>
          <w:szCs w:val="24"/>
        </w:rPr>
        <w:t>s</w:t>
      </w:r>
      <w:r w:rsidR="0064231B" w:rsidRPr="006C1985">
        <w:rPr>
          <w:rFonts w:ascii="Times New Roman" w:hAnsi="Times New Roman" w:cs="Times New Roman"/>
          <w:sz w:val="24"/>
          <w:szCs w:val="24"/>
        </w:rPr>
        <w:t xml:space="preserve"> </w:t>
      </w:r>
      <w:r w:rsidRPr="006C1985">
        <w:rPr>
          <w:rFonts w:ascii="Times New Roman" w:hAnsi="Times New Roman" w:cs="Times New Roman"/>
          <w:sz w:val="24"/>
          <w:szCs w:val="24"/>
        </w:rPr>
        <w:t xml:space="preserve">tax </w:t>
      </w:r>
      <w:r w:rsidR="0064231B" w:rsidRPr="006C1985">
        <w:rPr>
          <w:rFonts w:ascii="Times New Roman" w:hAnsi="Times New Roman" w:cs="Times New Roman"/>
          <w:sz w:val="24"/>
          <w:szCs w:val="24"/>
        </w:rPr>
        <w:t xml:space="preserve">is set out in </w:t>
      </w:r>
      <w:r w:rsidR="001E08C7" w:rsidRPr="006C1985">
        <w:rPr>
          <w:rFonts w:ascii="Times New Roman" w:hAnsi="Times New Roman" w:cs="Times New Roman"/>
          <w:sz w:val="24"/>
          <w:szCs w:val="24"/>
        </w:rPr>
        <w:t>para 4</w:t>
      </w:r>
      <w:r w:rsidR="00FA538C" w:rsidRPr="006C1985">
        <w:rPr>
          <w:rFonts w:ascii="Times New Roman" w:hAnsi="Times New Roman" w:cs="Times New Roman"/>
          <w:sz w:val="24"/>
          <w:szCs w:val="24"/>
        </w:rPr>
        <w:t xml:space="preserve"> of </w:t>
      </w:r>
      <w:r w:rsidR="0064231B" w:rsidRPr="006C1985">
        <w:rPr>
          <w:rFonts w:ascii="Times New Roman" w:hAnsi="Times New Roman" w:cs="Times New Roman"/>
          <w:sz w:val="24"/>
          <w:szCs w:val="24"/>
        </w:rPr>
        <w:t>the 23</w:t>
      </w:r>
      <w:r w:rsidR="0064231B" w:rsidRPr="006C1985">
        <w:rPr>
          <w:rFonts w:ascii="Times New Roman" w:hAnsi="Times New Roman" w:cs="Times New Roman"/>
          <w:sz w:val="24"/>
          <w:szCs w:val="24"/>
          <w:vertAlign w:val="superscript"/>
        </w:rPr>
        <w:t>rd</w:t>
      </w:r>
      <w:r w:rsidR="00BC0CC9" w:rsidRPr="006C1985">
        <w:rPr>
          <w:rFonts w:ascii="Times New Roman" w:hAnsi="Times New Roman" w:cs="Times New Roman"/>
          <w:sz w:val="24"/>
          <w:szCs w:val="24"/>
        </w:rPr>
        <w:t xml:space="preserve"> S</w:t>
      </w:r>
      <w:r w:rsidR="0064231B" w:rsidRPr="006C1985">
        <w:rPr>
          <w:rFonts w:ascii="Times New Roman" w:hAnsi="Times New Roman" w:cs="Times New Roman"/>
          <w:sz w:val="24"/>
          <w:szCs w:val="24"/>
        </w:rPr>
        <w:t>chedule</w:t>
      </w:r>
      <w:r w:rsidRPr="006C1985">
        <w:rPr>
          <w:rFonts w:ascii="Times New Roman" w:hAnsi="Times New Roman" w:cs="Times New Roman"/>
          <w:sz w:val="24"/>
          <w:szCs w:val="24"/>
        </w:rPr>
        <w:t xml:space="preserve">. </w:t>
      </w:r>
      <w:r w:rsidR="004F58F3" w:rsidRPr="006C1985">
        <w:rPr>
          <w:rFonts w:ascii="Times New Roman" w:hAnsi="Times New Roman" w:cs="Times New Roman"/>
          <w:sz w:val="24"/>
          <w:szCs w:val="24"/>
        </w:rPr>
        <w:t>The way to the additiona</w:t>
      </w:r>
      <w:r w:rsidR="00D83C4D" w:rsidRPr="006C1985">
        <w:rPr>
          <w:rFonts w:ascii="Times New Roman" w:hAnsi="Times New Roman" w:cs="Times New Roman"/>
          <w:sz w:val="24"/>
          <w:szCs w:val="24"/>
        </w:rPr>
        <w:t>l profits tax passes through</w:t>
      </w:r>
      <w:r w:rsidR="004F58F3" w:rsidRPr="006C1985">
        <w:rPr>
          <w:rFonts w:ascii="Times New Roman" w:hAnsi="Times New Roman" w:cs="Times New Roman"/>
          <w:sz w:val="24"/>
          <w:szCs w:val="24"/>
        </w:rPr>
        <w:t xml:space="preserve"> net cash receipts.</w:t>
      </w:r>
      <w:r w:rsidR="000C5DB7" w:rsidRPr="006C1985">
        <w:rPr>
          <w:rFonts w:ascii="Times New Roman" w:hAnsi="Times New Roman" w:cs="Times New Roman"/>
          <w:sz w:val="24"/>
          <w:szCs w:val="24"/>
        </w:rPr>
        <w:t xml:space="preserve"> </w:t>
      </w:r>
      <w:r w:rsidR="00E609E1" w:rsidRPr="006C1985">
        <w:rPr>
          <w:rFonts w:ascii="Times New Roman" w:hAnsi="Times New Roman" w:cs="Times New Roman"/>
          <w:sz w:val="24"/>
          <w:szCs w:val="24"/>
        </w:rPr>
        <w:t xml:space="preserve">Net cash receipts in turn determine the calculation of tax for the first and second accumulated </w:t>
      </w:r>
      <w:r w:rsidR="008367B7">
        <w:rPr>
          <w:rFonts w:ascii="Times New Roman" w:hAnsi="Times New Roman" w:cs="Times New Roman"/>
          <w:sz w:val="24"/>
          <w:szCs w:val="24"/>
        </w:rPr>
        <w:t xml:space="preserve">net cash </w:t>
      </w:r>
      <w:r w:rsidR="00E609E1" w:rsidRPr="006C1985">
        <w:rPr>
          <w:rFonts w:ascii="Times New Roman" w:hAnsi="Times New Roman" w:cs="Times New Roman"/>
          <w:sz w:val="24"/>
          <w:szCs w:val="24"/>
        </w:rPr>
        <w:t xml:space="preserve">position on which the formula for computing additional profits tax rests. </w:t>
      </w:r>
      <w:r w:rsidR="00FA538C" w:rsidRPr="006C1985">
        <w:rPr>
          <w:rFonts w:ascii="Times New Roman" w:hAnsi="Times New Roman" w:cs="Times New Roman"/>
          <w:sz w:val="24"/>
          <w:szCs w:val="24"/>
        </w:rPr>
        <w:t>N</w:t>
      </w:r>
      <w:r w:rsidR="007C699E" w:rsidRPr="006C1985">
        <w:rPr>
          <w:rFonts w:ascii="Times New Roman" w:hAnsi="Times New Roman" w:cs="Times New Roman"/>
          <w:sz w:val="24"/>
          <w:szCs w:val="24"/>
        </w:rPr>
        <w:t xml:space="preserve">et cash receipts are defined in </w:t>
      </w:r>
      <w:r w:rsidR="00FA538C" w:rsidRPr="006C1985">
        <w:rPr>
          <w:rFonts w:ascii="Times New Roman" w:hAnsi="Times New Roman" w:cs="Times New Roman"/>
          <w:sz w:val="24"/>
          <w:szCs w:val="24"/>
        </w:rPr>
        <w:t>para 2 of the 23</w:t>
      </w:r>
      <w:r w:rsidR="00FA538C" w:rsidRPr="006C1985">
        <w:rPr>
          <w:rFonts w:ascii="Times New Roman" w:hAnsi="Times New Roman" w:cs="Times New Roman"/>
          <w:sz w:val="24"/>
          <w:szCs w:val="24"/>
          <w:vertAlign w:val="superscript"/>
        </w:rPr>
        <w:t>rd</w:t>
      </w:r>
      <w:r w:rsidR="00FA538C" w:rsidRPr="006C1985">
        <w:rPr>
          <w:rFonts w:ascii="Times New Roman" w:hAnsi="Times New Roman" w:cs="Times New Roman"/>
          <w:sz w:val="24"/>
          <w:szCs w:val="24"/>
        </w:rPr>
        <w:t xml:space="preserve"> Schedule. The relevant part reads:</w:t>
      </w:r>
    </w:p>
    <w:p w:rsidR="00EE3656" w:rsidRPr="00BD5135" w:rsidRDefault="00FA538C" w:rsidP="00BD5135">
      <w:pPr>
        <w:autoSpaceDE w:val="0"/>
        <w:autoSpaceDN w:val="0"/>
        <w:adjustRightInd w:val="0"/>
        <w:spacing w:after="0" w:line="240" w:lineRule="auto"/>
        <w:ind w:left="720"/>
        <w:jc w:val="both"/>
        <w:rPr>
          <w:rFonts w:ascii="Times New Roman" w:hAnsi="Times New Roman" w:cs="Times New Roman"/>
        </w:rPr>
      </w:pPr>
      <w:r w:rsidRPr="00BD5135">
        <w:rPr>
          <w:rFonts w:ascii="Times New Roman" w:hAnsi="Times New Roman" w:cs="Times New Roman"/>
        </w:rPr>
        <w:t>“</w:t>
      </w:r>
      <w:r w:rsidR="00EE3656" w:rsidRPr="00BD5135">
        <w:rPr>
          <w:rFonts w:ascii="Times New Roman" w:hAnsi="Times New Roman" w:cs="Times New Roman"/>
        </w:rPr>
        <w:t>2. (1) For the purpose of this Schedule, the net cash receipts from a special mining lease area in a year of assessment shall be the result, which may be a positive or negative figure, of deducting from the income referred to in subparagraph (2) the deductions referred to in subparagraph (3)</w:t>
      </w:r>
      <w:r w:rsidR="004E1164" w:rsidRPr="00BD5135">
        <w:rPr>
          <w:rFonts w:ascii="Times New Roman" w:hAnsi="Times New Roman" w:cs="Times New Roman"/>
        </w:rPr>
        <w:t>”</w:t>
      </w:r>
      <w:r w:rsidR="00EE3656" w:rsidRPr="00BD5135">
        <w:rPr>
          <w:rFonts w:ascii="Times New Roman" w:hAnsi="Times New Roman" w:cs="Times New Roman"/>
        </w:rPr>
        <w:t>.</w:t>
      </w:r>
    </w:p>
    <w:p w:rsidR="004E1164" w:rsidRPr="006C1985" w:rsidRDefault="004E1164" w:rsidP="00BD5135">
      <w:pPr>
        <w:autoSpaceDE w:val="0"/>
        <w:autoSpaceDN w:val="0"/>
        <w:adjustRightInd w:val="0"/>
        <w:spacing w:after="0" w:line="240" w:lineRule="auto"/>
        <w:ind w:left="720"/>
        <w:jc w:val="both"/>
        <w:rPr>
          <w:rFonts w:ascii="Times New Roman" w:hAnsi="Times New Roman" w:cs="Times New Roman"/>
          <w:sz w:val="24"/>
          <w:szCs w:val="24"/>
        </w:rPr>
      </w:pPr>
    </w:p>
    <w:p w:rsidR="00EE3656" w:rsidRPr="006C1985" w:rsidRDefault="00EE3656"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lastRenderedPageBreak/>
        <w:t>The computat</w:t>
      </w:r>
      <w:r w:rsidR="00BE28AE">
        <w:rPr>
          <w:rFonts w:ascii="Times New Roman" w:hAnsi="Times New Roman" w:cs="Times New Roman"/>
          <w:sz w:val="24"/>
          <w:szCs w:val="24"/>
        </w:rPr>
        <w:t>ion of income, set out in para 2 (3</w:t>
      </w:r>
      <w:r w:rsidRPr="006C1985">
        <w:rPr>
          <w:rFonts w:ascii="Times New Roman" w:hAnsi="Times New Roman" w:cs="Times New Roman"/>
          <w:sz w:val="24"/>
          <w:szCs w:val="24"/>
        </w:rPr>
        <w:t>) of the 23</w:t>
      </w:r>
      <w:r w:rsidR="00BE28AE" w:rsidRPr="00BE28AE">
        <w:rPr>
          <w:rFonts w:ascii="Times New Roman" w:hAnsi="Times New Roman" w:cs="Times New Roman"/>
          <w:sz w:val="24"/>
          <w:szCs w:val="24"/>
          <w:vertAlign w:val="superscript"/>
        </w:rPr>
        <w:t>rd</w:t>
      </w:r>
      <w:r w:rsidR="00BE28AE">
        <w:rPr>
          <w:rFonts w:ascii="Times New Roman" w:hAnsi="Times New Roman" w:cs="Times New Roman"/>
          <w:sz w:val="24"/>
          <w:szCs w:val="24"/>
        </w:rPr>
        <w:t xml:space="preserve"> </w:t>
      </w:r>
      <w:r w:rsidRPr="006C1985">
        <w:rPr>
          <w:rFonts w:ascii="Times New Roman" w:hAnsi="Times New Roman" w:cs="Times New Roman"/>
          <w:sz w:val="24"/>
          <w:szCs w:val="24"/>
        </w:rPr>
        <w:t xml:space="preserve">Schedule, is not in issue before me. The dispute between </w:t>
      </w:r>
      <w:r w:rsidR="00D83CC1" w:rsidRPr="006C1985">
        <w:rPr>
          <w:rFonts w:ascii="Times New Roman" w:hAnsi="Times New Roman" w:cs="Times New Roman"/>
          <w:sz w:val="24"/>
          <w:szCs w:val="24"/>
        </w:rPr>
        <w:t>the parties is</w:t>
      </w:r>
      <w:r w:rsidRPr="006C1985">
        <w:rPr>
          <w:rFonts w:ascii="Times New Roman" w:hAnsi="Times New Roman" w:cs="Times New Roman"/>
          <w:sz w:val="24"/>
          <w:szCs w:val="24"/>
        </w:rPr>
        <w:t xml:space="preserve"> in respect of the deductions </w:t>
      </w:r>
      <w:r w:rsidR="00D83CC1" w:rsidRPr="006C1985">
        <w:rPr>
          <w:rFonts w:ascii="Times New Roman" w:hAnsi="Times New Roman" w:cs="Times New Roman"/>
          <w:sz w:val="24"/>
          <w:szCs w:val="24"/>
        </w:rPr>
        <w:t>that are allowed under para 2 (3) of the 23</w:t>
      </w:r>
      <w:r w:rsidR="00D83CC1" w:rsidRPr="006C1985">
        <w:rPr>
          <w:rFonts w:ascii="Times New Roman" w:hAnsi="Times New Roman" w:cs="Times New Roman"/>
          <w:sz w:val="24"/>
          <w:szCs w:val="24"/>
          <w:vertAlign w:val="superscript"/>
        </w:rPr>
        <w:t>rd</w:t>
      </w:r>
      <w:r w:rsidR="00D83CC1" w:rsidRPr="006C1985">
        <w:rPr>
          <w:rFonts w:ascii="Times New Roman" w:hAnsi="Times New Roman" w:cs="Times New Roman"/>
          <w:sz w:val="24"/>
          <w:szCs w:val="24"/>
        </w:rPr>
        <w:t xml:space="preserve"> Schedule. </w:t>
      </w:r>
      <w:r w:rsidR="00A14355" w:rsidRPr="006C1985">
        <w:rPr>
          <w:rFonts w:ascii="Times New Roman" w:hAnsi="Times New Roman" w:cs="Times New Roman"/>
          <w:sz w:val="24"/>
          <w:szCs w:val="24"/>
        </w:rPr>
        <w:t>It states:</w:t>
      </w:r>
    </w:p>
    <w:p w:rsidR="00A14355" w:rsidRPr="00BD5135" w:rsidRDefault="00A14355" w:rsidP="00BD5135">
      <w:pPr>
        <w:autoSpaceDE w:val="0"/>
        <w:autoSpaceDN w:val="0"/>
        <w:adjustRightInd w:val="0"/>
        <w:spacing w:after="0" w:line="240" w:lineRule="auto"/>
        <w:jc w:val="both"/>
        <w:rPr>
          <w:rFonts w:ascii="Times New Roman" w:hAnsi="Times New Roman" w:cs="Times New Roman"/>
        </w:rPr>
      </w:pPr>
      <w:r w:rsidRPr="006C1985">
        <w:rPr>
          <w:rFonts w:ascii="Times New Roman" w:hAnsi="Times New Roman" w:cs="Times New Roman"/>
          <w:sz w:val="24"/>
          <w:szCs w:val="24"/>
        </w:rPr>
        <w:tab/>
      </w:r>
      <w:r w:rsidRPr="00BD5135">
        <w:rPr>
          <w:rFonts w:ascii="Times New Roman" w:hAnsi="Times New Roman" w:cs="Times New Roman"/>
        </w:rPr>
        <w:t>“</w:t>
      </w:r>
      <w:r w:rsidR="0052503F" w:rsidRPr="00BD5135">
        <w:rPr>
          <w:rFonts w:ascii="Times New Roman" w:hAnsi="Times New Roman" w:cs="Times New Roman"/>
        </w:rPr>
        <w:t>(3)</w:t>
      </w:r>
      <w:r w:rsidR="0052503F" w:rsidRPr="00BD5135">
        <w:rPr>
          <w:rFonts w:ascii="Times New Roman" w:hAnsi="Times New Roman" w:cs="Times New Roman"/>
        </w:rPr>
        <w:tab/>
      </w:r>
      <w:proofErr w:type="gramStart"/>
      <w:r w:rsidR="00BE28AE">
        <w:rPr>
          <w:rFonts w:ascii="Times New Roman" w:hAnsi="Times New Roman" w:cs="Times New Roman"/>
        </w:rPr>
        <w:t>T</w:t>
      </w:r>
      <w:r w:rsidR="007C699E" w:rsidRPr="00BD5135">
        <w:rPr>
          <w:rFonts w:ascii="Times New Roman" w:hAnsi="Times New Roman" w:cs="Times New Roman"/>
        </w:rPr>
        <w:t>he</w:t>
      </w:r>
      <w:proofErr w:type="gramEnd"/>
      <w:r w:rsidRPr="00BD5135">
        <w:rPr>
          <w:rFonts w:ascii="Times New Roman" w:hAnsi="Times New Roman" w:cs="Times New Roman"/>
        </w:rPr>
        <w:t xml:space="preserve"> deductions to which subparagraph (1) relates are the aggregate of—</w:t>
      </w:r>
    </w:p>
    <w:p w:rsidR="00A14355" w:rsidRPr="00BD5135" w:rsidRDefault="00A14355" w:rsidP="00BD5135">
      <w:pPr>
        <w:autoSpaceDE w:val="0"/>
        <w:autoSpaceDN w:val="0"/>
        <w:adjustRightInd w:val="0"/>
        <w:spacing w:after="0" w:line="240" w:lineRule="auto"/>
        <w:ind w:left="720" w:firstLine="720"/>
        <w:jc w:val="both"/>
        <w:rPr>
          <w:rFonts w:ascii="Times New Roman" w:hAnsi="Times New Roman" w:cs="Times New Roman"/>
        </w:rPr>
      </w:pPr>
      <w:r w:rsidRPr="00BD5135">
        <w:rPr>
          <w:rFonts w:ascii="Times New Roman" w:hAnsi="Times New Roman" w:cs="Times New Roman"/>
        </w:rPr>
        <w:t>(</w:t>
      </w:r>
      <w:r w:rsidRPr="00BD5135">
        <w:rPr>
          <w:rFonts w:ascii="Times New Roman" w:hAnsi="Times New Roman" w:cs="Times New Roman"/>
          <w:i/>
          <w:iCs/>
        </w:rPr>
        <w:t>a</w:t>
      </w:r>
      <w:r w:rsidRPr="00BD5135">
        <w:rPr>
          <w:rFonts w:ascii="Times New Roman" w:hAnsi="Times New Roman" w:cs="Times New Roman"/>
        </w:rPr>
        <w:t xml:space="preserve">) </w:t>
      </w:r>
      <w:r w:rsidR="0052503F" w:rsidRPr="00BD5135">
        <w:rPr>
          <w:rFonts w:ascii="Times New Roman" w:hAnsi="Times New Roman" w:cs="Times New Roman"/>
        </w:rPr>
        <w:tab/>
      </w:r>
      <w:proofErr w:type="gramStart"/>
      <w:r w:rsidRPr="00BD5135">
        <w:rPr>
          <w:rFonts w:ascii="Times New Roman" w:hAnsi="Times New Roman" w:cs="Times New Roman"/>
        </w:rPr>
        <w:t>allowable</w:t>
      </w:r>
      <w:proofErr w:type="gramEnd"/>
      <w:r w:rsidRPr="00BD5135">
        <w:rPr>
          <w:rFonts w:ascii="Times New Roman" w:hAnsi="Times New Roman" w:cs="Times New Roman"/>
        </w:rPr>
        <w:t xml:space="preserve"> deductions in respect of expenditure which—</w:t>
      </w:r>
    </w:p>
    <w:p w:rsidR="00A14355" w:rsidRPr="00BD5135" w:rsidRDefault="00A14355" w:rsidP="00BD5135">
      <w:pPr>
        <w:autoSpaceDE w:val="0"/>
        <w:autoSpaceDN w:val="0"/>
        <w:adjustRightInd w:val="0"/>
        <w:spacing w:after="0" w:line="240" w:lineRule="auto"/>
        <w:ind w:left="2880" w:hanging="720"/>
        <w:jc w:val="both"/>
        <w:rPr>
          <w:rFonts w:ascii="Times New Roman" w:hAnsi="Times New Roman" w:cs="Times New Roman"/>
        </w:rPr>
      </w:pPr>
      <w:r w:rsidRPr="00BD5135">
        <w:rPr>
          <w:rFonts w:ascii="Times New Roman" w:hAnsi="Times New Roman" w:cs="Times New Roman"/>
        </w:rPr>
        <w:t>(</w:t>
      </w:r>
      <w:proofErr w:type="spellStart"/>
      <w:r w:rsidRPr="00BD5135">
        <w:rPr>
          <w:rFonts w:ascii="Times New Roman" w:hAnsi="Times New Roman" w:cs="Times New Roman"/>
        </w:rPr>
        <w:t>i</w:t>
      </w:r>
      <w:proofErr w:type="spellEnd"/>
      <w:r w:rsidRPr="00BD5135">
        <w:rPr>
          <w:rFonts w:ascii="Times New Roman" w:hAnsi="Times New Roman" w:cs="Times New Roman"/>
        </w:rPr>
        <w:t>)</w:t>
      </w:r>
      <w:r w:rsidRPr="00BD5135">
        <w:rPr>
          <w:rFonts w:ascii="Times New Roman" w:hAnsi="Times New Roman" w:cs="Times New Roman"/>
        </w:rPr>
        <w:tab/>
        <w:t>has been incurred or is deemed to have been incurred in the year of assessment concerned by the holder of the special mining lease or, in the case of joint holders, by each of the holders; and</w:t>
      </w:r>
    </w:p>
    <w:p w:rsidR="00A14355" w:rsidRPr="00BD5135" w:rsidRDefault="00A14355" w:rsidP="00BD5135">
      <w:pPr>
        <w:autoSpaceDE w:val="0"/>
        <w:autoSpaceDN w:val="0"/>
        <w:adjustRightInd w:val="0"/>
        <w:spacing w:after="0" w:line="240" w:lineRule="auto"/>
        <w:ind w:left="2880" w:hanging="720"/>
        <w:jc w:val="both"/>
        <w:rPr>
          <w:rFonts w:ascii="Times New Roman" w:hAnsi="Times New Roman" w:cs="Times New Roman"/>
        </w:rPr>
      </w:pPr>
      <w:r w:rsidRPr="00BD5135">
        <w:rPr>
          <w:rFonts w:ascii="Times New Roman" w:hAnsi="Times New Roman" w:cs="Times New Roman"/>
        </w:rPr>
        <w:t xml:space="preserve">(ii) </w:t>
      </w:r>
      <w:r w:rsidRPr="00BD5135">
        <w:rPr>
          <w:rFonts w:ascii="Times New Roman" w:hAnsi="Times New Roman" w:cs="Times New Roman"/>
        </w:rPr>
        <w:tab/>
      </w:r>
      <w:proofErr w:type="gramStart"/>
      <w:r w:rsidRPr="00BD5135">
        <w:rPr>
          <w:rFonts w:ascii="Times New Roman" w:hAnsi="Times New Roman" w:cs="Times New Roman"/>
        </w:rPr>
        <w:t>the</w:t>
      </w:r>
      <w:proofErr w:type="gramEnd"/>
      <w:r w:rsidRPr="00BD5135">
        <w:rPr>
          <w:rFonts w:ascii="Times New Roman" w:hAnsi="Times New Roman" w:cs="Times New Roman"/>
        </w:rPr>
        <w:t xml:space="preserve"> Commissioner determines is attributable to the special mining lease area for the purpose of calculating the holder’s liability for income tax;</w:t>
      </w:r>
    </w:p>
    <w:p w:rsidR="00A14355" w:rsidRPr="00BD5135" w:rsidRDefault="00A14355" w:rsidP="00BD5135">
      <w:pPr>
        <w:autoSpaceDE w:val="0"/>
        <w:autoSpaceDN w:val="0"/>
        <w:adjustRightInd w:val="0"/>
        <w:spacing w:after="0" w:line="240" w:lineRule="auto"/>
        <w:ind w:left="1440" w:firstLine="720"/>
        <w:jc w:val="both"/>
        <w:rPr>
          <w:rFonts w:ascii="Times New Roman" w:hAnsi="Times New Roman" w:cs="Times New Roman"/>
        </w:rPr>
      </w:pPr>
      <w:proofErr w:type="gramStart"/>
      <w:r w:rsidRPr="00BD5135">
        <w:rPr>
          <w:rFonts w:ascii="Times New Roman" w:hAnsi="Times New Roman" w:cs="Times New Roman"/>
        </w:rPr>
        <w:t>and</w:t>
      </w:r>
      <w:proofErr w:type="gramEnd"/>
    </w:p>
    <w:p w:rsidR="00A14355" w:rsidRPr="00BD5135" w:rsidRDefault="00A14355" w:rsidP="00BD5135">
      <w:pPr>
        <w:autoSpaceDE w:val="0"/>
        <w:autoSpaceDN w:val="0"/>
        <w:adjustRightInd w:val="0"/>
        <w:spacing w:after="0" w:line="240" w:lineRule="auto"/>
        <w:ind w:left="2160" w:hanging="720"/>
        <w:jc w:val="both"/>
        <w:rPr>
          <w:rFonts w:ascii="Times New Roman" w:hAnsi="Times New Roman" w:cs="Times New Roman"/>
        </w:rPr>
      </w:pPr>
      <w:r w:rsidRPr="00BD5135">
        <w:rPr>
          <w:rFonts w:ascii="Times New Roman" w:hAnsi="Times New Roman" w:cs="Times New Roman"/>
        </w:rPr>
        <w:t>(</w:t>
      </w:r>
      <w:r w:rsidRPr="00BD5135">
        <w:rPr>
          <w:rFonts w:ascii="Times New Roman" w:hAnsi="Times New Roman" w:cs="Times New Roman"/>
          <w:i/>
          <w:iCs/>
        </w:rPr>
        <w:t>b</w:t>
      </w:r>
      <w:r w:rsidRPr="00BD5135">
        <w:rPr>
          <w:rFonts w:ascii="Times New Roman" w:hAnsi="Times New Roman" w:cs="Times New Roman"/>
        </w:rPr>
        <w:t xml:space="preserve">) </w:t>
      </w:r>
      <w:r w:rsidR="0052503F" w:rsidRPr="00BD5135">
        <w:rPr>
          <w:rFonts w:ascii="Times New Roman" w:hAnsi="Times New Roman" w:cs="Times New Roman"/>
        </w:rPr>
        <w:tab/>
      </w:r>
      <w:r w:rsidRPr="00BD5135">
        <w:rPr>
          <w:rFonts w:ascii="Times New Roman" w:hAnsi="Times New Roman" w:cs="Times New Roman"/>
        </w:rPr>
        <w:t>income tax paid for the year of assessment concerned in respect of the taxable income of the</w:t>
      </w:r>
      <w:r w:rsidR="0052503F" w:rsidRPr="00BD5135">
        <w:rPr>
          <w:rFonts w:ascii="Times New Roman" w:hAnsi="Times New Roman" w:cs="Times New Roman"/>
        </w:rPr>
        <w:t xml:space="preserve"> </w:t>
      </w:r>
      <w:r w:rsidRPr="00BD5135">
        <w:rPr>
          <w:rFonts w:ascii="Times New Roman" w:hAnsi="Times New Roman" w:cs="Times New Roman"/>
        </w:rPr>
        <w:t>holder of the special mining lease or, in the case of joint holders, of each of the holders, which</w:t>
      </w:r>
      <w:r w:rsidR="0052503F" w:rsidRPr="00BD5135">
        <w:rPr>
          <w:rFonts w:ascii="Times New Roman" w:hAnsi="Times New Roman" w:cs="Times New Roman"/>
        </w:rPr>
        <w:t xml:space="preserve"> </w:t>
      </w:r>
      <w:r w:rsidRPr="00BD5135">
        <w:rPr>
          <w:rFonts w:ascii="Times New Roman" w:hAnsi="Times New Roman" w:cs="Times New Roman"/>
        </w:rPr>
        <w:t>the Commissioner determines is attributable to the special mining lease area; and</w:t>
      </w:r>
    </w:p>
    <w:p w:rsidR="00A14355" w:rsidRPr="00BD5135" w:rsidRDefault="00A14355" w:rsidP="00BD5135">
      <w:pPr>
        <w:autoSpaceDE w:val="0"/>
        <w:autoSpaceDN w:val="0"/>
        <w:adjustRightInd w:val="0"/>
        <w:spacing w:after="0" w:line="240" w:lineRule="auto"/>
        <w:ind w:left="2160" w:hanging="720"/>
        <w:jc w:val="both"/>
        <w:rPr>
          <w:rFonts w:ascii="Times New Roman" w:hAnsi="Times New Roman" w:cs="Times New Roman"/>
        </w:rPr>
      </w:pPr>
      <w:r w:rsidRPr="00BD5135">
        <w:rPr>
          <w:rFonts w:ascii="Times New Roman" w:hAnsi="Times New Roman" w:cs="Times New Roman"/>
        </w:rPr>
        <w:t>(</w:t>
      </w:r>
      <w:r w:rsidRPr="00BD5135">
        <w:rPr>
          <w:rFonts w:ascii="Times New Roman" w:hAnsi="Times New Roman" w:cs="Times New Roman"/>
          <w:i/>
          <w:iCs/>
        </w:rPr>
        <w:t>c</w:t>
      </w:r>
      <w:r w:rsidRPr="00BD5135">
        <w:rPr>
          <w:rFonts w:ascii="Times New Roman" w:hAnsi="Times New Roman" w:cs="Times New Roman"/>
        </w:rPr>
        <w:t xml:space="preserve">) </w:t>
      </w:r>
      <w:r w:rsidR="0052503F" w:rsidRPr="00BD5135">
        <w:rPr>
          <w:rFonts w:ascii="Times New Roman" w:hAnsi="Times New Roman" w:cs="Times New Roman"/>
        </w:rPr>
        <w:tab/>
      </w:r>
      <w:proofErr w:type="gramStart"/>
      <w:r w:rsidRPr="00BD5135">
        <w:rPr>
          <w:rFonts w:ascii="Times New Roman" w:hAnsi="Times New Roman" w:cs="Times New Roman"/>
        </w:rPr>
        <w:t>capital</w:t>
      </w:r>
      <w:proofErr w:type="gramEnd"/>
      <w:r w:rsidRPr="00BD5135">
        <w:rPr>
          <w:rFonts w:ascii="Times New Roman" w:hAnsi="Times New Roman" w:cs="Times New Roman"/>
        </w:rPr>
        <w:t xml:space="preserve"> expenditure incurred solely in relation to a special mining lease area which is allowable</w:t>
      </w:r>
      <w:r w:rsidR="0052503F" w:rsidRPr="00BD5135">
        <w:rPr>
          <w:rFonts w:ascii="Times New Roman" w:hAnsi="Times New Roman" w:cs="Times New Roman"/>
        </w:rPr>
        <w:t xml:space="preserve"> </w:t>
      </w:r>
      <w:r w:rsidRPr="00BD5135">
        <w:rPr>
          <w:rFonts w:ascii="Times New Roman" w:hAnsi="Times New Roman" w:cs="Times New Roman"/>
        </w:rPr>
        <w:t>as a deduction under paragraph 5 of the Twenty-Second Schedule:</w:t>
      </w:r>
    </w:p>
    <w:p w:rsidR="00A14355" w:rsidRPr="00BD5135" w:rsidRDefault="00A14355" w:rsidP="00BD5135">
      <w:pPr>
        <w:autoSpaceDE w:val="0"/>
        <w:autoSpaceDN w:val="0"/>
        <w:adjustRightInd w:val="0"/>
        <w:spacing w:after="0" w:line="240" w:lineRule="auto"/>
        <w:ind w:left="2160" w:firstLine="720"/>
        <w:jc w:val="both"/>
        <w:rPr>
          <w:rFonts w:ascii="Times New Roman" w:hAnsi="Times New Roman" w:cs="Times New Roman"/>
        </w:rPr>
      </w:pPr>
      <w:r w:rsidRPr="00BD5135">
        <w:rPr>
          <w:rFonts w:ascii="Times New Roman" w:hAnsi="Times New Roman" w:cs="Times New Roman"/>
        </w:rPr>
        <w:t>Provided that—</w:t>
      </w:r>
    </w:p>
    <w:p w:rsidR="00A14355" w:rsidRPr="00BD5135" w:rsidRDefault="00A14355" w:rsidP="00BD5135">
      <w:pPr>
        <w:autoSpaceDE w:val="0"/>
        <w:autoSpaceDN w:val="0"/>
        <w:adjustRightInd w:val="0"/>
        <w:spacing w:after="0" w:line="240" w:lineRule="auto"/>
        <w:ind w:left="2880" w:hanging="720"/>
        <w:jc w:val="both"/>
        <w:rPr>
          <w:rFonts w:ascii="Times New Roman" w:hAnsi="Times New Roman" w:cs="Times New Roman"/>
        </w:rPr>
      </w:pPr>
      <w:r w:rsidRPr="00BD5135">
        <w:rPr>
          <w:rFonts w:ascii="Times New Roman" w:hAnsi="Times New Roman" w:cs="Times New Roman"/>
        </w:rPr>
        <w:t>(</w:t>
      </w:r>
      <w:proofErr w:type="spellStart"/>
      <w:r w:rsidRPr="00BD5135">
        <w:rPr>
          <w:rFonts w:ascii="Times New Roman" w:hAnsi="Times New Roman" w:cs="Times New Roman"/>
        </w:rPr>
        <w:t>i</w:t>
      </w:r>
      <w:proofErr w:type="spellEnd"/>
      <w:r w:rsidRPr="00BD5135">
        <w:rPr>
          <w:rFonts w:ascii="Times New Roman" w:hAnsi="Times New Roman" w:cs="Times New Roman"/>
        </w:rPr>
        <w:t xml:space="preserve">) </w:t>
      </w:r>
      <w:r w:rsidR="0052503F" w:rsidRPr="00BD5135">
        <w:rPr>
          <w:rFonts w:ascii="Times New Roman" w:hAnsi="Times New Roman" w:cs="Times New Roman"/>
        </w:rPr>
        <w:tab/>
      </w:r>
      <w:proofErr w:type="gramStart"/>
      <w:r w:rsidRPr="00BD5135">
        <w:rPr>
          <w:rFonts w:ascii="Times New Roman" w:hAnsi="Times New Roman" w:cs="Times New Roman"/>
        </w:rPr>
        <w:t>any</w:t>
      </w:r>
      <w:proofErr w:type="gramEnd"/>
      <w:r w:rsidRPr="00BD5135">
        <w:rPr>
          <w:rFonts w:ascii="Times New Roman" w:hAnsi="Times New Roman" w:cs="Times New Roman"/>
        </w:rPr>
        <w:t xml:space="preserve"> capital expenditure in respect of exploration operations which is so allowable and</w:t>
      </w:r>
      <w:r w:rsidR="0052503F" w:rsidRPr="00BD5135">
        <w:rPr>
          <w:rFonts w:ascii="Times New Roman" w:hAnsi="Times New Roman" w:cs="Times New Roman"/>
        </w:rPr>
        <w:t xml:space="preserve"> </w:t>
      </w:r>
      <w:r w:rsidRPr="00BD5135">
        <w:rPr>
          <w:rFonts w:ascii="Times New Roman" w:hAnsi="Times New Roman" w:cs="Times New Roman"/>
        </w:rPr>
        <w:t>which is incurred prior to the first year of assessment shall be deemed to have been incurred</w:t>
      </w:r>
      <w:r w:rsidR="0052503F" w:rsidRPr="00BD5135">
        <w:rPr>
          <w:rFonts w:ascii="Times New Roman" w:hAnsi="Times New Roman" w:cs="Times New Roman"/>
        </w:rPr>
        <w:t xml:space="preserve"> </w:t>
      </w:r>
      <w:r w:rsidRPr="00BD5135">
        <w:rPr>
          <w:rFonts w:ascii="Times New Roman" w:hAnsi="Times New Roman" w:cs="Times New Roman"/>
        </w:rPr>
        <w:t>in the first year of assessment for special mining lease operations;</w:t>
      </w:r>
    </w:p>
    <w:p w:rsidR="00A14355" w:rsidRPr="00BD5135" w:rsidRDefault="00A14355" w:rsidP="00BD5135">
      <w:pPr>
        <w:autoSpaceDE w:val="0"/>
        <w:autoSpaceDN w:val="0"/>
        <w:adjustRightInd w:val="0"/>
        <w:spacing w:after="0" w:line="240" w:lineRule="auto"/>
        <w:ind w:left="2880" w:hanging="720"/>
        <w:jc w:val="both"/>
        <w:rPr>
          <w:rFonts w:ascii="Times New Roman" w:hAnsi="Times New Roman" w:cs="Times New Roman"/>
        </w:rPr>
      </w:pPr>
      <w:r w:rsidRPr="00BD5135">
        <w:rPr>
          <w:rFonts w:ascii="Times New Roman" w:hAnsi="Times New Roman" w:cs="Times New Roman"/>
        </w:rPr>
        <w:t xml:space="preserve">(ii) </w:t>
      </w:r>
      <w:r w:rsidR="0052503F" w:rsidRPr="00BD5135">
        <w:rPr>
          <w:rFonts w:ascii="Times New Roman" w:hAnsi="Times New Roman" w:cs="Times New Roman"/>
        </w:rPr>
        <w:tab/>
      </w:r>
      <w:proofErr w:type="gramStart"/>
      <w:r w:rsidRPr="00BD5135">
        <w:rPr>
          <w:rFonts w:ascii="Times New Roman" w:hAnsi="Times New Roman" w:cs="Times New Roman"/>
        </w:rPr>
        <w:t>such</w:t>
      </w:r>
      <w:proofErr w:type="gramEnd"/>
      <w:r w:rsidRPr="00BD5135">
        <w:rPr>
          <w:rFonts w:ascii="Times New Roman" w:hAnsi="Times New Roman" w:cs="Times New Roman"/>
        </w:rPr>
        <w:t xml:space="preserve"> capital expenditure shall be deducted in full in the year in which it is incurred or</w:t>
      </w:r>
      <w:r w:rsidR="0052503F" w:rsidRPr="00BD5135">
        <w:rPr>
          <w:rFonts w:ascii="Times New Roman" w:hAnsi="Times New Roman" w:cs="Times New Roman"/>
        </w:rPr>
        <w:t xml:space="preserve"> </w:t>
      </w:r>
      <w:r w:rsidRPr="00BD5135">
        <w:rPr>
          <w:rFonts w:ascii="Times New Roman" w:hAnsi="Times New Roman" w:cs="Times New Roman"/>
        </w:rPr>
        <w:t>deemed to have been incurred.</w:t>
      </w:r>
      <w:r w:rsidR="0052503F" w:rsidRPr="00BD5135">
        <w:rPr>
          <w:rFonts w:ascii="Times New Roman" w:hAnsi="Times New Roman" w:cs="Times New Roman"/>
        </w:rPr>
        <w:t>”</w:t>
      </w:r>
    </w:p>
    <w:p w:rsidR="00241304" w:rsidRPr="00BD5135" w:rsidRDefault="00241304" w:rsidP="00BD5135">
      <w:pPr>
        <w:autoSpaceDE w:val="0"/>
        <w:autoSpaceDN w:val="0"/>
        <w:adjustRightInd w:val="0"/>
        <w:spacing w:after="0" w:line="240" w:lineRule="auto"/>
        <w:jc w:val="both"/>
        <w:rPr>
          <w:rFonts w:ascii="Times New Roman" w:hAnsi="Times New Roman" w:cs="Times New Roman"/>
        </w:rPr>
      </w:pPr>
    </w:p>
    <w:p w:rsidR="00241304" w:rsidRPr="006C1985" w:rsidRDefault="00241304" w:rsidP="00BD5135">
      <w:pPr>
        <w:autoSpaceDE w:val="0"/>
        <w:autoSpaceDN w:val="0"/>
        <w:adjustRightInd w:val="0"/>
        <w:spacing w:after="0" w:line="240" w:lineRule="auto"/>
        <w:jc w:val="both"/>
        <w:rPr>
          <w:rFonts w:ascii="Times New Roman" w:hAnsi="Times New Roman" w:cs="Times New Roman"/>
          <w:sz w:val="24"/>
          <w:szCs w:val="24"/>
        </w:rPr>
      </w:pPr>
    </w:p>
    <w:p w:rsidR="00750D42" w:rsidRPr="006C1985" w:rsidRDefault="0086172A"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The first two </w:t>
      </w:r>
      <w:r w:rsidR="00241304" w:rsidRPr="006C1985">
        <w:rPr>
          <w:rFonts w:ascii="Times New Roman" w:hAnsi="Times New Roman" w:cs="Times New Roman"/>
          <w:sz w:val="24"/>
          <w:szCs w:val="24"/>
        </w:rPr>
        <w:t>ca</w:t>
      </w:r>
      <w:r w:rsidR="006F4CC2">
        <w:rPr>
          <w:rFonts w:ascii="Times New Roman" w:hAnsi="Times New Roman" w:cs="Times New Roman"/>
          <w:sz w:val="24"/>
          <w:szCs w:val="24"/>
        </w:rPr>
        <w:t>tegories of deductions in para 2 (3</w:t>
      </w:r>
      <w:r w:rsidR="00241304" w:rsidRPr="006C1985">
        <w:rPr>
          <w:rFonts w:ascii="Times New Roman" w:hAnsi="Times New Roman" w:cs="Times New Roman"/>
          <w:sz w:val="24"/>
          <w:szCs w:val="24"/>
        </w:rPr>
        <w:t>) are in respect of allowable deductions of ex</w:t>
      </w:r>
      <w:r w:rsidR="00BC7B11" w:rsidRPr="006C1985">
        <w:rPr>
          <w:rFonts w:ascii="Times New Roman" w:hAnsi="Times New Roman" w:cs="Times New Roman"/>
          <w:sz w:val="24"/>
          <w:szCs w:val="24"/>
        </w:rPr>
        <w:t>penditure</w:t>
      </w:r>
      <w:r w:rsidR="00241304" w:rsidRPr="006C1985">
        <w:rPr>
          <w:rFonts w:ascii="Times New Roman" w:hAnsi="Times New Roman" w:cs="Times New Roman"/>
          <w:sz w:val="24"/>
          <w:szCs w:val="24"/>
        </w:rPr>
        <w:t xml:space="preserve"> incurred</w:t>
      </w:r>
      <w:r w:rsidRPr="006C1985">
        <w:rPr>
          <w:rFonts w:ascii="Times New Roman" w:hAnsi="Times New Roman" w:cs="Times New Roman"/>
          <w:sz w:val="24"/>
          <w:szCs w:val="24"/>
        </w:rPr>
        <w:t xml:space="preserve"> and income tax paid by the holder in the requisite year of assessment</w:t>
      </w:r>
      <w:r w:rsidR="001F1225" w:rsidRPr="006C1985">
        <w:rPr>
          <w:rFonts w:ascii="Times New Roman" w:hAnsi="Times New Roman" w:cs="Times New Roman"/>
          <w:sz w:val="24"/>
          <w:szCs w:val="24"/>
        </w:rPr>
        <w:t xml:space="preserve">, adjudged by the respondent to have been for </w:t>
      </w:r>
      <w:r w:rsidRPr="006C1985">
        <w:rPr>
          <w:rFonts w:ascii="Times New Roman" w:hAnsi="Times New Roman" w:cs="Times New Roman"/>
          <w:sz w:val="24"/>
          <w:szCs w:val="24"/>
        </w:rPr>
        <w:t xml:space="preserve">the special mining </w:t>
      </w:r>
      <w:r w:rsidR="001F1225" w:rsidRPr="006C1985">
        <w:rPr>
          <w:rFonts w:ascii="Times New Roman" w:hAnsi="Times New Roman" w:cs="Times New Roman"/>
          <w:sz w:val="24"/>
          <w:szCs w:val="24"/>
        </w:rPr>
        <w:t xml:space="preserve">lease </w:t>
      </w:r>
      <w:r w:rsidRPr="006C1985">
        <w:rPr>
          <w:rFonts w:ascii="Times New Roman" w:hAnsi="Times New Roman" w:cs="Times New Roman"/>
          <w:sz w:val="24"/>
          <w:szCs w:val="24"/>
        </w:rPr>
        <w:t xml:space="preserve">area.  The third and last category is in respect of capital expenditure incurred </w:t>
      </w:r>
      <w:r w:rsidR="001F1225" w:rsidRPr="006C1985">
        <w:rPr>
          <w:rFonts w:ascii="Times New Roman" w:hAnsi="Times New Roman" w:cs="Times New Roman"/>
          <w:sz w:val="24"/>
          <w:szCs w:val="24"/>
        </w:rPr>
        <w:t>solely on the special mining lease area that is deductible under par 5 of the 22</w:t>
      </w:r>
      <w:r w:rsidR="001F1225" w:rsidRPr="006C1985">
        <w:rPr>
          <w:rFonts w:ascii="Times New Roman" w:hAnsi="Times New Roman" w:cs="Times New Roman"/>
          <w:sz w:val="24"/>
          <w:szCs w:val="24"/>
          <w:vertAlign w:val="superscript"/>
        </w:rPr>
        <w:t>nd</w:t>
      </w:r>
      <w:r w:rsidR="001F1225" w:rsidRPr="006C1985">
        <w:rPr>
          <w:rFonts w:ascii="Times New Roman" w:hAnsi="Times New Roman" w:cs="Times New Roman"/>
          <w:sz w:val="24"/>
          <w:szCs w:val="24"/>
        </w:rPr>
        <w:t xml:space="preserve"> Schedule. The proviso to the third category is a deeming provision that relates to time rather than to </w:t>
      </w:r>
      <w:r w:rsidR="001E30EA" w:rsidRPr="006C1985">
        <w:rPr>
          <w:rFonts w:ascii="Times New Roman" w:hAnsi="Times New Roman" w:cs="Times New Roman"/>
          <w:sz w:val="24"/>
          <w:szCs w:val="24"/>
        </w:rPr>
        <w:t xml:space="preserve">exploration </w:t>
      </w:r>
      <w:r w:rsidR="001F1225" w:rsidRPr="006C1985">
        <w:rPr>
          <w:rFonts w:ascii="Times New Roman" w:hAnsi="Times New Roman" w:cs="Times New Roman"/>
          <w:sz w:val="24"/>
          <w:szCs w:val="24"/>
        </w:rPr>
        <w:t xml:space="preserve">expenditure. </w:t>
      </w:r>
      <w:r w:rsidR="001E30EA" w:rsidRPr="006C1985">
        <w:rPr>
          <w:rFonts w:ascii="Times New Roman" w:hAnsi="Times New Roman" w:cs="Times New Roman"/>
          <w:sz w:val="24"/>
          <w:szCs w:val="24"/>
        </w:rPr>
        <w:t xml:space="preserve">It was common ground that </w:t>
      </w:r>
      <w:r w:rsidR="001F1225" w:rsidRPr="006C1985">
        <w:rPr>
          <w:rFonts w:ascii="Times New Roman" w:hAnsi="Times New Roman" w:cs="Times New Roman"/>
          <w:sz w:val="24"/>
          <w:szCs w:val="24"/>
        </w:rPr>
        <w:t xml:space="preserve">only the first category </w:t>
      </w:r>
      <w:r w:rsidR="001E30EA" w:rsidRPr="006C1985">
        <w:rPr>
          <w:rFonts w:ascii="Times New Roman" w:hAnsi="Times New Roman" w:cs="Times New Roman"/>
          <w:sz w:val="24"/>
          <w:szCs w:val="24"/>
        </w:rPr>
        <w:t>calls for deter</w:t>
      </w:r>
      <w:r w:rsidR="00B2791E" w:rsidRPr="006C1985">
        <w:rPr>
          <w:rFonts w:ascii="Times New Roman" w:hAnsi="Times New Roman" w:cs="Times New Roman"/>
          <w:sz w:val="24"/>
          <w:szCs w:val="24"/>
        </w:rPr>
        <w:t>mination in the present matter. The decision turns on the meaning and application of “allowable deductions”</w:t>
      </w:r>
      <w:r w:rsidR="006F4CC2">
        <w:rPr>
          <w:rFonts w:ascii="Times New Roman" w:hAnsi="Times New Roman" w:cs="Times New Roman"/>
          <w:sz w:val="24"/>
          <w:szCs w:val="24"/>
        </w:rPr>
        <w:t xml:space="preserve"> envisaged in para 2 (3</w:t>
      </w:r>
      <w:r w:rsidR="006E29F2" w:rsidRPr="006C1985">
        <w:rPr>
          <w:rFonts w:ascii="Times New Roman" w:hAnsi="Times New Roman" w:cs="Times New Roman"/>
          <w:sz w:val="24"/>
          <w:szCs w:val="24"/>
        </w:rPr>
        <w:t>) (a) (</w:t>
      </w:r>
      <w:proofErr w:type="spellStart"/>
      <w:r w:rsidR="006E29F2" w:rsidRPr="006C1985">
        <w:rPr>
          <w:rFonts w:ascii="Times New Roman" w:hAnsi="Times New Roman" w:cs="Times New Roman"/>
          <w:sz w:val="24"/>
          <w:szCs w:val="24"/>
        </w:rPr>
        <w:t>i</w:t>
      </w:r>
      <w:proofErr w:type="spellEnd"/>
      <w:r w:rsidR="006E29F2" w:rsidRPr="006C1985">
        <w:rPr>
          <w:rFonts w:ascii="Times New Roman" w:hAnsi="Times New Roman" w:cs="Times New Roman"/>
          <w:sz w:val="24"/>
          <w:szCs w:val="24"/>
        </w:rPr>
        <w:t>)</w:t>
      </w:r>
      <w:r w:rsidR="00B2791E" w:rsidRPr="006C1985">
        <w:rPr>
          <w:rFonts w:ascii="Times New Roman" w:hAnsi="Times New Roman" w:cs="Times New Roman"/>
          <w:sz w:val="24"/>
          <w:szCs w:val="24"/>
        </w:rPr>
        <w:t xml:space="preserve">. </w:t>
      </w:r>
    </w:p>
    <w:p w:rsidR="00750D42" w:rsidRDefault="00750D42" w:rsidP="00BD5135">
      <w:pPr>
        <w:autoSpaceDE w:val="0"/>
        <w:autoSpaceDN w:val="0"/>
        <w:adjustRightInd w:val="0"/>
        <w:spacing w:after="0" w:line="24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The term “allowable deductions” is defined in para 1 (1) of the 23</w:t>
      </w:r>
      <w:r w:rsidRPr="006C1985">
        <w:rPr>
          <w:rFonts w:ascii="Times New Roman" w:hAnsi="Times New Roman" w:cs="Times New Roman"/>
          <w:sz w:val="24"/>
          <w:szCs w:val="24"/>
          <w:vertAlign w:val="superscript"/>
        </w:rPr>
        <w:t>rd</w:t>
      </w:r>
      <w:r w:rsidRPr="006C1985">
        <w:rPr>
          <w:rFonts w:ascii="Times New Roman" w:hAnsi="Times New Roman" w:cs="Times New Roman"/>
          <w:sz w:val="24"/>
          <w:szCs w:val="24"/>
        </w:rPr>
        <w:t xml:space="preserve"> Schedule as follows:</w:t>
      </w:r>
    </w:p>
    <w:p w:rsidR="00662E24" w:rsidRPr="006C1985" w:rsidRDefault="00662E24" w:rsidP="00BD5135">
      <w:pPr>
        <w:autoSpaceDE w:val="0"/>
        <w:autoSpaceDN w:val="0"/>
        <w:adjustRightInd w:val="0"/>
        <w:spacing w:after="0" w:line="240" w:lineRule="auto"/>
        <w:ind w:firstLine="720"/>
        <w:jc w:val="both"/>
        <w:rPr>
          <w:rFonts w:ascii="Times New Roman" w:hAnsi="Times New Roman" w:cs="Times New Roman"/>
          <w:sz w:val="24"/>
          <w:szCs w:val="24"/>
        </w:rPr>
      </w:pPr>
    </w:p>
    <w:p w:rsidR="00750D42" w:rsidRPr="00662E24" w:rsidRDefault="00750D42" w:rsidP="00BD5135">
      <w:pPr>
        <w:autoSpaceDE w:val="0"/>
        <w:autoSpaceDN w:val="0"/>
        <w:adjustRightInd w:val="0"/>
        <w:spacing w:after="0" w:line="240" w:lineRule="auto"/>
        <w:ind w:left="720"/>
        <w:jc w:val="both"/>
        <w:rPr>
          <w:rFonts w:ascii="Times New Roman" w:hAnsi="Times New Roman" w:cs="Times New Roman"/>
        </w:rPr>
      </w:pPr>
      <w:r w:rsidRPr="00662E24">
        <w:rPr>
          <w:rFonts w:ascii="Times New Roman" w:hAnsi="Times New Roman" w:cs="Times New Roman"/>
        </w:rPr>
        <w:t>“In this Schedule “allowable deductions” means, subject to subparagraph (2), a deduction allowable under the Twenty-Second Schedule in respect of expenditure incurred”</w:t>
      </w:r>
    </w:p>
    <w:p w:rsidR="00662E24" w:rsidRPr="00662E24" w:rsidRDefault="00662E24" w:rsidP="00BD5135">
      <w:pPr>
        <w:autoSpaceDE w:val="0"/>
        <w:autoSpaceDN w:val="0"/>
        <w:adjustRightInd w:val="0"/>
        <w:spacing w:after="0" w:line="240" w:lineRule="auto"/>
        <w:ind w:left="720"/>
        <w:jc w:val="both"/>
        <w:rPr>
          <w:rFonts w:ascii="Times New Roman" w:hAnsi="Times New Roman" w:cs="Times New Roman"/>
        </w:rPr>
      </w:pPr>
    </w:p>
    <w:p w:rsidR="00750D42" w:rsidRPr="00662E24" w:rsidRDefault="00750D42" w:rsidP="00BD5135">
      <w:pPr>
        <w:autoSpaceDE w:val="0"/>
        <w:autoSpaceDN w:val="0"/>
        <w:adjustRightInd w:val="0"/>
        <w:spacing w:after="0" w:line="240" w:lineRule="auto"/>
        <w:ind w:firstLine="720"/>
        <w:jc w:val="both"/>
        <w:rPr>
          <w:rFonts w:ascii="Times New Roman" w:hAnsi="Times New Roman" w:cs="Times New Roman"/>
        </w:rPr>
      </w:pPr>
      <w:r w:rsidRPr="00662E24">
        <w:rPr>
          <w:rFonts w:ascii="Times New Roman" w:hAnsi="Times New Roman" w:cs="Times New Roman"/>
        </w:rPr>
        <w:t>Subparagraph (2) in turn states:</w:t>
      </w:r>
    </w:p>
    <w:p w:rsidR="00662E24" w:rsidRPr="00662E24" w:rsidRDefault="00662E24" w:rsidP="00BD5135">
      <w:pPr>
        <w:autoSpaceDE w:val="0"/>
        <w:autoSpaceDN w:val="0"/>
        <w:adjustRightInd w:val="0"/>
        <w:spacing w:after="0" w:line="240" w:lineRule="auto"/>
        <w:jc w:val="both"/>
        <w:rPr>
          <w:rFonts w:ascii="Times New Roman" w:hAnsi="Times New Roman" w:cs="Times New Roman"/>
        </w:rPr>
      </w:pPr>
    </w:p>
    <w:p w:rsidR="00750D42" w:rsidRPr="00662E24" w:rsidRDefault="00750D42" w:rsidP="00BD5135">
      <w:pPr>
        <w:autoSpaceDE w:val="0"/>
        <w:autoSpaceDN w:val="0"/>
        <w:adjustRightInd w:val="0"/>
        <w:spacing w:after="0" w:line="240" w:lineRule="auto"/>
        <w:jc w:val="both"/>
        <w:rPr>
          <w:rFonts w:ascii="Times New Roman" w:hAnsi="Times New Roman" w:cs="Times New Roman"/>
        </w:rPr>
      </w:pPr>
      <w:r w:rsidRPr="00662E24">
        <w:rPr>
          <w:rFonts w:ascii="Times New Roman" w:hAnsi="Times New Roman" w:cs="Times New Roman"/>
        </w:rPr>
        <w:lastRenderedPageBreak/>
        <w:tab/>
        <w:t>“(2) For the purposes of this Schedule, a deduction made in respect of—</w:t>
      </w:r>
    </w:p>
    <w:p w:rsidR="00750D42" w:rsidRPr="00662E24" w:rsidRDefault="00750D42" w:rsidP="00BD5135">
      <w:pPr>
        <w:autoSpaceDE w:val="0"/>
        <w:autoSpaceDN w:val="0"/>
        <w:adjustRightInd w:val="0"/>
        <w:spacing w:after="0" w:line="240" w:lineRule="auto"/>
        <w:ind w:left="2160" w:hanging="720"/>
        <w:jc w:val="both"/>
        <w:rPr>
          <w:rFonts w:ascii="Times New Roman" w:hAnsi="Times New Roman" w:cs="Times New Roman"/>
        </w:rPr>
      </w:pPr>
      <w:r w:rsidRPr="00662E24">
        <w:rPr>
          <w:rFonts w:ascii="Times New Roman" w:hAnsi="Times New Roman" w:cs="Times New Roman"/>
        </w:rPr>
        <w:t>(</w:t>
      </w:r>
      <w:r w:rsidRPr="00662E24">
        <w:rPr>
          <w:rFonts w:ascii="Times New Roman" w:hAnsi="Times New Roman" w:cs="Times New Roman"/>
          <w:i/>
          <w:iCs/>
        </w:rPr>
        <w:t>a</w:t>
      </w:r>
      <w:r w:rsidR="00FA17DC" w:rsidRPr="00662E24">
        <w:rPr>
          <w:rFonts w:ascii="Times New Roman" w:hAnsi="Times New Roman" w:cs="Times New Roman"/>
        </w:rPr>
        <w:t>)</w:t>
      </w:r>
      <w:r w:rsidR="00FA17DC" w:rsidRPr="00662E24">
        <w:rPr>
          <w:rFonts w:ascii="Times New Roman" w:hAnsi="Times New Roman" w:cs="Times New Roman"/>
        </w:rPr>
        <w:tab/>
      </w:r>
      <w:r w:rsidRPr="00662E24">
        <w:rPr>
          <w:rFonts w:ascii="Times New Roman" w:hAnsi="Times New Roman" w:cs="Times New Roman"/>
        </w:rPr>
        <w:t>expenditure of the kind referred to in subparagraph (</w:t>
      </w:r>
      <w:r w:rsidRPr="00662E24">
        <w:rPr>
          <w:rFonts w:ascii="Times New Roman" w:hAnsi="Times New Roman" w:cs="Times New Roman"/>
          <w:i/>
          <w:iCs/>
        </w:rPr>
        <w:t>b</w:t>
      </w:r>
      <w:r w:rsidRPr="00662E24">
        <w:rPr>
          <w:rFonts w:ascii="Times New Roman" w:hAnsi="Times New Roman" w:cs="Times New Roman"/>
        </w:rPr>
        <w:t>) subparagraph (1) of paragraph 4 of the</w:t>
      </w:r>
      <w:r w:rsidR="00FA17DC" w:rsidRPr="00662E24">
        <w:rPr>
          <w:rFonts w:ascii="Times New Roman" w:hAnsi="Times New Roman" w:cs="Times New Roman"/>
        </w:rPr>
        <w:t xml:space="preserve"> </w:t>
      </w:r>
      <w:r w:rsidRPr="00662E24">
        <w:rPr>
          <w:rFonts w:ascii="Times New Roman" w:hAnsi="Times New Roman" w:cs="Times New Roman"/>
        </w:rPr>
        <w:t>Twenty-Second Schedule; or</w:t>
      </w:r>
    </w:p>
    <w:p w:rsidR="00750D42" w:rsidRPr="00662E24" w:rsidRDefault="00750D42" w:rsidP="00BD5135">
      <w:pPr>
        <w:autoSpaceDE w:val="0"/>
        <w:autoSpaceDN w:val="0"/>
        <w:adjustRightInd w:val="0"/>
        <w:spacing w:after="0" w:line="240" w:lineRule="auto"/>
        <w:ind w:left="2160" w:hanging="720"/>
        <w:jc w:val="both"/>
        <w:rPr>
          <w:rFonts w:ascii="Times New Roman" w:hAnsi="Times New Roman" w:cs="Times New Roman"/>
        </w:rPr>
      </w:pPr>
      <w:r w:rsidRPr="006C1985">
        <w:rPr>
          <w:rFonts w:ascii="Times New Roman" w:hAnsi="Times New Roman" w:cs="Times New Roman"/>
          <w:sz w:val="24"/>
          <w:szCs w:val="24"/>
        </w:rPr>
        <w:t>(</w:t>
      </w:r>
      <w:r w:rsidRPr="006C1985">
        <w:rPr>
          <w:rFonts w:ascii="Times New Roman" w:hAnsi="Times New Roman" w:cs="Times New Roman"/>
          <w:i/>
          <w:iCs/>
          <w:sz w:val="24"/>
          <w:szCs w:val="24"/>
        </w:rPr>
        <w:t>b</w:t>
      </w:r>
      <w:r w:rsidRPr="006C1985">
        <w:rPr>
          <w:rFonts w:ascii="Times New Roman" w:hAnsi="Times New Roman" w:cs="Times New Roman"/>
          <w:sz w:val="24"/>
          <w:szCs w:val="24"/>
        </w:rPr>
        <w:t xml:space="preserve">) </w:t>
      </w:r>
      <w:r w:rsidR="00FA17DC" w:rsidRPr="006C1985">
        <w:rPr>
          <w:rFonts w:ascii="Times New Roman" w:hAnsi="Times New Roman" w:cs="Times New Roman"/>
          <w:sz w:val="24"/>
          <w:szCs w:val="24"/>
        </w:rPr>
        <w:tab/>
      </w:r>
      <w:proofErr w:type="gramStart"/>
      <w:r w:rsidRPr="00662E24">
        <w:rPr>
          <w:rFonts w:ascii="Times New Roman" w:hAnsi="Times New Roman" w:cs="Times New Roman"/>
        </w:rPr>
        <w:t>a</w:t>
      </w:r>
      <w:proofErr w:type="gramEnd"/>
      <w:r w:rsidRPr="00662E24">
        <w:rPr>
          <w:rFonts w:ascii="Times New Roman" w:hAnsi="Times New Roman" w:cs="Times New Roman"/>
        </w:rPr>
        <w:t xml:space="preserve"> training investment allowance referred to in subparagraph (</w:t>
      </w:r>
      <w:r w:rsidRPr="00662E24">
        <w:rPr>
          <w:rFonts w:ascii="Times New Roman" w:hAnsi="Times New Roman" w:cs="Times New Roman"/>
          <w:i/>
          <w:iCs/>
        </w:rPr>
        <w:t>f</w:t>
      </w:r>
      <w:r w:rsidRPr="00662E24">
        <w:rPr>
          <w:rFonts w:ascii="Times New Roman" w:hAnsi="Times New Roman" w:cs="Times New Roman"/>
        </w:rPr>
        <w:t>) of subparagraph (1) of paragraph</w:t>
      </w:r>
      <w:r w:rsidR="00FA17DC" w:rsidRPr="00662E24">
        <w:rPr>
          <w:rFonts w:ascii="Times New Roman" w:hAnsi="Times New Roman" w:cs="Times New Roman"/>
        </w:rPr>
        <w:t xml:space="preserve"> </w:t>
      </w:r>
      <w:r w:rsidRPr="00662E24">
        <w:rPr>
          <w:rFonts w:ascii="Times New Roman" w:hAnsi="Times New Roman" w:cs="Times New Roman"/>
        </w:rPr>
        <w:t>4 of the Twenty-Second Schedule; or</w:t>
      </w:r>
    </w:p>
    <w:p w:rsidR="00FA17DC" w:rsidRPr="00662E24" w:rsidRDefault="00750D42" w:rsidP="00BD5135">
      <w:pPr>
        <w:autoSpaceDE w:val="0"/>
        <w:autoSpaceDN w:val="0"/>
        <w:adjustRightInd w:val="0"/>
        <w:spacing w:after="0" w:line="240" w:lineRule="auto"/>
        <w:ind w:left="2160" w:hanging="720"/>
        <w:jc w:val="both"/>
        <w:rPr>
          <w:rFonts w:ascii="Times New Roman" w:hAnsi="Times New Roman" w:cs="Times New Roman"/>
        </w:rPr>
      </w:pPr>
      <w:r w:rsidRPr="00662E24">
        <w:rPr>
          <w:rFonts w:ascii="Times New Roman" w:hAnsi="Times New Roman" w:cs="Times New Roman"/>
        </w:rPr>
        <w:t>(</w:t>
      </w:r>
      <w:r w:rsidRPr="00662E24">
        <w:rPr>
          <w:rFonts w:ascii="Times New Roman" w:hAnsi="Times New Roman" w:cs="Times New Roman"/>
          <w:i/>
          <w:iCs/>
        </w:rPr>
        <w:t>c</w:t>
      </w:r>
      <w:r w:rsidRPr="00662E24">
        <w:rPr>
          <w:rFonts w:ascii="Times New Roman" w:hAnsi="Times New Roman" w:cs="Times New Roman"/>
        </w:rPr>
        <w:t xml:space="preserve">) </w:t>
      </w:r>
      <w:r w:rsidR="00FA17DC" w:rsidRPr="00662E24">
        <w:rPr>
          <w:rFonts w:ascii="Times New Roman" w:hAnsi="Times New Roman" w:cs="Times New Roman"/>
        </w:rPr>
        <w:tab/>
      </w:r>
      <w:proofErr w:type="gramStart"/>
      <w:r w:rsidRPr="00662E24">
        <w:rPr>
          <w:rFonts w:ascii="Times New Roman" w:hAnsi="Times New Roman" w:cs="Times New Roman"/>
        </w:rPr>
        <w:t>any</w:t>
      </w:r>
      <w:proofErr w:type="gramEnd"/>
      <w:r w:rsidRPr="00662E24">
        <w:rPr>
          <w:rFonts w:ascii="Times New Roman" w:hAnsi="Times New Roman" w:cs="Times New Roman"/>
        </w:rPr>
        <w:t xml:space="preserve"> capital redemption allowance referred to in paragraph 5 of the Twenty-Second Schedule;</w:t>
      </w:r>
      <w:r w:rsidR="00FA17DC" w:rsidRPr="00662E24">
        <w:rPr>
          <w:rFonts w:ascii="Times New Roman" w:hAnsi="Times New Roman" w:cs="Times New Roman"/>
        </w:rPr>
        <w:t xml:space="preserve"> </w:t>
      </w:r>
    </w:p>
    <w:p w:rsidR="00750D42" w:rsidRPr="00662E24" w:rsidRDefault="00750D42" w:rsidP="00BD5135">
      <w:pPr>
        <w:autoSpaceDE w:val="0"/>
        <w:autoSpaceDN w:val="0"/>
        <w:adjustRightInd w:val="0"/>
        <w:spacing w:after="0" w:line="240" w:lineRule="auto"/>
        <w:ind w:firstLine="720"/>
        <w:jc w:val="both"/>
        <w:rPr>
          <w:rFonts w:ascii="Times New Roman" w:hAnsi="Times New Roman" w:cs="Times New Roman"/>
        </w:rPr>
      </w:pPr>
      <w:proofErr w:type="gramStart"/>
      <w:r w:rsidRPr="00662E24">
        <w:rPr>
          <w:rFonts w:ascii="Times New Roman" w:hAnsi="Times New Roman" w:cs="Times New Roman"/>
        </w:rPr>
        <w:t>shall</w:t>
      </w:r>
      <w:proofErr w:type="gramEnd"/>
      <w:r w:rsidRPr="00662E24">
        <w:rPr>
          <w:rFonts w:ascii="Times New Roman" w:hAnsi="Times New Roman" w:cs="Times New Roman"/>
        </w:rPr>
        <w:t xml:space="preserve"> not be treated as an allowable deduction.</w:t>
      </w:r>
    </w:p>
    <w:p w:rsidR="00662E24" w:rsidRPr="00662E24" w:rsidRDefault="00662E24" w:rsidP="00BD5135">
      <w:pPr>
        <w:autoSpaceDE w:val="0"/>
        <w:autoSpaceDN w:val="0"/>
        <w:adjustRightInd w:val="0"/>
        <w:spacing w:after="0" w:line="240" w:lineRule="auto"/>
        <w:ind w:firstLine="720"/>
        <w:jc w:val="both"/>
        <w:rPr>
          <w:rFonts w:ascii="Times New Roman" w:hAnsi="Times New Roman" w:cs="Times New Roman"/>
        </w:rPr>
      </w:pPr>
    </w:p>
    <w:p w:rsidR="0047011B" w:rsidRPr="006C1985" w:rsidRDefault="009F1ED9" w:rsidP="007C5743">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6C1985">
        <w:rPr>
          <w:rFonts w:ascii="Times New Roman" w:hAnsi="Times New Roman" w:cs="Times New Roman"/>
          <w:sz w:val="24"/>
          <w:szCs w:val="24"/>
        </w:rPr>
        <w:t>Subpara</w:t>
      </w:r>
      <w:proofErr w:type="spellEnd"/>
      <w:r w:rsidRPr="006C1985">
        <w:rPr>
          <w:rFonts w:ascii="Times New Roman" w:hAnsi="Times New Roman" w:cs="Times New Roman"/>
          <w:sz w:val="24"/>
          <w:szCs w:val="24"/>
        </w:rPr>
        <w:t xml:space="preserve"> (2) specifically excludes </w:t>
      </w:r>
      <w:r w:rsidR="002B794F" w:rsidRPr="006C1985">
        <w:rPr>
          <w:rFonts w:ascii="Times New Roman" w:hAnsi="Times New Roman" w:cs="Times New Roman"/>
          <w:sz w:val="24"/>
          <w:szCs w:val="24"/>
        </w:rPr>
        <w:t xml:space="preserve">three deductions. The first is on </w:t>
      </w:r>
      <w:r w:rsidRPr="006C1985">
        <w:rPr>
          <w:rFonts w:ascii="Times New Roman" w:hAnsi="Times New Roman" w:cs="Times New Roman"/>
          <w:sz w:val="24"/>
          <w:szCs w:val="24"/>
        </w:rPr>
        <w:t>expenditure of the kind referred to in para 4 (1) (b) of the 22</w:t>
      </w:r>
      <w:r w:rsidRPr="006C1985">
        <w:rPr>
          <w:rFonts w:ascii="Times New Roman" w:hAnsi="Times New Roman" w:cs="Times New Roman"/>
          <w:sz w:val="24"/>
          <w:szCs w:val="24"/>
          <w:vertAlign w:val="superscript"/>
        </w:rPr>
        <w:t>nd</w:t>
      </w:r>
      <w:r w:rsidRPr="006C1985">
        <w:rPr>
          <w:rFonts w:ascii="Times New Roman" w:hAnsi="Times New Roman" w:cs="Times New Roman"/>
          <w:sz w:val="24"/>
          <w:szCs w:val="24"/>
        </w:rPr>
        <w:t xml:space="preserve"> Schedule, being “(</w:t>
      </w:r>
      <w:r w:rsidRPr="006C1985">
        <w:rPr>
          <w:rFonts w:ascii="Times New Roman" w:hAnsi="Times New Roman" w:cs="Times New Roman"/>
          <w:i/>
          <w:iCs/>
          <w:sz w:val="24"/>
          <w:szCs w:val="24"/>
        </w:rPr>
        <w:t>b</w:t>
      </w:r>
      <w:r w:rsidRPr="006C1985">
        <w:rPr>
          <w:rFonts w:ascii="Times New Roman" w:hAnsi="Times New Roman" w:cs="Times New Roman"/>
          <w:sz w:val="24"/>
          <w:szCs w:val="24"/>
        </w:rPr>
        <w:t>) expenditure incurred in that year in respect of interest on, or in borrowing or obtaining, a loan or other form of credit or financial accommodation”</w:t>
      </w:r>
      <w:r w:rsidR="002B794F" w:rsidRPr="006C1985">
        <w:rPr>
          <w:rFonts w:ascii="Times New Roman" w:hAnsi="Times New Roman" w:cs="Times New Roman"/>
          <w:sz w:val="24"/>
          <w:szCs w:val="24"/>
        </w:rPr>
        <w:t>. The second concerns a training investment allowance in para 4 (1) (f) of the 22</w:t>
      </w:r>
      <w:r w:rsidR="002B794F" w:rsidRPr="006C1985">
        <w:rPr>
          <w:rFonts w:ascii="Times New Roman" w:hAnsi="Times New Roman" w:cs="Times New Roman"/>
          <w:sz w:val="24"/>
          <w:szCs w:val="24"/>
          <w:vertAlign w:val="superscript"/>
        </w:rPr>
        <w:t>nd</w:t>
      </w:r>
      <w:r w:rsidR="002B794F" w:rsidRPr="006C1985">
        <w:rPr>
          <w:rFonts w:ascii="Times New Roman" w:hAnsi="Times New Roman" w:cs="Times New Roman"/>
          <w:sz w:val="24"/>
          <w:szCs w:val="24"/>
        </w:rPr>
        <w:t xml:space="preserve"> Schedule equivalent to fifty </w:t>
      </w:r>
      <w:r w:rsidR="002B794F" w:rsidRPr="006C1985">
        <w:rPr>
          <w:rFonts w:ascii="Times New Roman" w:hAnsi="Times New Roman" w:cs="Times New Roman"/>
          <w:i/>
          <w:sz w:val="24"/>
          <w:szCs w:val="24"/>
        </w:rPr>
        <w:t xml:space="preserve">per centum </w:t>
      </w:r>
      <w:r w:rsidR="002B794F" w:rsidRPr="006C1985">
        <w:rPr>
          <w:rFonts w:ascii="Times New Roman" w:hAnsi="Times New Roman" w:cs="Times New Roman"/>
          <w:sz w:val="24"/>
          <w:szCs w:val="24"/>
        </w:rPr>
        <w:t>of the cost to the holder of any training building, any addition or alteration to any training building or any training equipment brought into use in the year of assessment. The third and last exclusion relates to any capital redemption allowance in para 5 of the 22</w:t>
      </w:r>
      <w:r w:rsidR="002B794F" w:rsidRPr="006C1985">
        <w:rPr>
          <w:rFonts w:ascii="Times New Roman" w:hAnsi="Times New Roman" w:cs="Times New Roman"/>
          <w:sz w:val="24"/>
          <w:szCs w:val="24"/>
          <w:vertAlign w:val="superscript"/>
        </w:rPr>
        <w:t>nd</w:t>
      </w:r>
      <w:r w:rsidR="002B794F" w:rsidRPr="006C1985">
        <w:rPr>
          <w:rFonts w:ascii="Times New Roman" w:hAnsi="Times New Roman" w:cs="Times New Roman"/>
          <w:sz w:val="24"/>
          <w:szCs w:val="24"/>
        </w:rPr>
        <w:t xml:space="preserve"> Schedule</w:t>
      </w:r>
      <w:r w:rsidR="007C5743">
        <w:rPr>
          <w:rFonts w:ascii="Times New Roman" w:hAnsi="Times New Roman" w:cs="Times New Roman"/>
          <w:sz w:val="24"/>
          <w:szCs w:val="24"/>
        </w:rPr>
        <w:t>.</w:t>
      </w:r>
      <w:r w:rsidR="002F5666" w:rsidRPr="006C1985">
        <w:rPr>
          <w:rFonts w:ascii="Times New Roman" w:hAnsi="Times New Roman" w:cs="Times New Roman"/>
          <w:sz w:val="24"/>
          <w:szCs w:val="24"/>
        </w:rPr>
        <w:t xml:space="preserve"> </w:t>
      </w:r>
    </w:p>
    <w:p w:rsidR="00986856" w:rsidRPr="006C1985" w:rsidRDefault="009015B1"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The definition of an assessed loss for a hold</w:t>
      </w:r>
      <w:r w:rsidR="00177623">
        <w:rPr>
          <w:rFonts w:ascii="Times New Roman" w:hAnsi="Times New Roman" w:cs="Times New Roman"/>
          <w:sz w:val="24"/>
          <w:szCs w:val="24"/>
        </w:rPr>
        <w:t xml:space="preserve">er of a special mining lease </w:t>
      </w:r>
      <w:r w:rsidRPr="006C1985">
        <w:rPr>
          <w:rFonts w:ascii="Times New Roman" w:hAnsi="Times New Roman" w:cs="Times New Roman"/>
          <w:sz w:val="24"/>
          <w:szCs w:val="24"/>
        </w:rPr>
        <w:t xml:space="preserve">as set out in </w:t>
      </w:r>
      <w:r w:rsidR="0066799C" w:rsidRPr="006C1985">
        <w:rPr>
          <w:rFonts w:ascii="Times New Roman" w:hAnsi="Times New Roman" w:cs="Times New Roman"/>
          <w:sz w:val="24"/>
          <w:szCs w:val="24"/>
        </w:rPr>
        <w:t xml:space="preserve">para 2 </w:t>
      </w:r>
      <w:r w:rsidRPr="006C1985">
        <w:rPr>
          <w:rFonts w:ascii="Times New Roman" w:hAnsi="Times New Roman" w:cs="Times New Roman"/>
          <w:sz w:val="24"/>
          <w:szCs w:val="24"/>
        </w:rPr>
        <w:t xml:space="preserve">the </w:t>
      </w:r>
      <w:r w:rsidR="00B651CD" w:rsidRPr="006C1985">
        <w:rPr>
          <w:rFonts w:ascii="Times New Roman" w:hAnsi="Times New Roman" w:cs="Times New Roman"/>
          <w:sz w:val="24"/>
          <w:szCs w:val="24"/>
        </w:rPr>
        <w:t>22</w:t>
      </w:r>
      <w:r w:rsidR="00B651CD" w:rsidRPr="006C1985">
        <w:rPr>
          <w:rFonts w:ascii="Times New Roman" w:hAnsi="Times New Roman" w:cs="Times New Roman"/>
          <w:sz w:val="24"/>
          <w:szCs w:val="24"/>
          <w:vertAlign w:val="superscript"/>
        </w:rPr>
        <w:t>nd</w:t>
      </w:r>
      <w:r w:rsidR="00B651CD" w:rsidRPr="006C1985">
        <w:rPr>
          <w:rFonts w:ascii="Times New Roman" w:hAnsi="Times New Roman" w:cs="Times New Roman"/>
          <w:sz w:val="24"/>
          <w:szCs w:val="24"/>
        </w:rPr>
        <w:t xml:space="preserve"> Schedule</w:t>
      </w:r>
      <w:r w:rsidR="0066799C" w:rsidRPr="006C1985">
        <w:rPr>
          <w:rFonts w:ascii="Times New Roman" w:hAnsi="Times New Roman" w:cs="Times New Roman"/>
          <w:sz w:val="24"/>
          <w:szCs w:val="24"/>
        </w:rPr>
        <w:t xml:space="preserve"> as an antonym of taxable income.  Taxable income under both the 22</w:t>
      </w:r>
      <w:r w:rsidR="0066799C" w:rsidRPr="006C1985">
        <w:rPr>
          <w:rFonts w:ascii="Times New Roman" w:hAnsi="Times New Roman" w:cs="Times New Roman"/>
          <w:sz w:val="24"/>
          <w:szCs w:val="24"/>
          <w:vertAlign w:val="superscript"/>
        </w:rPr>
        <w:t>nd</w:t>
      </w:r>
      <w:r w:rsidR="0066799C" w:rsidRPr="006C1985">
        <w:rPr>
          <w:rFonts w:ascii="Times New Roman" w:hAnsi="Times New Roman" w:cs="Times New Roman"/>
          <w:sz w:val="24"/>
          <w:szCs w:val="24"/>
        </w:rPr>
        <w:t xml:space="preserve"> Schedule and 23</w:t>
      </w:r>
      <w:r w:rsidR="0066799C" w:rsidRPr="006C1985">
        <w:rPr>
          <w:rFonts w:ascii="Times New Roman" w:hAnsi="Times New Roman" w:cs="Times New Roman"/>
          <w:sz w:val="24"/>
          <w:szCs w:val="24"/>
          <w:vertAlign w:val="superscript"/>
        </w:rPr>
        <w:t>rd</w:t>
      </w:r>
      <w:r w:rsidR="00177623">
        <w:rPr>
          <w:rFonts w:ascii="Times New Roman" w:hAnsi="Times New Roman" w:cs="Times New Roman"/>
          <w:sz w:val="24"/>
          <w:szCs w:val="24"/>
        </w:rPr>
        <w:t xml:space="preserve"> Schedule is</w:t>
      </w:r>
      <w:r w:rsidR="0066799C" w:rsidRPr="006C1985">
        <w:rPr>
          <w:rFonts w:ascii="Times New Roman" w:hAnsi="Times New Roman" w:cs="Times New Roman"/>
          <w:sz w:val="24"/>
          <w:szCs w:val="24"/>
        </w:rPr>
        <w:t xml:space="preserve"> defined by reference to para 2 of the 22</w:t>
      </w:r>
      <w:r w:rsidR="0066799C" w:rsidRPr="006C1985">
        <w:rPr>
          <w:rFonts w:ascii="Times New Roman" w:hAnsi="Times New Roman" w:cs="Times New Roman"/>
          <w:sz w:val="24"/>
          <w:szCs w:val="24"/>
          <w:vertAlign w:val="superscript"/>
        </w:rPr>
        <w:t>nd</w:t>
      </w:r>
      <w:r w:rsidR="0066799C" w:rsidRPr="006C1985">
        <w:rPr>
          <w:rFonts w:ascii="Times New Roman" w:hAnsi="Times New Roman" w:cs="Times New Roman"/>
          <w:sz w:val="24"/>
          <w:szCs w:val="24"/>
        </w:rPr>
        <w:t xml:space="preserve"> Schedule. </w:t>
      </w:r>
      <w:r w:rsidRPr="006C1985">
        <w:rPr>
          <w:rFonts w:ascii="Times New Roman" w:hAnsi="Times New Roman" w:cs="Times New Roman"/>
          <w:sz w:val="24"/>
          <w:szCs w:val="24"/>
        </w:rPr>
        <w:t xml:space="preserve"> </w:t>
      </w:r>
      <w:r w:rsidR="0066799C" w:rsidRPr="006C1985">
        <w:rPr>
          <w:rFonts w:ascii="Times New Roman" w:hAnsi="Times New Roman" w:cs="Times New Roman"/>
          <w:sz w:val="24"/>
          <w:szCs w:val="24"/>
        </w:rPr>
        <w:t>Para 2 states:</w:t>
      </w:r>
    </w:p>
    <w:p w:rsidR="0066799C" w:rsidRPr="000A58B5" w:rsidRDefault="0066799C" w:rsidP="00BD5135">
      <w:pPr>
        <w:autoSpaceDE w:val="0"/>
        <w:autoSpaceDN w:val="0"/>
        <w:adjustRightInd w:val="0"/>
        <w:spacing w:after="0" w:line="240" w:lineRule="auto"/>
        <w:ind w:left="720"/>
        <w:jc w:val="both"/>
        <w:rPr>
          <w:rFonts w:ascii="Times New Roman" w:hAnsi="Times New Roman" w:cs="Times New Roman"/>
        </w:rPr>
      </w:pPr>
      <w:r w:rsidRPr="000A58B5">
        <w:rPr>
          <w:rFonts w:ascii="Times New Roman" w:hAnsi="Times New Roman" w:cs="Times New Roman"/>
        </w:rPr>
        <w:t>“2. The taxable income or, as the case may be, the assessed loss accruing to the holder of a special mining lease in a year of assessment shall be the difference, if any, between the income attributable to special mining lease operations accruing to him in that year and the sum of his allowable deductions for that year; and that difference, if any, is a taxable income if the income so attributable is greater than the sum of those allowable deductions, and is otherwise an assessed loss.”</w:t>
      </w:r>
    </w:p>
    <w:p w:rsidR="00566566" w:rsidRPr="006C1985" w:rsidRDefault="00566566" w:rsidP="00BD5135">
      <w:pPr>
        <w:autoSpaceDE w:val="0"/>
        <w:autoSpaceDN w:val="0"/>
        <w:adjustRightInd w:val="0"/>
        <w:spacing w:after="0" w:line="240" w:lineRule="auto"/>
        <w:jc w:val="both"/>
        <w:rPr>
          <w:rFonts w:ascii="Times New Roman" w:hAnsi="Times New Roman" w:cs="Times New Roman"/>
          <w:sz w:val="24"/>
          <w:szCs w:val="24"/>
        </w:rPr>
      </w:pPr>
    </w:p>
    <w:p w:rsidR="00B47C5B" w:rsidRPr="006C1985" w:rsidRDefault="0066799C"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It is apparent from the definition that an assessed loss is the negative balance </w:t>
      </w:r>
      <w:r w:rsidR="000C4F72" w:rsidRPr="006C1985">
        <w:rPr>
          <w:rFonts w:ascii="Times New Roman" w:hAnsi="Times New Roman" w:cs="Times New Roman"/>
          <w:sz w:val="24"/>
          <w:szCs w:val="24"/>
        </w:rPr>
        <w:t xml:space="preserve">that accrues to the holder of a special mining lease after making all permissible deductions </w:t>
      </w:r>
      <w:r w:rsidR="00821514" w:rsidRPr="006C1985">
        <w:rPr>
          <w:rFonts w:ascii="Times New Roman" w:hAnsi="Times New Roman" w:cs="Times New Roman"/>
          <w:sz w:val="24"/>
          <w:szCs w:val="24"/>
        </w:rPr>
        <w:t xml:space="preserve">from </w:t>
      </w:r>
      <w:r w:rsidR="000C4F72" w:rsidRPr="006C1985">
        <w:rPr>
          <w:rFonts w:ascii="Times New Roman" w:hAnsi="Times New Roman" w:cs="Times New Roman"/>
          <w:sz w:val="24"/>
          <w:szCs w:val="24"/>
        </w:rPr>
        <w:t>the income attributed to the holder for the particular year of assessment. For income tax liability under s 22 of the Income Tax Act, the holder is , by virtue of para 4 (5) of the 22</w:t>
      </w:r>
      <w:r w:rsidR="000C4F72" w:rsidRPr="006C1985">
        <w:rPr>
          <w:rFonts w:ascii="Times New Roman" w:hAnsi="Times New Roman" w:cs="Times New Roman"/>
          <w:sz w:val="24"/>
          <w:szCs w:val="24"/>
          <w:vertAlign w:val="superscript"/>
        </w:rPr>
        <w:t>nd</w:t>
      </w:r>
      <w:r w:rsidR="000C4F72" w:rsidRPr="006C1985">
        <w:rPr>
          <w:rFonts w:ascii="Times New Roman" w:hAnsi="Times New Roman" w:cs="Times New Roman"/>
          <w:sz w:val="24"/>
          <w:szCs w:val="24"/>
        </w:rPr>
        <w:t xml:space="preserve"> Schedule, allowed to deduct any assessed loss incurred by him for the preceding year from the income of the current year.</w:t>
      </w:r>
      <w:r w:rsidR="00B47C5B" w:rsidRPr="006C1985">
        <w:rPr>
          <w:rFonts w:ascii="Times New Roman" w:hAnsi="Times New Roman" w:cs="Times New Roman"/>
          <w:sz w:val="24"/>
          <w:szCs w:val="24"/>
        </w:rPr>
        <w:t xml:space="preserve"> What this entails is that in the current year the assessed loss carried forward would have been deducted to arrive at the final figure constituting taxable income deductible under para 2 (3) (b) of the 23</w:t>
      </w:r>
      <w:r w:rsidR="00B47C5B" w:rsidRPr="006C1985">
        <w:rPr>
          <w:rFonts w:ascii="Times New Roman" w:hAnsi="Times New Roman" w:cs="Times New Roman"/>
          <w:sz w:val="24"/>
          <w:szCs w:val="24"/>
          <w:vertAlign w:val="superscript"/>
        </w:rPr>
        <w:t>rd</w:t>
      </w:r>
      <w:r w:rsidR="00B47C5B" w:rsidRPr="006C1985">
        <w:rPr>
          <w:rFonts w:ascii="Times New Roman" w:hAnsi="Times New Roman" w:cs="Times New Roman"/>
          <w:sz w:val="24"/>
          <w:szCs w:val="24"/>
        </w:rPr>
        <w:t xml:space="preserve"> Schedule</w:t>
      </w:r>
      <w:r w:rsidR="00B87A9A">
        <w:rPr>
          <w:rFonts w:ascii="Times New Roman" w:hAnsi="Times New Roman" w:cs="Times New Roman"/>
          <w:sz w:val="24"/>
          <w:szCs w:val="24"/>
        </w:rPr>
        <w:t>.</w:t>
      </w:r>
      <w:r w:rsidR="00B47C5B" w:rsidRPr="006C1985">
        <w:rPr>
          <w:rFonts w:ascii="Times New Roman" w:hAnsi="Times New Roman" w:cs="Times New Roman"/>
          <w:sz w:val="24"/>
          <w:szCs w:val="24"/>
        </w:rPr>
        <w:t xml:space="preserve"> </w:t>
      </w:r>
    </w:p>
    <w:p w:rsidR="00A16A48" w:rsidRPr="006C1985" w:rsidRDefault="00A16A48" w:rsidP="00BD5135">
      <w:pPr>
        <w:autoSpaceDE w:val="0"/>
        <w:autoSpaceDN w:val="0"/>
        <w:adjustRightInd w:val="0"/>
        <w:spacing w:after="0" w:line="240" w:lineRule="auto"/>
        <w:jc w:val="both"/>
        <w:rPr>
          <w:rFonts w:ascii="Times New Roman" w:hAnsi="Times New Roman" w:cs="Times New Roman"/>
          <w:sz w:val="24"/>
          <w:szCs w:val="24"/>
        </w:rPr>
      </w:pPr>
    </w:p>
    <w:p w:rsidR="006818D0" w:rsidRDefault="006818D0" w:rsidP="00BD5135">
      <w:pPr>
        <w:autoSpaceDE w:val="0"/>
        <w:autoSpaceDN w:val="0"/>
        <w:adjustRightInd w:val="0"/>
        <w:spacing w:after="0" w:line="240" w:lineRule="auto"/>
        <w:jc w:val="both"/>
        <w:rPr>
          <w:rFonts w:ascii="Times New Roman" w:hAnsi="Times New Roman" w:cs="Times New Roman"/>
          <w:sz w:val="24"/>
          <w:szCs w:val="24"/>
          <w:u w:val="single"/>
        </w:rPr>
      </w:pPr>
    </w:p>
    <w:p w:rsidR="006818D0" w:rsidRDefault="006818D0" w:rsidP="00BD5135">
      <w:pPr>
        <w:autoSpaceDE w:val="0"/>
        <w:autoSpaceDN w:val="0"/>
        <w:adjustRightInd w:val="0"/>
        <w:spacing w:after="0" w:line="240" w:lineRule="auto"/>
        <w:jc w:val="both"/>
        <w:rPr>
          <w:rFonts w:ascii="Times New Roman" w:hAnsi="Times New Roman" w:cs="Times New Roman"/>
          <w:sz w:val="24"/>
          <w:szCs w:val="24"/>
          <w:u w:val="single"/>
        </w:rPr>
      </w:pPr>
    </w:p>
    <w:p w:rsidR="006818D0" w:rsidRDefault="006818D0" w:rsidP="00BD5135">
      <w:pPr>
        <w:autoSpaceDE w:val="0"/>
        <w:autoSpaceDN w:val="0"/>
        <w:adjustRightInd w:val="0"/>
        <w:spacing w:after="0" w:line="240" w:lineRule="auto"/>
        <w:jc w:val="both"/>
        <w:rPr>
          <w:rFonts w:ascii="Times New Roman" w:hAnsi="Times New Roman" w:cs="Times New Roman"/>
          <w:sz w:val="24"/>
          <w:szCs w:val="24"/>
          <w:u w:val="single"/>
        </w:rPr>
      </w:pPr>
    </w:p>
    <w:p w:rsidR="00A16A48" w:rsidRPr="006C1985" w:rsidRDefault="00A16A48" w:rsidP="00BD5135">
      <w:pPr>
        <w:autoSpaceDE w:val="0"/>
        <w:autoSpaceDN w:val="0"/>
        <w:adjustRightInd w:val="0"/>
        <w:spacing w:after="0" w:line="240" w:lineRule="auto"/>
        <w:jc w:val="both"/>
        <w:rPr>
          <w:rFonts w:ascii="Times New Roman" w:hAnsi="Times New Roman" w:cs="Times New Roman"/>
          <w:sz w:val="24"/>
          <w:szCs w:val="24"/>
          <w:u w:val="single"/>
        </w:rPr>
      </w:pPr>
      <w:r w:rsidRPr="006C1985">
        <w:rPr>
          <w:rFonts w:ascii="Times New Roman" w:hAnsi="Times New Roman" w:cs="Times New Roman"/>
          <w:sz w:val="24"/>
          <w:szCs w:val="24"/>
          <w:u w:val="single"/>
        </w:rPr>
        <w:lastRenderedPageBreak/>
        <w:t>The legal submissions</w:t>
      </w:r>
    </w:p>
    <w:p w:rsidR="000A3C43" w:rsidRPr="006C1985" w:rsidRDefault="00B47C5B" w:rsidP="00BD5135">
      <w:pPr>
        <w:autoSpaceDE w:val="0"/>
        <w:autoSpaceDN w:val="0"/>
        <w:adjustRightInd w:val="0"/>
        <w:spacing w:after="0" w:line="240" w:lineRule="auto"/>
        <w:jc w:val="both"/>
        <w:rPr>
          <w:rFonts w:ascii="Times New Roman" w:hAnsi="Times New Roman" w:cs="Times New Roman"/>
          <w:sz w:val="24"/>
          <w:szCs w:val="24"/>
        </w:rPr>
      </w:pPr>
      <w:r w:rsidRPr="006C1985">
        <w:rPr>
          <w:rFonts w:ascii="Times New Roman" w:hAnsi="Times New Roman" w:cs="Times New Roman"/>
          <w:sz w:val="24"/>
          <w:szCs w:val="24"/>
        </w:rPr>
        <w:t xml:space="preserve"> </w:t>
      </w:r>
    </w:p>
    <w:p w:rsidR="00B22A7A" w:rsidRPr="006C1985" w:rsidRDefault="00A16A48"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Mr </w:t>
      </w:r>
      <w:r w:rsidRPr="006C1985">
        <w:rPr>
          <w:rFonts w:ascii="Times New Roman" w:hAnsi="Times New Roman" w:cs="Times New Roman"/>
          <w:i/>
          <w:sz w:val="24"/>
          <w:szCs w:val="24"/>
        </w:rPr>
        <w:t>de Bourbon</w:t>
      </w:r>
      <w:r w:rsidRPr="006C1985">
        <w:rPr>
          <w:rFonts w:ascii="Times New Roman" w:hAnsi="Times New Roman" w:cs="Times New Roman"/>
          <w:sz w:val="24"/>
          <w:szCs w:val="24"/>
        </w:rPr>
        <w:t xml:space="preserve"> for the appellant submitted that all the deductions allowed under the 22</w:t>
      </w:r>
      <w:r w:rsidRPr="006C1985">
        <w:rPr>
          <w:rFonts w:ascii="Times New Roman" w:hAnsi="Times New Roman" w:cs="Times New Roman"/>
          <w:sz w:val="24"/>
          <w:szCs w:val="24"/>
          <w:vertAlign w:val="superscript"/>
        </w:rPr>
        <w:t>nd</w:t>
      </w:r>
      <w:r w:rsidRPr="006C1985">
        <w:rPr>
          <w:rFonts w:ascii="Times New Roman" w:hAnsi="Times New Roman" w:cs="Times New Roman"/>
          <w:sz w:val="24"/>
          <w:szCs w:val="24"/>
        </w:rPr>
        <w:t xml:space="preserve"> Schedule </w:t>
      </w:r>
      <w:r w:rsidR="00F21759" w:rsidRPr="006C1985">
        <w:rPr>
          <w:rFonts w:ascii="Times New Roman" w:hAnsi="Times New Roman" w:cs="Times New Roman"/>
          <w:sz w:val="24"/>
          <w:szCs w:val="24"/>
        </w:rPr>
        <w:t>except for the three that are expressly excluded  under para 1 (2) of the 23</w:t>
      </w:r>
      <w:r w:rsidR="00F21759" w:rsidRPr="006C1985">
        <w:rPr>
          <w:rFonts w:ascii="Times New Roman" w:hAnsi="Times New Roman" w:cs="Times New Roman"/>
          <w:sz w:val="24"/>
          <w:szCs w:val="24"/>
          <w:vertAlign w:val="superscript"/>
        </w:rPr>
        <w:t>rd</w:t>
      </w:r>
      <w:r w:rsidR="00F21759" w:rsidRPr="006C1985">
        <w:rPr>
          <w:rFonts w:ascii="Times New Roman" w:hAnsi="Times New Roman" w:cs="Times New Roman"/>
          <w:sz w:val="24"/>
          <w:szCs w:val="24"/>
        </w:rPr>
        <w:t xml:space="preserve"> Schedule are also deductible in the computation of net cash receipts under the 23</w:t>
      </w:r>
      <w:r w:rsidR="00F21759" w:rsidRPr="006C1985">
        <w:rPr>
          <w:rFonts w:ascii="Times New Roman" w:hAnsi="Times New Roman" w:cs="Times New Roman"/>
          <w:sz w:val="24"/>
          <w:szCs w:val="24"/>
          <w:vertAlign w:val="superscript"/>
        </w:rPr>
        <w:t>rd</w:t>
      </w:r>
      <w:r w:rsidR="00F21759" w:rsidRPr="006C1985">
        <w:rPr>
          <w:rFonts w:ascii="Times New Roman" w:hAnsi="Times New Roman" w:cs="Times New Roman"/>
          <w:sz w:val="24"/>
          <w:szCs w:val="24"/>
        </w:rPr>
        <w:t xml:space="preserve"> Schedule. Mr </w:t>
      </w:r>
      <w:proofErr w:type="spellStart"/>
      <w:r w:rsidR="00F21759" w:rsidRPr="006C1985">
        <w:rPr>
          <w:rFonts w:ascii="Times New Roman" w:hAnsi="Times New Roman" w:cs="Times New Roman"/>
          <w:i/>
          <w:sz w:val="24"/>
          <w:szCs w:val="24"/>
        </w:rPr>
        <w:t>Magwaliba</w:t>
      </w:r>
      <w:proofErr w:type="spellEnd"/>
      <w:r w:rsidR="00F21759" w:rsidRPr="006C1985">
        <w:rPr>
          <w:rFonts w:ascii="Times New Roman" w:hAnsi="Times New Roman" w:cs="Times New Roman"/>
          <w:sz w:val="24"/>
          <w:szCs w:val="24"/>
        </w:rPr>
        <w:t xml:space="preserve"> for the respondent contended that the </w:t>
      </w:r>
      <w:r w:rsidR="00832C9D" w:rsidRPr="006C1985">
        <w:rPr>
          <w:rFonts w:ascii="Times New Roman" w:hAnsi="Times New Roman" w:cs="Times New Roman"/>
          <w:sz w:val="24"/>
          <w:szCs w:val="24"/>
        </w:rPr>
        <w:t>“allowable deductions” contemplated in para 2(3) and “a deduction allowable” envisaged by para 1 (1) of the 23</w:t>
      </w:r>
      <w:r w:rsidR="00832C9D" w:rsidRPr="006C1985">
        <w:rPr>
          <w:rFonts w:ascii="Times New Roman" w:hAnsi="Times New Roman" w:cs="Times New Roman"/>
          <w:sz w:val="24"/>
          <w:szCs w:val="24"/>
          <w:vertAlign w:val="superscript"/>
        </w:rPr>
        <w:t>rd</w:t>
      </w:r>
      <w:r w:rsidR="00832C9D" w:rsidRPr="006C1985">
        <w:rPr>
          <w:rFonts w:ascii="Times New Roman" w:hAnsi="Times New Roman" w:cs="Times New Roman"/>
          <w:sz w:val="24"/>
          <w:szCs w:val="24"/>
        </w:rPr>
        <w:t xml:space="preserve"> Schedule are both circumscribed by the deliberate use of the phrase “expenditure incurred”.  Mr </w:t>
      </w:r>
      <w:proofErr w:type="spellStart"/>
      <w:r w:rsidR="00832C9D" w:rsidRPr="006C1985">
        <w:rPr>
          <w:rFonts w:ascii="Times New Roman" w:hAnsi="Times New Roman" w:cs="Times New Roman"/>
          <w:i/>
          <w:sz w:val="24"/>
          <w:szCs w:val="24"/>
        </w:rPr>
        <w:t>Magwaliba</w:t>
      </w:r>
      <w:proofErr w:type="spellEnd"/>
      <w:r w:rsidR="00832C9D" w:rsidRPr="006C1985">
        <w:rPr>
          <w:rFonts w:ascii="Times New Roman" w:hAnsi="Times New Roman" w:cs="Times New Roman"/>
          <w:sz w:val="24"/>
          <w:szCs w:val="24"/>
        </w:rPr>
        <w:t xml:space="preserve"> submitted on the authority of </w:t>
      </w:r>
      <w:r w:rsidR="00CD4800" w:rsidRPr="006C1985">
        <w:rPr>
          <w:rFonts w:ascii="Times New Roman" w:hAnsi="Times New Roman" w:cs="Times New Roman"/>
          <w:i/>
          <w:sz w:val="24"/>
          <w:szCs w:val="24"/>
        </w:rPr>
        <w:t xml:space="preserve">Port Elizabeth Electric Tramway </w:t>
      </w:r>
      <w:r w:rsidR="00CD4800" w:rsidRPr="000A58B5">
        <w:rPr>
          <w:rFonts w:ascii="Times New Roman" w:hAnsi="Times New Roman" w:cs="Times New Roman"/>
          <w:sz w:val="24"/>
          <w:szCs w:val="24"/>
        </w:rPr>
        <w:t xml:space="preserve">v </w:t>
      </w:r>
      <w:r w:rsidR="00CD4800" w:rsidRPr="006C1985">
        <w:rPr>
          <w:rFonts w:ascii="Times New Roman" w:hAnsi="Times New Roman" w:cs="Times New Roman"/>
          <w:i/>
          <w:sz w:val="24"/>
          <w:szCs w:val="24"/>
        </w:rPr>
        <w:t xml:space="preserve">CIR </w:t>
      </w:r>
      <w:r w:rsidR="00944F4F" w:rsidRPr="006C1985">
        <w:rPr>
          <w:rFonts w:ascii="Times New Roman" w:hAnsi="Times New Roman" w:cs="Times New Roman"/>
          <w:sz w:val="24"/>
          <w:szCs w:val="24"/>
        </w:rPr>
        <w:t xml:space="preserve">8 SATC 13; </w:t>
      </w:r>
      <w:r w:rsidR="00CD4800" w:rsidRPr="006C1985">
        <w:rPr>
          <w:rFonts w:ascii="Times New Roman" w:hAnsi="Times New Roman" w:cs="Times New Roman"/>
          <w:sz w:val="24"/>
          <w:szCs w:val="24"/>
        </w:rPr>
        <w:t xml:space="preserve">1936 CPD 241 at </w:t>
      </w:r>
      <w:r w:rsidR="00944F4F" w:rsidRPr="006C1985">
        <w:rPr>
          <w:rFonts w:ascii="Times New Roman" w:hAnsi="Times New Roman" w:cs="Times New Roman"/>
          <w:sz w:val="24"/>
          <w:szCs w:val="24"/>
        </w:rPr>
        <w:t>243-244</w:t>
      </w:r>
      <w:r w:rsidR="00CD4800" w:rsidRPr="006C1985">
        <w:rPr>
          <w:rFonts w:ascii="Times New Roman" w:hAnsi="Times New Roman" w:cs="Times New Roman"/>
          <w:sz w:val="24"/>
          <w:szCs w:val="24"/>
        </w:rPr>
        <w:t xml:space="preserve"> </w:t>
      </w:r>
      <w:r w:rsidR="00B22A7A" w:rsidRPr="006C1985">
        <w:rPr>
          <w:rFonts w:ascii="Times New Roman" w:hAnsi="Times New Roman" w:cs="Times New Roman"/>
          <w:sz w:val="24"/>
          <w:szCs w:val="24"/>
        </w:rPr>
        <w:t xml:space="preserve">cited with approval in </w:t>
      </w:r>
      <w:r w:rsidR="00B22A7A" w:rsidRPr="006C1985">
        <w:rPr>
          <w:rFonts w:ascii="Times New Roman" w:hAnsi="Times New Roman" w:cs="Times New Roman"/>
          <w:i/>
          <w:sz w:val="24"/>
          <w:szCs w:val="24"/>
        </w:rPr>
        <w:t xml:space="preserve">Income Tax  Case No. 628 </w:t>
      </w:r>
      <w:r w:rsidR="00B22A7A" w:rsidRPr="006C1985">
        <w:rPr>
          <w:rFonts w:ascii="Times New Roman" w:hAnsi="Times New Roman" w:cs="Times New Roman"/>
          <w:sz w:val="24"/>
          <w:szCs w:val="24"/>
        </w:rPr>
        <w:t xml:space="preserve">(1946) 15 SATC 90 at p 91 </w:t>
      </w:r>
      <w:r w:rsidR="00CD4800" w:rsidRPr="006C1985">
        <w:rPr>
          <w:rFonts w:ascii="Times New Roman" w:hAnsi="Times New Roman" w:cs="Times New Roman"/>
          <w:sz w:val="24"/>
          <w:szCs w:val="24"/>
        </w:rPr>
        <w:t>that expenditure incurred is distinct and separate from los</w:t>
      </w:r>
      <w:r w:rsidR="00B22A7A" w:rsidRPr="006C1985">
        <w:rPr>
          <w:rFonts w:ascii="Times New Roman" w:hAnsi="Times New Roman" w:cs="Times New Roman"/>
          <w:sz w:val="24"/>
          <w:szCs w:val="24"/>
        </w:rPr>
        <w:t>s</w:t>
      </w:r>
      <w:r w:rsidR="00CD4800" w:rsidRPr="006C1985">
        <w:rPr>
          <w:rFonts w:ascii="Times New Roman" w:hAnsi="Times New Roman" w:cs="Times New Roman"/>
          <w:sz w:val="24"/>
          <w:szCs w:val="24"/>
        </w:rPr>
        <w:t xml:space="preserve">es incurred. </w:t>
      </w:r>
      <w:r w:rsidR="00832C9D" w:rsidRPr="006C1985">
        <w:rPr>
          <w:rFonts w:ascii="Times New Roman" w:hAnsi="Times New Roman" w:cs="Times New Roman"/>
          <w:sz w:val="24"/>
          <w:szCs w:val="24"/>
        </w:rPr>
        <w:t xml:space="preserve"> </w:t>
      </w:r>
      <w:proofErr w:type="spellStart"/>
      <w:r w:rsidR="00B22A7A" w:rsidRPr="006C1985">
        <w:rPr>
          <w:rFonts w:ascii="Times New Roman" w:hAnsi="Times New Roman" w:cs="Times New Roman"/>
          <w:sz w:val="24"/>
          <w:szCs w:val="24"/>
        </w:rPr>
        <w:t>Watermeyer</w:t>
      </w:r>
      <w:proofErr w:type="spellEnd"/>
      <w:r w:rsidR="00B22A7A" w:rsidRPr="006C1985">
        <w:rPr>
          <w:rFonts w:ascii="Times New Roman" w:hAnsi="Times New Roman" w:cs="Times New Roman"/>
          <w:sz w:val="24"/>
          <w:szCs w:val="24"/>
        </w:rPr>
        <w:t xml:space="preserve"> AJP reasoned that:</w:t>
      </w:r>
    </w:p>
    <w:p w:rsidR="00503BA6" w:rsidRDefault="00B22A7A" w:rsidP="00BD5135">
      <w:pPr>
        <w:autoSpaceDE w:val="0"/>
        <w:autoSpaceDN w:val="0"/>
        <w:adjustRightInd w:val="0"/>
        <w:spacing w:after="0" w:line="240" w:lineRule="auto"/>
        <w:ind w:left="720"/>
        <w:jc w:val="both"/>
        <w:rPr>
          <w:rFonts w:ascii="Times New Roman" w:hAnsi="Times New Roman" w:cs="Times New Roman"/>
        </w:rPr>
      </w:pPr>
      <w:r w:rsidRPr="000A58B5">
        <w:rPr>
          <w:rFonts w:ascii="Times New Roman" w:hAnsi="Times New Roman" w:cs="Times New Roman"/>
        </w:rPr>
        <w:t xml:space="preserve">“Income is produced </w:t>
      </w:r>
      <w:r w:rsidR="00B41368" w:rsidRPr="000A58B5">
        <w:rPr>
          <w:rFonts w:ascii="Times New Roman" w:hAnsi="Times New Roman" w:cs="Times New Roman"/>
        </w:rPr>
        <w:t xml:space="preserve">by a series of operations and transactions entered into for the purpose of manufacturing or acquiring a saleable product and thereafter selling it or by rendering services for which payment is </w:t>
      </w:r>
      <w:r w:rsidR="00612297" w:rsidRPr="000A58B5">
        <w:rPr>
          <w:rFonts w:ascii="Times New Roman" w:hAnsi="Times New Roman" w:cs="Times New Roman"/>
        </w:rPr>
        <w:t>received. In</w:t>
      </w:r>
      <w:r w:rsidR="00B41368" w:rsidRPr="000A58B5">
        <w:rPr>
          <w:rFonts w:ascii="Times New Roman" w:hAnsi="Times New Roman" w:cs="Times New Roman"/>
        </w:rPr>
        <w:t xml:space="preserve"> the course of such operations and transactions expenditure and losses may be incurred, and these are the expenditure and </w:t>
      </w:r>
      <w:r w:rsidR="00612297" w:rsidRPr="000A58B5">
        <w:rPr>
          <w:rFonts w:ascii="Times New Roman" w:hAnsi="Times New Roman" w:cs="Times New Roman"/>
        </w:rPr>
        <w:t>losses</w:t>
      </w:r>
      <w:r w:rsidR="00B41368" w:rsidRPr="000A58B5">
        <w:rPr>
          <w:rFonts w:ascii="Times New Roman" w:hAnsi="Times New Roman" w:cs="Times New Roman"/>
        </w:rPr>
        <w:t xml:space="preserve"> referred to in the section. For the purposes of the present case “losses” can be ignored. It was not contended that the expenditure in this case was a loss and rightly so because the word “losses” in this section appears to mean “losses” of floating capital employed in the trade which produces income.”</w:t>
      </w:r>
      <w:r w:rsidR="00832C9D" w:rsidRPr="000A58B5">
        <w:rPr>
          <w:rFonts w:ascii="Times New Roman" w:hAnsi="Times New Roman" w:cs="Times New Roman"/>
        </w:rPr>
        <w:t xml:space="preserve"> </w:t>
      </w:r>
    </w:p>
    <w:p w:rsidR="000A58B5" w:rsidRPr="000A58B5" w:rsidRDefault="000A58B5" w:rsidP="00BD5135">
      <w:pPr>
        <w:autoSpaceDE w:val="0"/>
        <w:autoSpaceDN w:val="0"/>
        <w:adjustRightInd w:val="0"/>
        <w:spacing w:after="0" w:line="240" w:lineRule="auto"/>
        <w:ind w:left="720"/>
        <w:jc w:val="both"/>
        <w:rPr>
          <w:rFonts w:ascii="Times New Roman" w:hAnsi="Times New Roman" w:cs="Times New Roman"/>
        </w:rPr>
      </w:pPr>
    </w:p>
    <w:p w:rsidR="00503BA6" w:rsidRDefault="00503BA6" w:rsidP="00BD5135">
      <w:pPr>
        <w:autoSpaceDE w:val="0"/>
        <w:autoSpaceDN w:val="0"/>
        <w:adjustRightInd w:val="0"/>
        <w:spacing w:after="0" w:line="24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Again, in </w:t>
      </w:r>
      <w:proofErr w:type="spellStart"/>
      <w:r w:rsidRPr="006C1985">
        <w:rPr>
          <w:rFonts w:ascii="Times New Roman" w:hAnsi="Times New Roman" w:cs="Times New Roman"/>
          <w:i/>
          <w:sz w:val="24"/>
          <w:szCs w:val="24"/>
        </w:rPr>
        <w:t>Joffe</w:t>
      </w:r>
      <w:proofErr w:type="spellEnd"/>
      <w:r w:rsidRPr="006C1985">
        <w:rPr>
          <w:rFonts w:ascii="Times New Roman" w:hAnsi="Times New Roman" w:cs="Times New Roman"/>
          <w:i/>
          <w:sz w:val="24"/>
          <w:szCs w:val="24"/>
        </w:rPr>
        <w:t xml:space="preserve"> &amp; Co (Pty) Ltd v CIR</w:t>
      </w:r>
      <w:r w:rsidRPr="006C1985">
        <w:rPr>
          <w:rFonts w:ascii="Times New Roman" w:hAnsi="Times New Roman" w:cs="Times New Roman"/>
          <w:sz w:val="24"/>
          <w:szCs w:val="24"/>
        </w:rPr>
        <w:t xml:space="preserve"> 13 SATC 354 at 359 </w:t>
      </w:r>
      <w:proofErr w:type="spellStart"/>
      <w:r w:rsidRPr="006C1985">
        <w:rPr>
          <w:rFonts w:ascii="Times New Roman" w:hAnsi="Times New Roman" w:cs="Times New Roman"/>
          <w:sz w:val="24"/>
          <w:szCs w:val="24"/>
        </w:rPr>
        <w:t>Watermeyer</w:t>
      </w:r>
      <w:proofErr w:type="spellEnd"/>
      <w:r w:rsidRPr="006C1985">
        <w:rPr>
          <w:rFonts w:ascii="Times New Roman" w:hAnsi="Times New Roman" w:cs="Times New Roman"/>
          <w:sz w:val="24"/>
          <w:szCs w:val="24"/>
        </w:rPr>
        <w:t xml:space="preserve"> CJ stated:</w:t>
      </w:r>
    </w:p>
    <w:p w:rsidR="000A58B5" w:rsidRPr="006C1985" w:rsidRDefault="000A58B5" w:rsidP="00BD5135">
      <w:pPr>
        <w:autoSpaceDE w:val="0"/>
        <w:autoSpaceDN w:val="0"/>
        <w:adjustRightInd w:val="0"/>
        <w:spacing w:after="0" w:line="240" w:lineRule="auto"/>
        <w:ind w:firstLine="720"/>
        <w:jc w:val="both"/>
        <w:rPr>
          <w:rFonts w:ascii="Times New Roman" w:hAnsi="Times New Roman" w:cs="Times New Roman"/>
          <w:sz w:val="24"/>
          <w:szCs w:val="24"/>
        </w:rPr>
      </w:pPr>
    </w:p>
    <w:p w:rsidR="00944F4F" w:rsidRPr="000A58B5" w:rsidRDefault="00503BA6" w:rsidP="00BD5135">
      <w:pPr>
        <w:autoSpaceDE w:val="0"/>
        <w:autoSpaceDN w:val="0"/>
        <w:adjustRightInd w:val="0"/>
        <w:spacing w:after="0" w:line="240" w:lineRule="auto"/>
        <w:ind w:left="720"/>
        <w:jc w:val="both"/>
        <w:rPr>
          <w:rFonts w:ascii="Times New Roman" w:hAnsi="Times New Roman" w:cs="Times New Roman"/>
        </w:rPr>
      </w:pPr>
      <w:r w:rsidRPr="000A58B5">
        <w:rPr>
          <w:rFonts w:ascii="Times New Roman" w:hAnsi="Times New Roman" w:cs="Times New Roman"/>
        </w:rPr>
        <w:t>“The word “loss” has several meanings and its meaning in s 11 (2) (a) is somewhat obscure. In relation to trading operations the word is sometimes used to signify a deprivation suffered by the loser, usually an involuntary deprivation, whereas expenditure usually means a voluntary payment of money</w:t>
      </w:r>
      <w:r w:rsidR="006948CD" w:rsidRPr="000A58B5">
        <w:rPr>
          <w:rFonts w:ascii="Times New Roman" w:hAnsi="Times New Roman" w:cs="Times New Roman"/>
        </w:rPr>
        <w:t>……..The word “loss</w:t>
      </w:r>
      <w:r w:rsidRPr="000A58B5">
        <w:rPr>
          <w:rFonts w:ascii="Times New Roman" w:hAnsi="Times New Roman" w:cs="Times New Roman"/>
        </w:rPr>
        <w:t>”</w:t>
      </w:r>
      <w:r w:rsidR="006948CD" w:rsidRPr="000A58B5">
        <w:rPr>
          <w:rFonts w:ascii="Times New Roman" w:hAnsi="Times New Roman" w:cs="Times New Roman"/>
        </w:rPr>
        <w:t xml:space="preserve"> is also sometimes used as the antonym of “ profit”, but then it denotes the final result of a trading operation after expenditure has been deducted</w:t>
      </w:r>
      <w:r w:rsidR="00C06286" w:rsidRPr="000A58B5">
        <w:rPr>
          <w:rFonts w:ascii="Times New Roman" w:hAnsi="Times New Roman" w:cs="Times New Roman"/>
        </w:rPr>
        <w:t xml:space="preserve"> and it seems inappropriate to speak of a loss, in that sense, in </w:t>
      </w:r>
      <w:r w:rsidR="00C466E9" w:rsidRPr="000A58B5">
        <w:rPr>
          <w:rFonts w:ascii="Times New Roman" w:hAnsi="Times New Roman" w:cs="Times New Roman"/>
        </w:rPr>
        <w:t>conjunction</w:t>
      </w:r>
      <w:r w:rsidR="00C06286" w:rsidRPr="000A58B5">
        <w:rPr>
          <w:rFonts w:ascii="Times New Roman" w:hAnsi="Times New Roman" w:cs="Times New Roman"/>
        </w:rPr>
        <w:t xml:space="preserve"> with expenditure, as something which is incurred in the production of income.”</w:t>
      </w:r>
      <w:r w:rsidR="00832C9D" w:rsidRPr="000A58B5">
        <w:rPr>
          <w:rFonts w:ascii="Times New Roman" w:hAnsi="Times New Roman" w:cs="Times New Roman"/>
        </w:rPr>
        <w:t xml:space="preserve">  </w:t>
      </w:r>
    </w:p>
    <w:p w:rsidR="00944F4F" w:rsidRPr="006C1985" w:rsidRDefault="00944F4F" w:rsidP="00BD5135">
      <w:pPr>
        <w:autoSpaceDE w:val="0"/>
        <w:autoSpaceDN w:val="0"/>
        <w:adjustRightInd w:val="0"/>
        <w:spacing w:after="0" w:line="240" w:lineRule="auto"/>
        <w:ind w:left="720"/>
        <w:jc w:val="both"/>
        <w:rPr>
          <w:rFonts w:ascii="Times New Roman" w:hAnsi="Times New Roman" w:cs="Times New Roman"/>
          <w:sz w:val="24"/>
          <w:szCs w:val="24"/>
        </w:rPr>
      </w:pPr>
    </w:p>
    <w:p w:rsidR="00B74547" w:rsidRPr="006C1985" w:rsidRDefault="00944F4F"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In my view the definition of assessed loss clearly demonstrates that it does not constitute expenditure incurred in the year</w:t>
      </w:r>
      <w:r w:rsidR="00832C9D" w:rsidRPr="006C1985">
        <w:rPr>
          <w:rFonts w:ascii="Times New Roman" w:hAnsi="Times New Roman" w:cs="Times New Roman"/>
          <w:sz w:val="24"/>
          <w:szCs w:val="24"/>
        </w:rPr>
        <w:t xml:space="preserve"> </w:t>
      </w:r>
      <w:r w:rsidRPr="006C1985">
        <w:rPr>
          <w:rFonts w:ascii="Times New Roman" w:hAnsi="Times New Roman" w:cs="Times New Roman"/>
          <w:sz w:val="24"/>
          <w:szCs w:val="24"/>
        </w:rPr>
        <w:t>of assessment concerned by the holder of the special mining lease. Rather</w:t>
      </w:r>
      <w:r w:rsidR="007107AA">
        <w:rPr>
          <w:rFonts w:ascii="Times New Roman" w:hAnsi="Times New Roman" w:cs="Times New Roman"/>
          <w:sz w:val="24"/>
          <w:szCs w:val="24"/>
        </w:rPr>
        <w:t>,</w:t>
      </w:r>
      <w:r w:rsidRPr="006C1985">
        <w:rPr>
          <w:rFonts w:ascii="Times New Roman" w:hAnsi="Times New Roman" w:cs="Times New Roman"/>
          <w:sz w:val="24"/>
          <w:szCs w:val="24"/>
        </w:rPr>
        <w:t xml:space="preserve"> it represents a debit balance </w:t>
      </w:r>
      <w:r w:rsidR="00C466E9" w:rsidRPr="006C1985">
        <w:rPr>
          <w:rFonts w:ascii="Times New Roman" w:hAnsi="Times New Roman" w:cs="Times New Roman"/>
          <w:sz w:val="24"/>
          <w:szCs w:val="24"/>
        </w:rPr>
        <w:t>in the accounts of the holder of</w:t>
      </w:r>
      <w:r w:rsidRPr="006C1985">
        <w:rPr>
          <w:rFonts w:ascii="Times New Roman" w:hAnsi="Times New Roman" w:cs="Times New Roman"/>
          <w:sz w:val="24"/>
          <w:szCs w:val="24"/>
        </w:rPr>
        <w:t xml:space="preserve"> the previous year of assessment. It simply is not expenditure incurred in the year of assessment. </w:t>
      </w:r>
      <w:r w:rsidR="00B74547" w:rsidRPr="006C1985">
        <w:rPr>
          <w:rFonts w:ascii="Times New Roman" w:hAnsi="Times New Roman" w:cs="Times New Roman"/>
          <w:sz w:val="24"/>
          <w:szCs w:val="24"/>
        </w:rPr>
        <w:t xml:space="preserve">This point was conceded by Mr </w:t>
      </w:r>
      <w:r w:rsidR="00B74547" w:rsidRPr="006C1985">
        <w:rPr>
          <w:rFonts w:ascii="Times New Roman" w:hAnsi="Times New Roman" w:cs="Times New Roman"/>
          <w:i/>
          <w:sz w:val="24"/>
          <w:szCs w:val="24"/>
        </w:rPr>
        <w:t>de Bourbon</w:t>
      </w:r>
      <w:r w:rsidR="00B74547" w:rsidRPr="006C1985">
        <w:rPr>
          <w:rFonts w:ascii="Times New Roman" w:hAnsi="Times New Roman" w:cs="Times New Roman"/>
          <w:sz w:val="24"/>
          <w:szCs w:val="24"/>
        </w:rPr>
        <w:t xml:space="preserve"> in his oral submissions. He confessed that:</w:t>
      </w:r>
    </w:p>
    <w:p w:rsidR="00A16A48" w:rsidRPr="00B67D3C" w:rsidRDefault="00B74547" w:rsidP="00BD5135">
      <w:pPr>
        <w:autoSpaceDE w:val="0"/>
        <w:autoSpaceDN w:val="0"/>
        <w:adjustRightInd w:val="0"/>
        <w:spacing w:after="0" w:line="240" w:lineRule="auto"/>
        <w:ind w:left="720"/>
        <w:jc w:val="both"/>
        <w:rPr>
          <w:rFonts w:ascii="Times New Roman" w:hAnsi="Times New Roman" w:cs="Times New Roman"/>
        </w:rPr>
      </w:pPr>
      <w:r w:rsidRPr="00B67D3C">
        <w:rPr>
          <w:rFonts w:ascii="Times New Roman" w:hAnsi="Times New Roman" w:cs="Times New Roman"/>
        </w:rPr>
        <w:t>“Although we accept that in normal tax parlance an assessed loss is not expenditure, because of the way Parliament has crafted para 2 (3) of the 23</w:t>
      </w:r>
      <w:r w:rsidRPr="00B67D3C">
        <w:rPr>
          <w:rFonts w:ascii="Times New Roman" w:hAnsi="Times New Roman" w:cs="Times New Roman"/>
          <w:vertAlign w:val="superscript"/>
        </w:rPr>
        <w:t>rd</w:t>
      </w:r>
      <w:r w:rsidRPr="00B67D3C">
        <w:rPr>
          <w:rFonts w:ascii="Times New Roman" w:hAnsi="Times New Roman" w:cs="Times New Roman"/>
        </w:rPr>
        <w:t xml:space="preserve"> Schedule, it deems by reference back to the 22</w:t>
      </w:r>
      <w:r w:rsidRPr="00B67D3C">
        <w:rPr>
          <w:rFonts w:ascii="Times New Roman" w:hAnsi="Times New Roman" w:cs="Times New Roman"/>
          <w:vertAlign w:val="superscript"/>
        </w:rPr>
        <w:t>nd</w:t>
      </w:r>
      <w:r w:rsidR="007107AA">
        <w:rPr>
          <w:rFonts w:ascii="Times New Roman" w:hAnsi="Times New Roman" w:cs="Times New Roman"/>
        </w:rPr>
        <w:t xml:space="preserve"> S</w:t>
      </w:r>
      <w:r w:rsidRPr="00B67D3C">
        <w:rPr>
          <w:rFonts w:ascii="Times New Roman" w:hAnsi="Times New Roman" w:cs="Times New Roman"/>
        </w:rPr>
        <w:t>chedule assessed losses to be expenditure. It does not have to be expenditure</w:t>
      </w:r>
      <w:r w:rsidR="0043703D">
        <w:rPr>
          <w:rFonts w:ascii="Times New Roman" w:hAnsi="Times New Roman" w:cs="Times New Roman"/>
        </w:rPr>
        <w:t>;</w:t>
      </w:r>
      <w:r w:rsidRPr="00B67D3C">
        <w:rPr>
          <w:rFonts w:ascii="Times New Roman" w:hAnsi="Times New Roman" w:cs="Times New Roman"/>
        </w:rPr>
        <w:t xml:space="preserve"> it has to be an allowable deduction which is deemed in terms of the 22</w:t>
      </w:r>
      <w:r w:rsidRPr="00B67D3C">
        <w:rPr>
          <w:rFonts w:ascii="Times New Roman" w:hAnsi="Times New Roman" w:cs="Times New Roman"/>
          <w:vertAlign w:val="superscript"/>
        </w:rPr>
        <w:t>nd</w:t>
      </w:r>
      <w:r w:rsidRPr="00B67D3C">
        <w:rPr>
          <w:rFonts w:ascii="Times New Roman" w:hAnsi="Times New Roman" w:cs="Times New Roman"/>
        </w:rPr>
        <w:t xml:space="preserve"> Schedule to be treated as expenditure.”</w:t>
      </w:r>
    </w:p>
    <w:p w:rsidR="00B67D3C" w:rsidRPr="00B67D3C" w:rsidRDefault="00B67D3C" w:rsidP="00BD5135">
      <w:pPr>
        <w:autoSpaceDE w:val="0"/>
        <w:autoSpaceDN w:val="0"/>
        <w:adjustRightInd w:val="0"/>
        <w:spacing w:after="0" w:line="240" w:lineRule="auto"/>
        <w:ind w:left="720"/>
        <w:jc w:val="both"/>
        <w:rPr>
          <w:rFonts w:ascii="Times New Roman" w:hAnsi="Times New Roman" w:cs="Times New Roman"/>
        </w:rPr>
      </w:pPr>
    </w:p>
    <w:p w:rsidR="00573613" w:rsidRPr="006C1985" w:rsidRDefault="00FE41BA"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lastRenderedPageBreak/>
        <w:t xml:space="preserve">Counsel for the appellant sought to avoid the confession by submitting that reference </w:t>
      </w:r>
      <w:r w:rsidR="007B3FDD" w:rsidRPr="006C1985">
        <w:rPr>
          <w:rFonts w:ascii="Times New Roman" w:hAnsi="Times New Roman" w:cs="Times New Roman"/>
          <w:sz w:val="24"/>
          <w:szCs w:val="24"/>
        </w:rPr>
        <w:t>in the definition of allowable deduction in para 1 (1) of the 23</w:t>
      </w:r>
      <w:r w:rsidR="007B3FDD" w:rsidRPr="006C1985">
        <w:rPr>
          <w:rFonts w:ascii="Times New Roman" w:hAnsi="Times New Roman" w:cs="Times New Roman"/>
          <w:sz w:val="24"/>
          <w:szCs w:val="24"/>
          <w:vertAlign w:val="superscript"/>
        </w:rPr>
        <w:t>rd</w:t>
      </w:r>
      <w:r w:rsidR="007B3FDD" w:rsidRPr="006C1985">
        <w:rPr>
          <w:rFonts w:ascii="Times New Roman" w:hAnsi="Times New Roman" w:cs="Times New Roman"/>
          <w:sz w:val="24"/>
          <w:szCs w:val="24"/>
        </w:rPr>
        <w:t xml:space="preserve"> Schedule </w:t>
      </w:r>
      <w:r w:rsidRPr="006C1985">
        <w:rPr>
          <w:rFonts w:ascii="Times New Roman" w:hAnsi="Times New Roman" w:cs="Times New Roman"/>
          <w:sz w:val="24"/>
          <w:szCs w:val="24"/>
        </w:rPr>
        <w:t xml:space="preserve">to </w:t>
      </w:r>
      <w:r w:rsidR="007B3FDD" w:rsidRPr="006C1985">
        <w:rPr>
          <w:rFonts w:ascii="Times New Roman" w:hAnsi="Times New Roman" w:cs="Times New Roman"/>
          <w:sz w:val="24"/>
          <w:szCs w:val="24"/>
        </w:rPr>
        <w:t>“</w:t>
      </w:r>
      <w:r w:rsidRPr="006C1985">
        <w:rPr>
          <w:rFonts w:ascii="Times New Roman" w:hAnsi="Times New Roman" w:cs="Times New Roman"/>
          <w:sz w:val="24"/>
          <w:szCs w:val="24"/>
        </w:rPr>
        <w:t>a deduction allow</w:t>
      </w:r>
      <w:r w:rsidR="007B3FDD" w:rsidRPr="006C1985">
        <w:rPr>
          <w:rFonts w:ascii="Times New Roman" w:hAnsi="Times New Roman" w:cs="Times New Roman"/>
          <w:sz w:val="24"/>
          <w:szCs w:val="24"/>
        </w:rPr>
        <w:t xml:space="preserve">able under the Twenty-Second Schedule” imported </w:t>
      </w:r>
      <w:r w:rsidR="004F32BF" w:rsidRPr="006C1985">
        <w:rPr>
          <w:rFonts w:ascii="Times New Roman" w:hAnsi="Times New Roman" w:cs="Times New Roman"/>
          <w:sz w:val="24"/>
          <w:szCs w:val="24"/>
        </w:rPr>
        <w:t xml:space="preserve">all the deductions found in </w:t>
      </w:r>
      <w:r w:rsidR="0043703D">
        <w:rPr>
          <w:rFonts w:ascii="Times New Roman" w:hAnsi="Times New Roman" w:cs="Times New Roman"/>
          <w:sz w:val="24"/>
          <w:szCs w:val="24"/>
        </w:rPr>
        <w:t xml:space="preserve">the </w:t>
      </w:r>
      <w:r w:rsidR="004F32BF" w:rsidRPr="006C1985">
        <w:rPr>
          <w:rFonts w:ascii="Times New Roman" w:hAnsi="Times New Roman" w:cs="Times New Roman"/>
          <w:sz w:val="24"/>
          <w:szCs w:val="24"/>
        </w:rPr>
        <w:t>22</w:t>
      </w:r>
      <w:r w:rsidR="004F32BF" w:rsidRPr="006C1985">
        <w:rPr>
          <w:rFonts w:ascii="Times New Roman" w:hAnsi="Times New Roman" w:cs="Times New Roman"/>
          <w:sz w:val="24"/>
          <w:szCs w:val="24"/>
          <w:vertAlign w:val="superscript"/>
        </w:rPr>
        <w:t>nd</w:t>
      </w:r>
      <w:r w:rsidR="004F32BF" w:rsidRPr="006C1985">
        <w:rPr>
          <w:rFonts w:ascii="Times New Roman" w:hAnsi="Times New Roman" w:cs="Times New Roman"/>
          <w:sz w:val="24"/>
          <w:szCs w:val="24"/>
        </w:rPr>
        <w:t xml:space="preserve"> S</w:t>
      </w:r>
      <w:r w:rsidR="007B3FDD" w:rsidRPr="006C1985">
        <w:rPr>
          <w:rFonts w:ascii="Times New Roman" w:hAnsi="Times New Roman" w:cs="Times New Roman"/>
          <w:sz w:val="24"/>
          <w:szCs w:val="24"/>
        </w:rPr>
        <w:t xml:space="preserve">chedule. The confession ignores the controlling words “in respect of expenditure incurred” that complete the definition. It seems to me that Mr </w:t>
      </w:r>
      <w:proofErr w:type="spellStart"/>
      <w:r w:rsidR="007B3FDD" w:rsidRPr="006C1985">
        <w:rPr>
          <w:rFonts w:ascii="Times New Roman" w:hAnsi="Times New Roman" w:cs="Times New Roman"/>
          <w:i/>
          <w:sz w:val="24"/>
          <w:szCs w:val="24"/>
        </w:rPr>
        <w:t>Magwaliba</w:t>
      </w:r>
      <w:proofErr w:type="spellEnd"/>
      <w:r w:rsidR="007B3FDD" w:rsidRPr="006C1985">
        <w:rPr>
          <w:rFonts w:ascii="Times New Roman" w:hAnsi="Times New Roman" w:cs="Times New Roman"/>
          <w:sz w:val="24"/>
          <w:szCs w:val="24"/>
        </w:rPr>
        <w:t xml:space="preserve"> was correct in his submission that the </w:t>
      </w:r>
      <w:r w:rsidR="00573613" w:rsidRPr="006C1985">
        <w:rPr>
          <w:rFonts w:ascii="Times New Roman" w:hAnsi="Times New Roman" w:cs="Times New Roman"/>
          <w:sz w:val="24"/>
          <w:szCs w:val="24"/>
        </w:rPr>
        <w:t>words “in respect of expenditure incurred” limit the deductions in the 22</w:t>
      </w:r>
      <w:r w:rsidR="00573613" w:rsidRPr="006C1985">
        <w:rPr>
          <w:rFonts w:ascii="Times New Roman" w:hAnsi="Times New Roman" w:cs="Times New Roman"/>
          <w:sz w:val="24"/>
          <w:szCs w:val="24"/>
          <w:vertAlign w:val="superscript"/>
        </w:rPr>
        <w:t>nd</w:t>
      </w:r>
      <w:r w:rsidR="00573613" w:rsidRPr="006C1985">
        <w:rPr>
          <w:rFonts w:ascii="Times New Roman" w:hAnsi="Times New Roman" w:cs="Times New Roman"/>
          <w:sz w:val="24"/>
          <w:szCs w:val="24"/>
        </w:rPr>
        <w:t xml:space="preserve"> Schedule that apply to the 23</w:t>
      </w:r>
      <w:r w:rsidR="00573613" w:rsidRPr="006C1985">
        <w:rPr>
          <w:rFonts w:ascii="Times New Roman" w:hAnsi="Times New Roman" w:cs="Times New Roman"/>
          <w:sz w:val="24"/>
          <w:szCs w:val="24"/>
          <w:vertAlign w:val="superscript"/>
        </w:rPr>
        <w:t>rd</w:t>
      </w:r>
      <w:r w:rsidR="00573613" w:rsidRPr="006C1985">
        <w:rPr>
          <w:rFonts w:ascii="Times New Roman" w:hAnsi="Times New Roman" w:cs="Times New Roman"/>
          <w:sz w:val="24"/>
          <w:szCs w:val="24"/>
        </w:rPr>
        <w:t xml:space="preserve"> Schedule. The admission that in normal tax parlance an assessed loss is not expenditure demonstrates</w:t>
      </w:r>
      <w:r w:rsidR="0043703D">
        <w:rPr>
          <w:rFonts w:ascii="Times New Roman" w:hAnsi="Times New Roman" w:cs="Times New Roman"/>
          <w:sz w:val="24"/>
          <w:szCs w:val="24"/>
        </w:rPr>
        <w:t>, in my view,</w:t>
      </w:r>
      <w:r w:rsidR="00573613" w:rsidRPr="006C1985">
        <w:rPr>
          <w:rFonts w:ascii="Times New Roman" w:hAnsi="Times New Roman" w:cs="Times New Roman"/>
          <w:sz w:val="24"/>
          <w:szCs w:val="24"/>
        </w:rPr>
        <w:t xml:space="preserve"> its exclusion from deduction under the 23</w:t>
      </w:r>
      <w:r w:rsidR="00573613" w:rsidRPr="006C1985">
        <w:rPr>
          <w:rFonts w:ascii="Times New Roman" w:hAnsi="Times New Roman" w:cs="Times New Roman"/>
          <w:sz w:val="24"/>
          <w:szCs w:val="24"/>
          <w:vertAlign w:val="superscript"/>
        </w:rPr>
        <w:t>rd</w:t>
      </w:r>
      <w:r w:rsidR="00573613" w:rsidRPr="006C1985">
        <w:rPr>
          <w:rFonts w:ascii="Times New Roman" w:hAnsi="Times New Roman" w:cs="Times New Roman"/>
          <w:sz w:val="24"/>
          <w:szCs w:val="24"/>
        </w:rPr>
        <w:t xml:space="preserve"> Schedule.</w:t>
      </w:r>
    </w:p>
    <w:p w:rsidR="00AA73E6" w:rsidRPr="006C1985" w:rsidRDefault="00573613"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It is not clear to me how reference to </w:t>
      </w:r>
      <w:r w:rsidR="00E4518F" w:rsidRPr="006C1985">
        <w:rPr>
          <w:rFonts w:ascii="Times New Roman" w:hAnsi="Times New Roman" w:cs="Times New Roman"/>
          <w:sz w:val="24"/>
          <w:szCs w:val="24"/>
        </w:rPr>
        <w:t>“</w:t>
      </w:r>
      <w:r w:rsidRPr="006C1985">
        <w:rPr>
          <w:rFonts w:ascii="Times New Roman" w:hAnsi="Times New Roman" w:cs="Times New Roman"/>
          <w:sz w:val="24"/>
          <w:szCs w:val="24"/>
        </w:rPr>
        <w:t>a deduction allowable under the Twenty-Second Schedule in respect of the expenditure incurred</w:t>
      </w:r>
      <w:r w:rsidR="00E4518F" w:rsidRPr="006C1985">
        <w:rPr>
          <w:rFonts w:ascii="Times New Roman" w:hAnsi="Times New Roman" w:cs="Times New Roman"/>
          <w:sz w:val="24"/>
          <w:szCs w:val="24"/>
        </w:rPr>
        <w:t>”</w:t>
      </w:r>
      <w:r w:rsidRPr="006C1985">
        <w:rPr>
          <w:rFonts w:ascii="Times New Roman" w:hAnsi="Times New Roman" w:cs="Times New Roman"/>
          <w:sz w:val="24"/>
          <w:szCs w:val="24"/>
        </w:rPr>
        <w:t xml:space="preserve"> is deemed in para 2 (3) to</w:t>
      </w:r>
      <w:r w:rsidR="00A45F45">
        <w:rPr>
          <w:rFonts w:ascii="Times New Roman" w:hAnsi="Times New Roman" w:cs="Times New Roman"/>
          <w:sz w:val="24"/>
          <w:szCs w:val="24"/>
        </w:rPr>
        <w:t xml:space="preserve"> be</w:t>
      </w:r>
      <w:r w:rsidRPr="006C1985">
        <w:rPr>
          <w:rFonts w:ascii="Times New Roman" w:hAnsi="Times New Roman" w:cs="Times New Roman"/>
          <w:sz w:val="24"/>
          <w:szCs w:val="24"/>
        </w:rPr>
        <w:t xml:space="preserve"> expenditure incurred in the year of assessment. I agree with Mr </w:t>
      </w:r>
      <w:proofErr w:type="spellStart"/>
      <w:r w:rsidRPr="006C1985">
        <w:rPr>
          <w:rFonts w:ascii="Times New Roman" w:hAnsi="Times New Roman" w:cs="Times New Roman"/>
          <w:i/>
          <w:sz w:val="24"/>
          <w:szCs w:val="24"/>
        </w:rPr>
        <w:t>Magwaliba</w:t>
      </w:r>
      <w:proofErr w:type="spellEnd"/>
      <w:r w:rsidRPr="006C1985">
        <w:rPr>
          <w:rFonts w:ascii="Times New Roman" w:hAnsi="Times New Roman" w:cs="Times New Roman"/>
          <w:sz w:val="24"/>
          <w:szCs w:val="24"/>
        </w:rPr>
        <w:t xml:space="preserve"> by reference to </w:t>
      </w:r>
      <w:proofErr w:type="spellStart"/>
      <w:r w:rsidRPr="006C1985">
        <w:rPr>
          <w:rFonts w:ascii="Times New Roman" w:hAnsi="Times New Roman" w:cs="Times New Roman"/>
          <w:i/>
          <w:sz w:val="24"/>
          <w:szCs w:val="24"/>
        </w:rPr>
        <w:t>Pinkey</w:t>
      </w:r>
      <w:proofErr w:type="spellEnd"/>
      <w:r w:rsidRPr="006C1985">
        <w:rPr>
          <w:rFonts w:ascii="Times New Roman" w:hAnsi="Times New Roman" w:cs="Times New Roman"/>
          <w:i/>
          <w:sz w:val="24"/>
          <w:szCs w:val="24"/>
        </w:rPr>
        <w:t xml:space="preserve"> </w:t>
      </w:r>
      <w:r w:rsidRPr="008D46D9">
        <w:rPr>
          <w:rFonts w:ascii="Times New Roman" w:hAnsi="Times New Roman" w:cs="Times New Roman"/>
          <w:sz w:val="24"/>
          <w:szCs w:val="24"/>
        </w:rPr>
        <w:t>v</w:t>
      </w:r>
      <w:r w:rsidRPr="006C1985">
        <w:rPr>
          <w:rFonts w:ascii="Times New Roman" w:hAnsi="Times New Roman" w:cs="Times New Roman"/>
          <w:i/>
          <w:sz w:val="24"/>
          <w:szCs w:val="24"/>
        </w:rPr>
        <w:t xml:space="preserve"> </w:t>
      </w:r>
      <w:r w:rsidR="008E403E" w:rsidRPr="006C1985">
        <w:rPr>
          <w:rFonts w:ascii="Times New Roman" w:hAnsi="Times New Roman" w:cs="Times New Roman"/>
          <w:i/>
          <w:sz w:val="24"/>
          <w:szCs w:val="24"/>
        </w:rPr>
        <w:t>Race Classification Board and</w:t>
      </w:r>
      <w:r w:rsidR="008E403E" w:rsidRPr="006C1985">
        <w:rPr>
          <w:rFonts w:ascii="Times New Roman" w:hAnsi="Times New Roman" w:cs="Times New Roman"/>
          <w:sz w:val="24"/>
          <w:szCs w:val="24"/>
        </w:rPr>
        <w:t xml:space="preserve"> </w:t>
      </w:r>
      <w:r w:rsidR="008E403E" w:rsidRPr="006C1985">
        <w:rPr>
          <w:rFonts w:ascii="Times New Roman" w:hAnsi="Times New Roman" w:cs="Times New Roman"/>
          <w:i/>
          <w:sz w:val="24"/>
          <w:szCs w:val="24"/>
        </w:rPr>
        <w:t xml:space="preserve">Another </w:t>
      </w:r>
      <w:r w:rsidR="008E403E" w:rsidRPr="006C1985">
        <w:rPr>
          <w:rFonts w:ascii="Times New Roman" w:hAnsi="Times New Roman" w:cs="Times New Roman"/>
          <w:sz w:val="24"/>
          <w:szCs w:val="24"/>
        </w:rPr>
        <w:t>1966 (2) SA 73 (ECD)</w:t>
      </w:r>
      <w:r w:rsidR="00E4518F" w:rsidRPr="006C1985">
        <w:rPr>
          <w:rFonts w:ascii="Times New Roman" w:hAnsi="Times New Roman" w:cs="Times New Roman"/>
          <w:sz w:val="24"/>
          <w:szCs w:val="24"/>
        </w:rPr>
        <w:t xml:space="preserve"> at 77</w:t>
      </w:r>
      <w:r w:rsidR="008E403E" w:rsidRPr="006C1985">
        <w:rPr>
          <w:rFonts w:ascii="Times New Roman" w:hAnsi="Times New Roman" w:cs="Times New Roman"/>
          <w:sz w:val="24"/>
          <w:szCs w:val="24"/>
        </w:rPr>
        <w:t xml:space="preserve"> that the two essential features of a deeming section are firstly, “a thing deemed to be something” and secondly “that which it is deemed to be”. </w:t>
      </w:r>
      <w:r w:rsidR="00E4518F" w:rsidRPr="006C1985">
        <w:rPr>
          <w:rFonts w:ascii="Times New Roman" w:hAnsi="Times New Roman" w:cs="Times New Roman"/>
          <w:sz w:val="24"/>
          <w:szCs w:val="24"/>
        </w:rPr>
        <w:t xml:space="preserve">The meaning of deemed and its application as restated in the cases cited by the appellant such as </w:t>
      </w:r>
      <w:r w:rsidR="00E4518F" w:rsidRPr="006C1985">
        <w:rPr>
          <w:rFonts w:ascii="Times New Roman" w:hAnsi="Times New Roman" w:cs="Times New Roman"/>
          <w:i/>
          <w:sz w:val="24"/>
          <w:szCs w:val="24"/>
        </w:rPr>
        <w:t>R</w:t>
      </w:r>
      <w:r w:rsidR="00A14187" w:rsidRPr="006C1985">
        <w:rPr>
          <w:rFonts w:ascii="Times New Roman" w:hAnsi="Times New Roman" w:cs="Times New Roman"/>
          <w:i/>
          <w:sz w:val="24"/>
          <w:szCs w:val="24"/>
        </w:rPr>
        <w:t xml:space="preserve"> </w:t>
      </w:r>
      <w:r w:rsidR="00E4518F" w:rsidRPr="006C1985">
        <w:rPr>
          <w:rFonts w:ascii="Times New Roman" w:hAnsi="Times New Roman" w:cs="Times New Roman"/>
          <w:i/>
          <w:sz w:val="24"/>
          <w:szCs w:val="24"/>
        </w:rPr>
        <w:t>v Norfolk County</w:t>
      </w:r>
      <w:r w:rsidR="00E4518F" w:rsidRPr="006C1985">
        <w:rPr>
          <w:rFonts w:ascii="Times New Roman" w:hAnsi="Times New Roman" w:cs="Times New Roman"/>
          <w:sz w:val="24"/>
          <w:szCs w:val="24"/>
        </w:rPr>
        <w:t xml:space="preserve"> </w:t>
      </w:r>
      <w:r w:rsidR="00E4518F" w:rsidRPr="006C1985">
        <w:rPr>
          <w:rFonts w:ascii="Times New Roman" w:hAnsi="Times New Roman" w:cs="Times New Roman"/>
          <w:i/>
          <w:sz w:val="24"/>
          <w:szCs w:val="24"/>
        </w:rPr>
        <w:t xml:space="preserve">Council </w:t>
      </w:r>
      <w:r w:rsidR="00E4518F" w:rsidRPr="006C1985">
        <w:rPr>
          <w:rFonts w:ascii="Times New Roman" w:hAnsi="Times New Roman" w:cs="Times New Roman"/>
          <w:sz w:val="24"/>
          <w:szCs w:val="24"/>
        </w:rPr>
        <w:t>(1891</w:t>
      </w:r>
      <w:r w:rsidR="00A45F45">
        <w:rPr>
          <w:rFonts w:ascii="Times New Roman" w:hAnsi="Times New Roman" w:cs="Times New Roman"/>
          <w:sz w:val="24"/>
          <w:szCs w:val="24"/>
        </w:rPr>
        <w:t>)</w:t>
      </w:r>
      <w:r w:rsidR="00E4518F" w:rsidRPr="006C1985">
        <w:rPr>
          <w:rFonts w:ascii="Times New Roman" w:hAnsi="Times New Roman" w:cs="Times New Roman"/>
          <w:sz w:val="24"/>
          <w:szCs w:val="24"/>
        </w:rPr>
        <w:t xml:space="preserve"> 60 LJQB 379 at 380, </w:t>
      </w:r>
      <w:r w:rsidR="00252C4F" w:rsidRPr="006C1985">
        <w:rPr>
          <w:rFonts w:ascii="Times New Roman" w:hAnsi="Times New Roman" w:cs="Times New Roman"/>
          <w:i/>
          <w:sz w:val="24"/>
          <w:szCs w:val="24"/>
        </w:rPr>
        <w:t xml:space="preserve">Commissioner of Her Majesty’s Revenue and Customs </w:t>
      </w:r>
      <w:r w:rsidR="00252C4F" w:rsidRPr="008D46D9">
        <w:rPr>
          <w:rFonts w:ascii="Times New Roman" w:hAnsi="Times New Roman" w:cs="Times New Roman"/>
          <w:sz w:val="24"/>
          <w:szCs w:val="24"/>
        </w:rPr>
        <w:t>v</w:t>
      </w:r>
      <w:r w:rsidR="00252C4F" w:rsidRPr="006C1985">
        <w:rPr>
          <w:rFonts w:ascii="Times New Roman" w:hAnsi="Times New Roman" w:cs="Times New Roman"/>
          <w:i/>
          <w:sz w:val="24"/>
          <w:szCs w:val="24"/>
        </w:rPr>
        <w:t xml:space="preserve"> DCC (UK)</w:t>
      </w:r>
      <w:r w:rsidR="00252C4F" w:rsidRPr="006C1985">
        <w:rPr>
          <w:rFonts w:ascii="Times New Roman" w:hAnsi="Times New Roman" w:cs="Times New Roman"/>
          <w:sz w:val="24"/>
          <w:szCs w:val="24"/>
        </w:rPr>
        <w:t xml:space="preserve"> </w:t>
      </w:r>
      <w:r w:rsidR="00252C4F" w:rsidRPr="006C1985">
        <w:rPr>
          <w:rFonts w:ascii="Times New Roman" w:hAnsi="Times New Roman" w:cs="Times New Roman"/>
          <w:i/>
          <w:sz w:val="24"/>
          <w:szCs w:val="24"/>
        </w:rPr>
        <w:t>Ltd</w:t>
      </w:r>
      <w:r w:rsidR="00252C4F" w:rsidRPr="006C1985">
        <w:rPr>
          <w:rFonts w:ascii="Times New Roman" w:hAnsi="Times New Roman" w:cs="Times New Roman"/>
          <w:sz w:val="24"/>
          <w:szCs w:val="24"/>
        </w:rPr>
        <w:t xml:space="preserve"> [2010] UKSC 58 at para 38 and academic writers such as EA </w:t>
      </w:r>
      <w:proofErr w:type="spellStart"/>
      <w:r w:rsidR="00252C4F" w:rsidRPr="006C1985">
        <w:rPr>
          <w:rFonts w:ascii="Times New Roman" w:hAnsi="Times New Roman" w:cs="Times New Roman"/>
          <w:sz w:val="24"/>
          <w:szCs w:val="24"/>
        </w:rPr>
        <w:t>Kellaway</w:t>
      </w:r>
      <w:proofErr w:type="spellEnd"/>
      <w:r w:rsidR="00252C4F" w:rsidRPr="006C1985">
        <w:rPr>
          <w:rFonts w:ascii="Times New Roman" w:hAnsi="Times New Roman" w:cs="Times New Roman"/>
          <w:sz w:val="24"/>
          <w:szCs w:val="24"/>
        </w:rPr>
        <w:t xml:space="preserve"> in </w:t>
      </w:r>
      <w:r w:rsidR="00252C4F" w:rsidRPr="006C1985">
        <w:rPr>
          <w:rFonts w:ascii="Times New Roman" w:hAnsi="Times New Roman" w:cs="Times New Roman"/>
          <w:i/>
          <w:sz w:val="24"/>
          <w:szCs w:val="24"/>
        </w:rPr>
        <w:t xml:space="preserve">Principles of Legal Interpretation, Statutes, Contracts and Wills </w:t>
      </w:r>
      <w:r w:rsidR="00252C4F" w:rsidRPr="006C1985">
        <w:rPr>
          <w:rFonts w:ascii="Times New Roman" w:hAnsi="Times New Roman" w:cs="Times New Roman"/>
          <w:sz w:val="24"/>
          <w:szCs w:val="24"/>
        </w:rPr>
        <w:t>at p</w:t>
      </w:r>
      <w:r w:rsidR="008D46D9">
        <w:rPr>
          <w:rFonts w:ascii="Times New Roman" w:hAnsi="Times New Roman" w:cs="Times New Roman"/>
          <w:sz w:val="24"/>
          <w:szCs w:val="24"/>
        </w:rPr>
        <w:t xml:space="preserve"> </w:t>
      </w:r>
      <w:r w:rsidR="00252C4F" w:rsidRPr="006C1985">
        <w:rPr>
          <w:rFonts w:ascii="Times New Roman" w:hAnsi="Times New Roman" w:cs="Times New Roman"/>
          <w:sz w:val="24"/>
          <w:szCs w:val="24"/>
        </w:rPr>
        <w:t xml:space="preserve">82 and Cross </w:t>
      </w:r>
      <w:r w:rsidR="00252C4F" w:rsidRPr="006C1985">
        <w:rPr>
          <w:rFonts w:ascii="Times New Roman" w:hAnsi="Times New Roman" w:cs="Times New Roman"/>
          <w:i/>
          <w:sz w:val="24"/>
          <w:szCs w:val="24"/>
        </w:rPr>
        <w:t>Statutory Interpretation</w:t>
      </w:r>
      <w:r w:rsidR="00252C4F" w:rsidRPr="006C1985">
        <w:rPr>
          <w:rFonts w:ascii="Times New Roman" w:hAnsi="Times New Roman" w:cs="Times New Roman"/>
          <w:sz w:val="24"/>
          <w:szCs w:val="24"/>
        </w:rPr>
        <w:t xml:space="preserve"> at p 120 is unquestionably correct. </w:t>
      </w:r>
      <w:r w:rsidR="008E403E" w:rsidRPr="006C1985">
        <w:rPr>
          <w:rFonts w:ascii="Times New Roman" w:hAnsi="Times New Roman" w:cs="Times New Roman"/>
          <w:sz w:val="24"/>
          <w:szCs w:val="24"/>
        </w:rPr>
        <w:t xml:space="preserve">In the present case the appellant has simply failed to demonstrate on a balance of probabilities how </w:t>
      </w:r>
      <w:r w:rsidR="00A45F45">
        <w:rPr>
          <w:rFonts w:ascii="Times New Roman" w:hAnsi="Times New Roman" w:cs="Times New Roman"/>
          <w:sz w:val="24"/>
          <w:szCs w:val="24"/>
        </w:rPr>
        <w:t xml:space="preserve">and where </w:t>
      </w:r>
      <w:r w:rsidR="008E403E" w:rsidRPr="006C1985">
        <w:rPr>
          <w:rFonts w:ascii="Times New Roman" w:hAnsi="Times New Roman" w:cs="Times New Roman"/>
          <w:sz w:val="24"/>
          <w:szCs w:val="24"/>
        </w:rPr>
        <w:t>an assessed loss carried forward is in the 23</w:t>
      </w:r>
      <w:r w:rsidR="008E403E" w:rsidRPr="006C1985">
        <w:rPr>
          <w:rFonts w:ascii="Times New Roman" w:hAnsi="Times New Roman" w:cs="Times New Roman"/>
          <w:sz w:val="24"/>
          <w:szCs w:val="24"/>
          <w:vertAlign w:val="superscript"/>
        </w:rPr>
        <w:t>rd</w:t>
      </w:r>
      <w:r w:rsidR="008E403E" w:rsidRPr="006C1985">
        <w:rPr>
          <w:rFonts w:ascii="Times New Roman" w:hAnsi="Times New Roman" w:cs="Times New Roman"/>
          <w:sz w:val="24"/>
          <w:szCs w:val="24"/>
        </w:rPr>
        <w:t xml:space="preserve"> Schedule deemed to be “expenditure incurred”. </w:t>
      </w:r>
    </w:p>
    <w:p w:rsidR="00BB4283" w:rsidRPr="006C1985" w:rsidRDefault="00BB4283"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The appellant’s </w:t>
      </w:r>
      <w:r w:rsidR="00C04B28" w:rsidRPr="006C1985">
        <w:rPr>
          <w:rFonts w:ascii="Times New Roman" w:hAnsi="Times New Roman" w:cs="Times New Roman"/>
          <w:sz w:val="24"/>
          <w:szCs w:val="24"/>
        </w:rPr>
        <w:t>fall-back</w:t>
      </w:r>
      <w:r w:rsidRPr="006C1985">
        <w:rPr>
          <w:rFonts w:ascii="Times New Roman" w:hAnsi="Times New Roman" w:cs="Times New Roman"/>
          <w:sz w:val="24"/>
          <w:szCs w:val="24"/>
        </w:rPr>
        <w:t xml:space="preserve"> </w:t>
      </w:r>
      <w:r w:rsidR="00C04B28" w:rsidRPr="006C1985">
        <w:rPr>
          <w:rFonts w:ascii="Times New Roman" w:hAnsi="Times New Roman" w:cs="Times New Roman"/>
          <w:sz w:val="24"/>
          <w:szCs w:val="24"/>
        </w:rPr>
        <w:t xml:space="preserve">position </w:t>
      </w:r>
      <w:r w:rsidRPr="006C1985">
        <w:rPr>
          <w:rFonts w:ascii="Times New Roman" w:hAnsi="Times New Roman" w:cs="Times New Roman"/>
          <w:sz w:val="24"/>
          <w:szCs w:val="24"/>
        </w:rPr>
        <w:t xml:space="preserve">was the </w:t>
      </w:r>
      <w:r w:rsidRPr="006C1985">
        <w:rPr>
          <w:rFonts w:ascii="Times New Roman" w:hAnsi="Times New Roman" w:cs="Times New Roman"/>
          <w:i/>
          <w:sz w:val="24"/>
          <w:szCs w:val="24"/>
        </w:rPr>
        <w:t xml:space="preserve">contra </w:t>
      </w:r>
      <w:proofErr w:type="spellStart"/>
      <w:r w:rsidRPr="006C1985">
        <w:rPr>
          <w:rFonts w:ascii="Times New Roman" w:hAnsi="Times New Roman" w:cs="Times New Roman"/>
          <w:i/>
          <w:sz w:val="24"/>
          <w:szCs w:val="24"/>
        </w:rPr>
        <w:t>fiscum</w:t>
      </w:r>
      <w:proofErr w:type="spellEnd"/>
      <w:r w:rsidRPr="006C1985">
        <w:rPr>
          <w:rFonts w:ascii="Times New Roman" w:hAnsi="Times New Roman" w:cs="Times New Roman"/>
          <w:sz w:val="24"/>
          <w:szCs w:val="24"/>
        </w:rPr>
        <w:t xml:space="preserve"> rule. </w:t>
      </w:r>
      <w:r w:rsidR="00A0295C" w:rsidRPr="006C1985">
        <w:rPr>
          <w:rFonts w:ascii="Times New Roman" w:hAnsi="Times New Roman" w:cs="Times New Roman"/>
          <w:sz w:val="24"/>
          <w:szCs w:val="24"/>
        </w:rPr>
        <w:t xml:space="preserve">It entails construing an ambiguous and unclear statute, especially a taxing one, which imposes a burden in a way that is more favourable to a subject. See </w:t>
      </w:r>
      <w:proofErr w:type="spellStart"/>
      <w:r w:rsidR="00A0295C" w:rsidRPr="006C1985">
        <w:rPr>
          <w:rFonts w:ascii="Times New Roman" w:hAnsi="Times New Roman" w:cs="Times New Roman"/>
          <w:i/>
          <w:sz w:val="24"/>
          <w:szCs w:val="24"/>
        </w:rPr>
        <w:t>Fundstrust</w:t>
      </w:r>
      <w:proofErr w:type="spellEnd"/>
      <w:r w:rsidR="00A0295C" w:rsidRPr="006C1985">
        <w:rPr>
          <w:rFonts w:ascii="Times New Roman" w:hAnsi="Times New Roman" w:cs="Times New Roman"/>
          <w:i/>
          <w:sz w:val="24"/>
          <w:szCs w:val="24"/>
        </w:rPr>
        <w:t xml:space="preserve"> (Pty) Ltd (In Liquidation </w:t>
      </w:r>
      <w:r w:rsidR="00A0295C" w:rsidRPr="000C09C5">
        <w:rPr>
          <w:rFonts w:ascii="Times New Roman" w:hAnsi="Times New Roman" w:cs="Times New Roman"/>
          <w:sz w:val="24"/>
          <w:szCs w:val="24"/>
        </w:rPr>
        <w:t>v</w:t>
      </w:r>
      <w:r w:rsidR="00A0295C" w:rsidRPr="006C1985">
        <w:rPr>
          <w:rFonts w:ascii="Times New Roman" w:hAnsi="Times New Roman" w:cs="Times New Roman"/>
          <w:i/>
          <w:sz w:val="24"/>
          <w:szCs w:val="24"/>
        </w:rPr>
        <w:t xml:space="preserve"> Van Deventer</w:t>
      </w:r>
      <w:r w:rsidR="00A0295C" w:rsidRPr="006C1985">
        <w:rPr>
          <w:rFonts w:ascii="Times New Roman" w:hAnsi="Times New Roman" w:cs="Times New Roman"/>
          <w:sz w:val="24"/>
          <w:szCs w:val="24"/>
        </w:rPr>
        <w:t xml:space="preserve"> 1997 (1) SA 710 (A) at 735G-H,</w:t>
      </w:r>
      <w:r w:rsidR="00A0295C" w:rsidRPr="006C1985">
        <w:rPr>
          <w:rFonts w:ascii="Times New Roman" w:hAnsi="Times New Roman" w:cs="Times New Roman"/>
          <w:i/>
          <w:sz w:val="24"/>
          <w:szCs w:val="24"/>
        </w:rPr>
        <w:t xml:space="preserve"> Willis Faber </w:t>
      </w:r>
      <w:proofErr w:type="spellStart"/>
      <w:r w:rsidR="00A0295C" w:rsidRPr="006C1985">
        <w:rPr>
          <w:rFonts w:ascii="Times New Roman" w:hAnsi="Times New Roman" w:cs="Times New Roman"/>
          <w:i/>
          <w:sz w:val="24"/>
          <w:szCs w:val="24"/>
        </w:rPr>
        <w:t>Enthoven</w:t>
      </w:r>
      <w:proofErr w:type="spellEnd"/>
      <w:r w:rsidR="00A0295C" w:rsidRPr="006C1985">
        <w:rPr>
          <w:rFonts w:ascii="Times New Roman" w:hAnsi="Times New Roman" w:cs="Times New Roman"/>
          <w:i/>
          <w:sz w:val="24"/>
          <w:szCs w:val="24"/>
        </w:rPr>
        <w:t xml:space="preserve"> (Pty) Ltd v Receiver of Revenue &amp; </w:t>
      </w:r>
      <w:proofErr w:type="spellStart"/>
      <w:r w:rsidR="00A0295C" w:rsidRPr="006C1985">
        <w:rPr>
          <w:rFonts w:ascii="Times New Roman" w:hAnsi="Times New Roman" w:cs="Times New Roman"/>
          <w:i/>
          <w:sz w:val="24"/>
          <w:szCs w:val="24"/>
        </w:rPr>
        <w:t>Anor</w:t>
      </w:r>
      <w:proofErr w:type="spellEnd"/>
      <w:r w:rsidR="00A0295C" w:rsidRPr="006C1985">
        <w:rPr>
          <w:rFonts w:ascii="Times New Roman" w:hAnsi="Times New Roman" w:cs="Times New Roman"/>
          <w:i/>
          <w:sz w:val="24"/>
          <w:szCs w:val="24"/>
        </w:rPr>
        <w:t xml:space="preserve"> </w:t>
      </w:r>
      <w:r w:rsidR="00A0295C" w:rsidRPr="006C1985">
        <w:rPr>
          <w:rFonts w:ascii="Times New Roman" w:hAnsi="Times New Roman" w:cs="Times New Roman"/>
          <w:sz w:val="24"/>
          <w:szCs w:val="24"/>
        </w:rPr>
        <w:t xml:space="preserve">1992 (4) SA 202 (A) at 216C, </w:t>
      </w:r>
      <w:proofErr w:type="spellStart"/>
      <w:r w:rsidR="00A0295C" w:rsidRPr="006C1985">
        <w:rPr>
          <w:rFonts w:ascii="Times New Roman" w:hAnsi="Times New Roman" w:cs="Times New Roman"/>
          <w:i/>
          <w:sz w:val="24"/>
          <w:szCs w:val="24"/>
        </w:rPr>
        <w:t>Coltness</w:t>
      </w:r>
      <w:proofErr w:type="spellEnd"/>
      <w:r w:rsidR="00A0295C" w:rsidRPr="006C1985">
        <w:rPr>
          <w:rFonts w:ascii="Times New Roman" w:hAnsi="Times New Roman" w:cs="Times New Roman"/>
          <w:i/>
          <w:sz w:val="24"/>
          <w:szCs w:val="24"/>
        </w:rPr>
        <w:t xml:space="preserve"> Iron Co </w:t>
      </w:r>
      <w:r w:rsidR="00A0295C" w:rsidRPr="000C09C5">
        <w:rPr>
          <w:rFonts w:ascii="Times New Roman" w:hAnsi="Times New Roman" w:cs="Times New Roman"/>
          <w:sz w:val="24"/>
          <w:szCs w:val="24"/>
        </w:rPr>
        <w:t>v</w:t>
      </w:r>
      <w:r w:rsidR="00A0295C" w:rsidRPr="006C1985">
        <w:rPr>
          <w:rFonts w:ascii="Times New Roman" w:hAnsi="Times New Roman" w:cs="Times New Roman"/>
          <w:i/>
          <w:sz w:val="24"/>
          <w:szCs w:val="24"/>
        </w:rPr>
        <w:t xml:space="preserve"> Black </w:t>
      </w:r>
      <w:r w:rsidR="00A0295C" w:rsidRPr="006C1985">
        <w:rPr>
          <w:rFonts w:ascii="Times New Roman" w:hAnsi="Times New Roman" w:cs="Times New Roman"/>
          <w:sz w:val="24"/>
          <w:szCs w:val="24"/>
        </w:rPr>
        <w:t xml:space="preserve">1881 (6) App </w:t>
      </w:r>
      <w:proofErr w:type="spellStart"/>
      <w:r w:rsidR="00A0295C" w:rsidRPr="006C1985">
        <w:rPr>
          <w:rFonts w:ascii="Times New Roman" w:hAnsi="Times New Roman" w:cs="Times New Roman"/>
          <w:sz w:val="24"/>
          <w:szCs w:val="24"/>
        </w:rPr>
        <w:t>Cas</w:t>
      </w:r>
      <w:proofErr w:type="spellEnd"/>
      <w:r w:rsidR="00A0295C" w:rsidRPr="006C1985">
        <w:rPr>
          <w:rFonts w:ascii="Times New Roman" w:hAnsi="Times New Roman" w:cs="Times New Roman"/>
          <w:sz w:val="24"/>
          <w:szCs w:val="24"/>
        </w:rPr>
        <w:t xml:space="preserve"> 315</w:t>
      </w:r>
      <w:r w:rsidR="00544331" w:rsidRPr="006C1985">
        <w:rPr>
          <w:rFonts w:ascii="Times New Roman" w:hAnsi="Times New Roman" w:cs="Times New Roman"/>
          <w:sz w:val="24"/>
          <w:szCs w:val="24"/>
        </w:rPr>
        <w:t xml:space="preserve"> and </w:t>
      </w:r>
      <w:r w:rsidR="00544331" w:rsidRPr="006C1985">
        <w:rPr>
          <w:rFonts w:ascii="Times New Roman" w:hAnsi="Times New Roman" w:cs="Times New Roman"/>
          <w:i/>
          <w:sz w:val="24"/>
          <w:szCs w:val="24"/>
        </w:rPr>
        <w:t xml:space="preserve">Scottish Widows PLC </w:t>
      </w:r>
      <w:r w:rsidR="00544331" w:rsidRPr="000C09C5">
        <w:rPr>
          <w:rFonts w:ascii="Times New Roman" w:hAnsi="Times New Roman" w:cs="Times New Roman"/>
          <w:sz w:val="24"/>
          <w:szCs w:val="24"/>
        </w:rPr>
        <w:t>v</w:t>
      </w:r>
      <w:r w:rsidR="00544331" w:rsidRPr="006C1985">
        <w:rPr>
          <w:rFonts w:ascii="Times New Roman" w:hAnsi="Times New Roman" w:cs="Times New Roman"/>
          <w:i/>
          <w:sz w:val="24"/>
          <w:szCs w:val="24"/>
        </w:rPr>
        <w:t xml:space="preserve"> </w:t>
      </w:r>
      <w:r w:rsidR="001B033A" w:rsidRPr="006C1985">
        <w:rPr>
          <w:rFonts w:ascii="Times New Roman" w:hAnsi="Times New Roman" w:cs="Times New Roman"/>
          <w:i/>
          <w:sz w:val="24"/>
          <w:szCs w:val="24"/>
        </w:rPr>
        <w:t>Commissioner</w:t>
      </w:r>
      <w:r w:rsidR="00544331" w:rsidRPr="006C1985">
        <w:rPr>
          <w:rFonts w:ascii="Times New Roman" w:hAnsi="Times New Roman" w:cs="Times New Roman"/>
          <w:i/>
          <w:sz w:val="24"/>
          <w:szCs w:val="24"/>
        </w:rPr>
        <w:t xml:space="preserve"> of Her Majesty’s Revenue and Customs </w:t>
      </w:r>
      <w:r w:rsidR="00544331" w:rsidRPr="006C1985">
        <w:rPr>
          <w:rFonts w:ascii="Times New Roman" w:hAnsi="Times New Roman" w:cs="Times New Roman"/>
          <w:sz w:val="24"/>
          <w:szCs w:val="24"/>
        </w:rPr>
        <w:t>[2011</w:t>
      </w:r>
      <w:r w:rsidR="00676DF5">
        <w:rPr>
          <w:rFonts w:ascii="Times New Roman" w:hAnsi="Times New Roman" w:cs="Times New Roman"/>
          <w:sz w:val="24"/>
          <w:szCs w:val="24"/>
        </w:rPr>
        <w:t>]</w:t>
      </w:r>
      <w:r w:rsidR="00544331" w:rsidRPr="006C1985">
        <w:rPr>
          <w:rFonts w:ascii="Times New Roman" w:hAnsi="Times New Roman" w:cs="Times New Roman"/>
          <w:sz w:val="24"/>
          <w:szCs w:val="24"/>
        </w:rPr>
        <w:t xml:space="preserve"> UKSC 32 at para 94. The timely warning of Scott JA in </w:t>
      </w:r>
      <w:r w:rsidR="00544331" w:rsidRPr="00676DF5">
        <w:rPr>
          <w:rFonts w:ascii="Times New Roman" w:hAnsi="Times New Roman" w:cs="Times New Roman"/>
          <w:i/>
          <w:sz w:val="24"/>
          <w:szCs w:val="24"/>
        </w:rPr>
        <w:t>NST Ferrochrome (Pty) Ltd</w:t>
      </w:r>
      <w:r w:rsidR="00544331" w:rsidRPr="006C1985">
        <w:rPr>
          <w:rFonts w:ascii="Times New Roman" w:hAnsi="Times New Roman" w:cs="Times New Roman"/>
          <w:sz w:val="24"/>
          <w:szCs w:val="24"/>
        </w:rPr>
        <w:t xml:space="preserve"> v </w:t>
      </w:r>
      <w:r w:rsidR="00544331" w:rsidRPr="006C1985">
        <w:rPr>
          <w:rFonts w:ascii="Times New Roman" w:hAnsi="Times New Roman" w:cs="Times New Roman"/>
          <w:i/>
          <w:sz w:val="24"/>
          <w:szCs w:val="24"/>
        </w:rPr>
        <w:t>Commissioner for Inland Revenue</w:t>
      </w:r>
      <w:r w:rsidR="00544331" w:rsidRPr="006C1985">
        <w:rPr>
          <w:rFonts w:ascii="Times New Roman" w:hAnsi="Times New Roman" w:cs="Times New Roman"/>
          <w:sz w:val="24"/>
          <w:szCs w:val="24"/>
        </w:rPr>
        <w:t xml:space="preserve"> 567/97 [2000] ZASCA 171 para 17; 2000 (3) SA 1040 (SCA) at 1048D-G applies with equal force in the present case. He said:</w:t>
      </w:r>
    </w:p>
    <w:p w:rsidR="00544331" w:rsidRPr="000C09C5" w:rsidRDefault="00544331" w:rsidP="00BD5135">
      <w:pPr>
        <w:ind w:left="720"/>
        <w:jc w:val="both"/>
        <w:rPr>
          <w:rFonts w:ascii="Times New Roman" w:hAnsi="Times New Roman" w:cs="Times New Roman"/>
        </w:rPr>
      </w:pPr>
      <w:r w:rsidRPr="000C09C5">
        <w:rPr>
          <w:rFonts w:ascii="Times New Roman" w:hAnsi="Times New Roman" w:cs="Times New Roman"/>
        </w:rPr>
        <w:t>“</w:t>
      </w:r>
      <w:r w:rsidR="00951854" w:rsidRPr="000C09C5">
        <w:rPr>
          <w:rFonts w:ascii="Times New Roman" w:hAnsi="Times New Roman" w:cs="Times New Roman"/>
        </w:rPr>
        <w:t xml:space="preserve">[17] An alternative argument advanced on behalf of the appellant was that </w:t>
      </w:r>
      <w:proofErr w:type="spellStart"/>
      <w:r w:rsidR="00951854" w:rsidRPr="000C09C5">
        <w:rPr>
          <w:rFonts w:ascii="Times New Roman" w:hAnsi="Times New Roman" w:cs="Times New Roman"/>
        </w:rPr>
        <w:t>subpara</w:t>
      </w:r>
      <w:proofErr w:type="spellEnd"/>
      <w:r w:rsidR="00951854" w:rsidRPr="000C09C5">
        <w:rPr>
          <w:rFonts w:ascii="Times New Roman" w:hAnsi="Times New Roman" w:cs="Times New Roman"/>
        </w:rPr>
        <w:t xml:space="preserve"> (d)</w:t>
      </w:r>
      <w:r w:rsidR="00676DF5">
        <w:rPr>
          <w:rFonts w:ascii="Times New Roman" w:hAnsi="Times New Roman" w:cs="Times New Roman"/>
        </w:rPr>
        <w:t xml:space="preserve"> </w:t>
      </w:r>
      <w:r w:rsidR="00951854" w:rsidRPr="000C09C5">
        <w:rPr>
          <w:rFonts w:ascii="Times New Roman" w:hAnsi="Times New Roman" w:cs="Times New Roman"/>
        </w:rPr>
        <w:t>(</w:t>
      </w:r>
      <w:proofErr w:type="gramStart"/>
      <w:r w:rsidR="00951854" w:rsidRPr="000C09C5">
        <w:rPr>
          <w:rFonts w:ascii="Times New Roman" w:hAnsi="Times New Roman" w:cs="Times New Roman"/>
        </w:rPr>
        <w:t>iv</w:t>
      </w:r>
      <w:proofErr w:type="gramEnd"/>
      <w:r w:rsidR="00951854" w:rsidRPr="000C09C5">
        <w:rPr>
          <w:rFonts w:ascii="Times New Roman" w:hAnsi="Times New Roman" w:cs="Times New Roman"/>
        </w:rPr>
        <w:t xml:space="preserve">) was at least reasonably capable </w:t>
      </w:r>
      <w:r w:rsidR="002563DC" w:rsidRPr="000C09C5">
        <w:rPr>
          <w:rFonts w:ascii="Times New Roman" w:hAnsi="Times New Roman" w:cs="Times New Roman"/>
        </w:rPr>
        <w:t>of the</w:t>
      </w:r>
      <w:r w:rsidR="00951854" w:rsidRPr="000C09C5">
        <w:rPr>
          <w:rFonts w:ascii="Times New Roman" w:hAnsi="Times New Roman" w:cs="Times New Roman"/>
        </w:rPr>
        <w:t xml:space="preserve"> construction which the appellant sought to place upon </w:t>
      </w:r>
      <w:r w:rsidR="00951854" w:rsidRPr="000C09C5">
        <w:rPr>
          <w:rFonts w:ascii="Times New Roman" w:hAnsi="Times New Roman" w:cs="Times New Roman"/>
        </w:rPr>
        <w:lastRenderedPageBreak/>
        <w:t xml:space="preserve">it. Accordingly, so it was contended, the </w:t>
      </w:r>
      <w:r w:rsidR="00951854" w:rsidRPr="000C09C5">
        <w:rPr>
          <w:rFonts w:ascii="Times New Roman" w:hAnsi="Times New Roman" w:cs="Times New Roman"/>
          <w:i/>
        </w:rPr>
        <w:t xml:space="preserve">contra </w:t>
      </w:r>
      <w:proofErr w:type="spellStart"/>
      <w:r w:rsidR="00951854" w:rsidRPr="000C09C5">
        <w:rPr>
          <w:rFonts w:ascii="Times New Roman" w:hAnsi="Times New Roman" w:cs="Times New Roman"/>
          <w:i/>
        </w:rPr>
        <w:t>fiscum</w:t>
      </w:r>
      <w:proofErr w:type="spellEnd"/>
      <w:r w:rsidR="00951854" w:rsidRPr="000C09C5">
        <w:rPr>
          <w:rFonts w:ascii="Times New Roman" w:hAnsi="Times New Roman" w:cs="Times New Roman"/>
        </w:rPr>
        <w:t xml:space="preserve"> rule required that the subparagraph be so construed. Where there is doubt as to the meaning of a statutory provision which imposes a burden, it is well established that the doubt is to be resolved by construing the provision in a way which is more favourable to the subject, provided of course the provision is reasonably capable of that construction. </w:t>
      </w:r>
      <w:proofErr w:type="gramStart"/>
      <w:r w:rsidR="00951854" w:rsidRPr="000C09C5">
        <w:rPr>
          <w:rFonts w:ascii="Times New Roman" w:hAnsi="Times New Roman" w:cs="Times New Roman"/>
        </w:rPr>
        <w:t xml:space="preserve">(See, for example, </w:t>
      </w:r>
      <w:proofErr w:type="spellStart"/>
      <w:r w:rsidR="00951854" w:rsidRPr="000C09C5">
        <w:rPr>
          <w:rFonts w:ascii="Times New Roman" w:hAnsi="Times New Roman" w:cs="Times New Roman"/>
          <w:i/>
        </w:rPr>
        <w:t>Fundstrust</w:t>
      </w:r>
      <w:proofErr w:type="spellEnd"/>
      <w:r w:rsidR="00951854" w:rsidRPr="000C09C5">
        <w:rPr>
          <w:rFonts w:ascii="Times New Roman" w:hAnsi="Times New Roman" w:cs="Times New Roman"/>
          <w:i/>
        </w:rPr>
        <w:t xml:space="preserve"> (Pty) Ltd (in Liquidation) v Van Deventer</w:t>
      </w:r>
      <w:r w:rsidR="00951854" w:rsidRPr="000C09C5">
        <w:rPr>
          <w:rFonts w:ascii="Times New Roman" w:hAnsi="Times New Roman" w:cs="Times New Roman"/>
        </w:rPr>
        <w:t xml:space="preserve"> 1997 (1) SA 710 (A) at 735G - H; </w:t>
      </w:r>
      <w:r w:rsidR="00951854" w:rsidRPr="000C09C5">
        <w:rPr>
          <w:rFonts w:ascii="Times New Roman" w:hAnsi="Times New Roman" w:cs="Times New Roman"/>
          <w:i/>
        </w:rPr>
        <w:t xml:space="preserve">Willis Faber </w:t>
      </w:r>
      <w:proofErr w:type="spellStart"/>
      <w:r w:rsidR="00951854" w:rsidRPr="000C09C5">
        <w:rPr>
          <w:rFonts w:ascii="Times New Roman" w:hAnsi="Times New Roman" w:cs="Times New Roman"/>
          <w:i/>
        </w:rPr>
        <w:t>Enthoven</w:t>
      </w:r>
      <w:proofErr w:type="spellEnd"/>
      <w:r w:rsidR="00951854" w:rsidRPr="000C09C5">
        <w:rPr>
          <w:rFonts w:ascii="Times New Roman" w:hAnsi="Times New Roman" w:cs="Times New Roman"/>
          <w:i/>
        </w:rPr>
        <w:t xml:space="preserve"> (Pty) Ltd v Receiver of Revenue and Another </w:t>
      </w:r>
      <w:r w:rsidR="00951854" w:rsidRPr="000C09C5">
        <w:rPr>
          <w:rFonts w:ascii="Times New Roman" w:hAnsi="Times New Roman" w:cs="Times New Roman"/>
        </w:rPr>
        <w:t>1992 (4) SA 202 (A) at 216C.)</w:t>
      </w:r>
      <w:proofErr w:type="gramEnd"/>
      <w:r w:rsidR="00951854" w:rsidRPr="000C09C5">
        <w:rPr>
          <w:rFonts w:ascii="Times New Roman" w:hAnsi="Times New Roman" w:cs="Times New Roman"/>
        </w:rPr>
        <w:t xml:space="preserve"> But, where any uncertainty in a statutory provision can be resolved by an examination of the language used in its context, there is no rule of interpretation which requires that effect </w:t>
      </w:r>
      <w:proofErr w:type="gramStart"/>
      <w:r w:rsidR="00951854" w:rsidRPr="000C09C5">
        <w:rPr>
          <w:rFonts w:ascii="Times New Roman" w:hAnsi="Times New Roman" w:cs="Times New Roman"/>
        </w:rPr>
        <w:t>be</w:t>
      </w:r>
      <w:proofErr w:type="gramEnd"/>
      <w:r w:rsidR="00951854" w:rsidRPr="000C09C5">
        <w:rPr>
          <w:rFonts w:ascii="Times New Roman" w:hAnsi="Times New Roman" w:cs="Times New Roman"/>
        </w:rPr>
        <w:t xml:space="preserve"> given to a construction which is found not to be the correct one merely because that construction would be less onerous on the subject. </w:t>
      </w:r>
      <w:proofErr w:type="gramStart"/>
      <w:r w:rsidR="00951854" w:rsidRPr="000C09C5">
        <w:rPr>
          <w:rFonts w:ascii="Times New Roman" w:hAnsi="Times New Roman" w:cs="Times New Roman"/>
        </w:rPr>
        <w:t xml:space="preserve">(See, for example, </w:t>
      </w:r>
      <w:r w:rsidR="00951854" w:rsidRPr="000C09C5">
        <w:rPr>
          <w:rFonts w:ascii="Times New Roman" w:hAnsi="Times New Roman" w:cs="Times New Roman"/>
          <w:i/>
        </w:rPr>
        <w:t xml:space="preserve">Glen Anil Development Corporation Ltd v Secretary for Inland Revenue </w:t>
      </w:r>
      <w:r w:rsidR="00951854" w:rsidRPr="000C09C5">
        <w:rPr>
          <w:rFonts w:ascii="Times New Roman" w:hAnsi="Times New Roman" w:cs="Times New Roman"/>
        </w:rPr>
        <w:t xml:space="preserve">1975 (4) SA 715 (A) at 726 </w:t>
      </w:r>
      <w:r w:rsidR="00951854" w:rsidRPr="000C09C5">
        <w:rPr>
          <w:rFonts w:ascii="Times New Roman" w:hAnsi="Times New Roman" w:cs="Times New Roman"/>
          <w:i/>
        </w:rPr>
        <w:t>in fine</w:t>
      </w:r>
      <w:r w:rsidR="00951854" w:rsidRPr="000C09C5">
        <w:rPr>
          <w:rFonts w:ascii="Times New Roman" w:hAnsi="Times New Roman" w:cs="Times New Roman"/>
        </w:rPr>
        <w:t xml:space="preserve"> - 727H.)</w:t>
      </w:r>
      <w:proofErr w:type="gramEnd"/>
      <w:r w:rsidR="00951854" w:rsidRPr="000C09C5">
        <w:rPr>
          <w:rFonts w:ascii="Times New Roman" w:hAnsi="Times New Roman" w:cs="Times New Roman"/>
        </w:rPr>
        <w:t xml:space="preserve"> For the reasons already given, I am satisfied that the construction of </w:t>
      </w:r>
      <w:proofErr w:type="spellStart"/>
      <w:r w:rsidR="00951854" w:rsidRPr="000C09C5">
        <w:rPr>
          <w:rFonts w:ascii="Times New Roman" w:hAnsi="Times New Roman" w:cs="Times New Roman"/>
        </w:rPr>
        <w:t>subpara</w:t>
      </w:r>
      <w:proofErr w:type="spellEnd"/>
      <w:r w:rsidR="00951854" w:rsidRPr="000C09C5">
        <w:rPr>
          <w:rFonts w:ascii="Times New Roman" w:hAnsi="Times New Roman" w:cs="Times New Roman"/>
        </w:rPr>
        <w:t xml:space="preserve"> (d</w:t>
      </w:r>
      <w:r w:rsidR="00561B7C" w:rsidRPr="000C09C5">
        <w:rPr>
          <w:rFonts w:ascii="Times New Roman" w:hAnsi="Times New Roman" w:cs="Times New Roman"/>
        </w:rPr>
        <w:t>) (</w:t>
      </w:r>
      <w:proofErr w:type="gramStart"/>
      <w:r w:rsidR="00951854" w:rsidRPr="000C09C5">
        <w:rPr>
          <w:rFonts w:ascii="Times New Roman" w:hAnsi="Times New Roman" w:cs="Times New Roman"/>
        </w:rPr>
        <w:t>iv</w:t>
      </w:r>
      <w:proofErr w:type="gramEnd"/>
      <w:r w:rsidR="00951854" w:rsidRPr="000C09C5">
        <w:rPr>
          <w:rFonts w:ascii="Times New Roman" w:hAnsi="Times New Roman" w:cs="Times New Roman"/>
        </w:rPr>
        <w:t>) advanced on behalf of the appellant is not correct. It follows that the alternative argument must likewise fail”.</w:t>
      </w:r>
    </w:p>
    <w:p w:rsidR="00E61BA2" w:rsidRPr="006C1985" w:rsidRDefault="00C36020"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In my view</w:t>
      </w:r>
      <w:r w:rsidR="00BC0CC8">
        <w:rPr>
          <w:rFonts w:ascii="Times New Roman" w:hAnsi="Times New Roman" w:cs="Times New Roman"/>
          <w:sz w:val="24"/>
          <w:szCs w:val="24"/>
        </w:rPr>
        <w:t>,</w:t>
      </w:r>
      <w:r w:rsidRPr="006C1985">
        <w:rPr>
          <w:rFonts w:ascii="Times New Roman" w:hAnsi="Times New Roman" w:cs="Times New Roman"/>
          <w:sz w:val="24"/>
          <w:szCs w:val="24"/>
        </w:rPr>
        <w:t xml:space="preserve"> the wording of para 2 (3) </w:t>
      </w:r>
      <w:r w:rsidR="00E61BA2" w:rsidRPr="006C1985">
        <w:rPr>
          <w:rFonts w:ascii="Times New Roman" w:hAnsi="Times New Roman" w:cs="Times New Roman"/>
          <w:sz w:val="24"/>
          <w:szCs w:val="24"/>
        </w:rPr>
        <w:t>of the 23</w:t>
      </w:r>
      <w:r w:rsidR="00E61BA2" w:rsidRPr="006C1985">
        <w:rPr>
          <w:rFonts w:ascii="Times New Roman" w:hAnsi="Times New Roman" w:cs="Times New Roman"/>
          <w:sz w:val="24"/>
          <w:szCs w:val="24"/>
          <w:vertAlign w:val="superscript"/>
        </w:rPr>
        <w:t>rd</w:t>
      </w:r>
      <w:r w:rsidR="00E61BA2" w:rsidRPr="006C1985">
        <w:rPr>
          <w:rFonts w:ascii="Times New Roman" w:hAnsi="Times New Roman" w:cs="Times New Roman"/>
          <w:sz w:val="24"/>
          <w:szCs w:val="24"/>
        </w:rPr>
        <w:t xml:space="preserve"> Schedule is clear and unambiguous and does </w:t>
      </w:r>
      <w:r w:rsidR="00BC0CC8">
        <w:rPr>
          <w:rFonts w:ascii="Times New Roman" w:hAnsi="Times New Roman" w:cs="Times New Roman"/>
          <w:sz w:val="24"/>
          <w:szCs w:val="24"/>
        </w:rPr>
        <w:t xml:space="preserve">not </w:t>
      </w:r>
      <w:r w:rsidR="00E61BA2" w:rsidRPr="006C1985">
        <w:rPr>
          <w:rFonts w:ascii="Times New Roman" w:hAnsi="Times New Roman" w:cs="Times New Roman"/>
          <w:sz w:val="24"/>
          <w:szCs w:val="24"/>
        </w:rPr>
        <w:t xml:space="preserve">require the application of the </w:t>
      </w:r>
      <w:r w:rsidR="00E61BA2" w:rsidRPr="006C1985">
        <w:rPr>
          <w:rFonts w:ascii="Times New Roman" w:hAnsi="Times New Roman" w:cs="Times New Roman"/>
          <w:i/>
          <w:sz w:val="24"/>
          <w:szCs w:val="24"/>
        </w:rPr>
        <w:t xml:space="preserve">contra </w:t>
      </w:r>
      <w:proofErr w:type="spellStart"/>
      <w:r w:rsidR="00E61BA2" w:rsidRPr="006C1985">
        <w:rPr>
          <w:rFonts w:ascii="Times New Roman" w:hAnsi="Times New Roman" w:cs="Times New Roman"/>
          <w:i/>
          <w:sz w:val="24"/>
          <w:szCs w:val="24"/>
        </w:rPr>
        <w:t>fiscum</w:t>
      </w:r>
      <w:proofErr w:type="spellEnd"/>
      <w:r w:rsidR="00E61BA2" w:rsidRPr="006C1985">
        <w:rPr>
          <w:rFonts w:ascii="Times New Roman" w:hAnsi="Times New Roman" w:cs="Times New Roman"/>
          <w:sz w:val="24"/>
          <w:szCs w:val="24"/>
        </w:rPr>
        <w:t xml:space="preserve"> rule.</w:t>
      </w:r>
    </w:p>
    <w:p w:rsidR="001C7E9B" w:rsidRPr="006C1985" w:rsidRDefault="00E61BA2"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Cou</w:t>
      </w:r>
      <w:r w:rsidR="001C7E9B" w:rsidRPr="006C1985">
        <w:rPr>
          <w:rFonts w:ascii="Times New Roman" w:hAnsi="Times New Roman" w:cs="Times New Roman"/>
          <w:sz w:val="24"/>
          <w:szCs w:val="24"/>
        </w:rPr>
        <w:t>n</w:t>
      </w:r>
      <w:r w:rsidRPr="006C1985">
        <w:rPr>
          <w:rFonts w:ascii="Times New Roman" w:hAnsi="Times New Roman" w:cs="Times New Roman"/>
          <w:sz w:val="24"/>
          <w:szCs w:val="24"/>
        </w:rPr>
        <w:t>sel were in disagreement on whether s 15 (4) of the Income Tax Act applied to the computation of additional profit</w:t>
      </w:r>
      <w:r w:rsidR="00A34876">
        <w:rPr>
          <w:rFonts w:ascii="Times New Roman" w:hAnsi="Times New Roman" w:cs="Times New Roman"/>
          <w:sz w:val="24"/>
          <w:szCs w:val="24"/>
        </w:rPr>
        <w:t>s</w:t>
      </w:r>
      <w:r w:rsidRPr="006C1985">
        <w:rPr>
          <w:rFonts w:ascii="Times New Roman" w:hAnsi="Times New Roman" w:cs="Times New Roman"/>
          <w:sz w:val="24"/>
          <w:szCs w:val="24"/>
        </w:rPr>
        <w:t xml:space="preserve"> tax against a holder of a special mining lease. </w:t>
      </w:r>
      <w:r w:rsidR="001C7E9B" w:rsidRPr="006C1985">
        <w:rPr>
          <w:rFonts w:ascii="Times New Roman" w:hAnsi="Times New Roman" w:cs="Times New Roman"/>
          <w:sz w:val="24"/>
          <w:szCs w:val="24"/>
        </w:rPr>
        <w:t>It states that:</w:t>
      </w:r>
    </w:p>
    <w:p w:rsidR="001C7E9B" w:rsidRPr="000C09C5" w:rsidRDefault="001C7E9B" w:rsidP="00BD5135">
      <w:pPr>
        <w:autoSpaceDE w:val="0"/>
        <w:autoSpaceDN w:val="0"/>
        <w:adjustRightInd w:val="0"/>
        <w:spacing w:after="0" w:line="240" w:lineRule="auto"/>
        <w:ind w:left="720"/>
        <w:jc w:val="both"/>
        <w:rPr>
          <w:rFonts w:ascii="Times New Roman" w:hAnsi="Times New Roman" w:cs="Times New Roman"/>
        </w:rPr>
      </w:pPr>
      <w:r w:rsidRPr="000C09C5">
        <w:rPr>
          <w:rFonts w:ascii="Times New Roman" w:hAnsi="Times New Roman" w:cs="Times New Roman"/>
        </w:rPr>
        <w:t>“</w:t>
      </w:r>
      <w:r w:rsidR="005363B3" w:rsidRPr="000C09C5">
        <w:rPr>
          <w:rFonts w:ascii="Times New Roman" w:hAnsi="Times New Roman" w:cs="Times New Roman"/>
        </w:rPr>
        <w:t xml:space="preserve">(4) Where in respect of any amount, a deduction would but for this subsection be allowable under more than </w:t>
      </w:r>
      <w:r w:rsidR="00F046AB" w:rsidRPr="000C09C5">
        <w:rPr>
          <w:rFonts w:ascii="Times New Roman" w:hAnsi="Times New Roman" w:cs="Times New Roman"/>
        </w:rPr>
        <w:t>one provision of this Act and whether it would be so allowable in respect of the same or different years of assessment, the taxpayer shall not be entitled to claim that such amount shall be deducted more than once and, where the deduction would but for this subsection be allowable under more than one provision of this Act in respect of the same year of assessment, the taxpayer shall elect under which one of those provisions he wishes to claim such amount as a deduction.”</w:t>
      </w:r>
      <w:r w:rsidR="0026260E" w:rsidRPr="000C09C5">
        <w:rPr>
          <w:rFonts w:ascii="Times New Roman" w:hAnsi="Times New Roman" w:cs="Times New Roman"/>
        </w:rPr>
        <w:t xml:space="preserve"> </w:t>
      </w:r>
    </w:p>
    <w:p w:rsidR="001C7E9B" w:rsidRPr="000C09C5" w:rsidRDefault="001C7E9B" w:rsidP="00BD5135">
      <w:pPr>
        <w:jc w:val="both"/>
        <w:rPr>
          <w:rFonts w:ascii="Times New Roman" w:hAnsi="Times New Roman" w:cs="Times New Roman"/>
        </w:rPr>
      </w:pPr>
    </w:p>
    <w:p w:rsidR="00F9314E" w:rsidRDefault="001C7E9B" w:rsidP="00BD5135">
      <w:pPr>
        <w:spacing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 xml:space="preserve">It prohibits double deduction of an assessed loss in the same year of assessment. </w:t>
      </w:r>
      <w:r w:rsidR="00E61BA2" w:rsidRPr="006C1985">
        <w:rPr>
          <w:rFonts w:ascii="Times New Roman" w:hAnsi="Times New Roman" w:cs="Times New Roman"/>
          <w:sz w:val="24"/>
          <w:szCs w:val="24"/>
        </w:rPr>
        <w:t>It was apparent that in terms of para 4 (5) of the 22</w:t>
      </w:r>
      <w:r w:rsidR="00E61BA2" w:rsidRPr="006C1985">
        <w:rPr>
          <w:rFonts w:ascii="Times New Roman" w:hAnsi="Times New Roman" w:cs="Times New Roman"/>
          <w:sz w:val="24"/>
          <w:szCs w:val="24"/>
          <w:vertAlign w:val="superscript"/>
        </w:rPr>
        <w:t>nd</w:t>
      </w:r>
      <w:r w:rsidR="00E61BA2" w:rsidRPr="006C1985">
        <w:rPr>
          <w:rFonts w:ascii="Times New Roman" w:hAnsi="Times New Roman" w:cs="Times New Roman"/>
          <w:sz w:val="24"/>
          <w:szCs w:val="24"/>
        </w:rPr>
        <w:t xml:space="preserve"> Schedule, the section applies to such a holder in calculating his income tax liability</w:t>
      </w:r>
      <w:r w:rsidRPr="006C1985">
        <w:rPr>
          <w:rFonts w:ascii="Times New Roman" w:hAnsi="Times New Roman" w:cs="Times New Roman"/>
          <w:sz w:val="24"/>
          <w:szCs w:val="24"/>
        </w:rPr>
        <w:t xml:space="preserve">. </w:t>
      </w:r>
      <w:r w:rsidR="00E61BA2" w:rsidRPr="006C1985">
        <w:rPr>
          <w:rFonts w:ascii="Times New Roman" w:hAnsi="Times New Roman" w:cs="Times New Roman"/>
          <w:sz w:val="24"/>
          <w:szCs w:val="24"/>
        </w:rPr>
        <w:t xml:space="preserve"> </w:t>
      </w:r>
      <w:r w:rsidRPr="006C1985">
        <w:rPr>
          <w:rFonts w:ascii="Times New Roman" w:hAnsi="Times New Roman" w:cs="Times New Roman"/>
          <w:sz w:val="24"/>
          <w:szCs w:val="24"/>
        </w:rPr>
        <w:t>The</w:t>
      </w:r>
      <w:r w:rsidR="0026260E" w:rsidRPr="006C1985">
        <w:rPr>
          <w:rFonts w:ascii="Times New Roman" w:hAnsi="Times New Roman" w:cs="Times New Roman"/>
          <w:sz w:val="24"/>
          <w:szCs w:val="24"/>
        </w:rPr>
        <w:t xml:space="preserve">  section under consideration in my view is all encompassing and applies to all the provisions of the Income Tax Act whether they specifically incorporate it or not. It prohibits the double deduction of any allowable amount under more than one provision of the Income Tax Act. The taxpayer is given the option to choose the provision under which he wishes to claim the amount of the deduction.</w:t>
      </w:r>
      <w:r w:rsidR="00F9314E" w:rsidRPr="006C1985">
        <w:rPr>
          <w:rFonts w:ascii="Times New Roman" w:hAnsi="Times New Roman" w:cs="Times New Roman"/>
          <w:sz w:val="24"/>
          <w:szCs w:val="24"/>
        </w:rPr>
        <w:t xml:space="preserve"> The submission by the appellant that the word amount is limited in application to Part III of the Income Tax Act and does not therefore extend to the 23</w:t>
      </w:r>
      <w:r w:rsidR="00F9314E" w:rsidRPr="006C1985">
        <w:rPr>
          <w:rFonts w:ascii="Times New Roman" w:hAnsi="Times New Roman" w:cs="Times New Roman"/>
          <w:sz w:val="24"/>
          <w:szCs w:val="24"/>
          <w:vertAlign w:val="superscript"/>
        </w:rPr>
        <w:t>rd</w:t>
      </w:r>
      <w:r w:rsidR="00F9314E" w:rsidRPr="006C1985">
        <w:rPr>
          <w:rFonts w:ascii="Times New Roman" w:hAnsi="Times New Roman" w:cs="Times New Roman"/>
          <w:sz w:val="24"/>
          <w:szCs w:val="24"/>
        </w:rPr>
        <w:t xml:space="preserve"> Schedule overlooks the effect of </w:t>
      </w:r>
      <w:r w:rsidR="008D6941">
        <w:rPr>
          <w:rFonts w:ascii="Times New Roman" w:hAnsi="Times New Roman" w:cs="Times New Roman"/>
          <w:sz w:val="24"/>
          <w:szCs w:val="24"/>
        </w:rPr>
        <w:t xml:space="preserve">the </w:t>
      </w:r>
      <w:r w:rsidR="00F9314E" w:rsidRPr="006C1985">
        <w:rPr>
          <w:rFonts w:ascii="Times New Roman" w:hAnsi="Times New Roman" w:cs="Times New Roman"/>
          <w:sz w:val="24"/>
          <w:szCs w:val="24"/>
        </w:rPr>
        <w:t>cross references found between para 2 (3) (a) of the 23</w:t>
      </w:r>
      <w:r w:rsidR="00F9314E" w:rsidRPr="006C1985">
        <w:rPr>
          <w:rFonts w:ascii="Times New Roman" w:hAnsi="Times New Roman" w:cs="Times New Roman"/>
          <w:sz w:val="24"/>
          <w:szCs w:val="24"/>
          <w:vertAlign w:val="superscript"/>
        </w:rPr>
        <w:t>rd</w:t>
      </w:r>
      <w:r w:rsidR="00F9314E" w:rsidRPr="006C1985">
        <w:rPr>
          <w:rFonts w:ascii="Times New Roman" w:hAnsi="Times New Roman" w:cs="Times New Roman"/>
          <w:sz w:val="24"/>
          <w:szCs w:val="24"/>
        </w:rPr>
        <w:t xml:space="preserve"> Schedule and para 3 (1) of the 22</w:t>
      </w:r>
      <w:r w:rsidR="00F9314E" w:rsidRPr="006C1985">
        <w:rPr>
          <w:rFonts w:ascii="Times New Roman" w:hAnsi="Times New Roman" w:cs="Times New Roman"/>
          <w:sz w:val="24"/>
          <w:szCs w:val="24"/>
          <w:vertAlign w:val="superscript"/>
        </w:rPr>
        <w:t>nd</w:t>
      </w:r>
      <w:r w:rsidR="00F9314E" w:rsidRPr="006C1985">
        <w:rPr>
          <w:rFonts w:ascii="Times New Roman" w:hAnsi="Times New Roman" w:cs="Times New Roman"/>
          <w:sz w:val="24"/>
          <w:szCs w:val="24"/>
        </w:rPr>
        <w:t xml:space="preserve"> Schedule with s 8 (1) (s) of the Income Tax Act. </w:t>
      </w:r>
    </w:p>
    <w:p w:rsidR="00A01D29" w:rsidRDefault="00A01D29" w:rsidP="00A01D29">
      <w:pPr>
        <w:spacing w:line="360" w:lineRule="auto"/>
        <w:jc w:val="both"/>
        <w:rPr>
          <w:rFonts w:ascii="Times New Roman" w:hAnsi="Times New Roman" w:cs="Times New Roman"/>
          <w:sz w:val="24"/>
          <w:szCs w:val="24"/>
          <w:u w:val="single"/>
        </w:rPr>
      </w:pPr>
    </w:p>
    <w:p w:rsidR="00A01D29" w:rsidRDefault="00A01D29" w:rsidP="00A01D29">
      <w:pPr>
        <w:spacing w:line="360" w:lineRule="auto"/>
        <w:jc w:val="both"/>
        <w:rPr>
          <w:rFonts w:ascii="Times New Roman" w:hAnsi="Times New Roman" w:cs="Times New Roman"/>
          <w:sz w:val="24"/>
          <w:szCs w:val="24"/>
          <w:u w:val="single"/>
        </w:rPr>
      </w:pPr>
    </w:p>
    <w:p w:rsidR="00A01D29" w:rsidRPr="00A01D29" w:rsidRDefault="00A01D29" w:rsidP="00A01D29">
      <w:pPr>
        <w:spacing w:line="360" w:lineRule="auto"/>
        <w:jc w:val="both"/>
        <w:rPr>
          <w:rFonts w:ascii="Times New Roman" w:hAnsi="Times New Roman" w:cs="Times New Roman"/>
          <w:sz w:val="24"/>
          <w:szCs w:val="24"/>
          <w:u w:val="single"/>
        </w:rPr>
      </w:pPr>
      <w:r w:rsidRPr="00A01D29">
        <w:rPr>
          <w:rFonts w:ascii="Times New Roman" w:hAnsi="Times New Roman" w:cs="Times New Roman"/>
          <w:sz w:val="24"/>
          <w:szCs w:val="24"/>
          <w:u w:val="single"/>
        </w:rPr>
        <w:t>The resolution</w:t>
      </w:r>
    </w:p>
    <w:p w:rsidR="002F023F" w:rsidRPr="006C1985" w:rsidRDefault="000A3C43" w:rsidP="00BD5135">
      <w:pPr>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I am satisfied that the deduction of an assessed loss carried forward from the previous year of assessmen</w:t>
      </w:r>
      <w:r w:rsidR="00F9314E" w:rsidRPr="006C1985">
        <w:rPr>
          <w:rFonts w:ascii="Times New Roman" w:hAnsi="Times New Roman" w:cs="Times New Roman"/>
          <w:sz w:val="24"/>
          <w:szCs w:val="24"/>
        </w:rPr>
        <w:t xml:space="preserve">t is not an allowable deduction sanctioned </w:t>
      </w:r>
      <w:r w:rsidR="008D6941">
        <w:rPr>
          <w:rFonts w:ascii="Times New Roman" w:hAnsi="Times New Roman" w:cs="Times New Roman"/>
          <w:sz w:val="24"/>
          <w:szCs w:val="24"/>
        </w:rPr>
        <w:t xml:space="preserve">by </w:t>
      </w:r>
      <w:r w:rsidR="00F9314E" w:rsidRPr="006C1985">
        <w:rPr>
          <w:rFonts w:ascii="Times New Roman" w:hAnsi="Times New Roman" w:cs="Times New Roman"/>
          <w:sz w:val="24"/>
          <w:szCs w:val="24"/>
        </w:rPr>
        <w:t xml:space="preserve">the provisions </w:t>
      </w:r>
      <w:r w:rsidR="00D9240D" w:rsidRPr="006C1985">
        <w:rPr>
          <w:rFonts w:ascii="Times New Roman" w:hAnsi="Times New Roman" w:cs="Times New Roman"/>
          <w:sz w:val="24"/>
          <w:szCs w:val="24"/>
        </w:rPr>
        <w:t>of para</w:t>
      </w:r>
      <w:r w:rsidR="00F9314E" w:rsidRPr="006C1985">
        <w:rPr>
          <w:rFonts w:ascii="Times New Roman" w:hAnsi="Times New Roman" w:cs="Times New Roman"/>
          <w:sz w:val="24"/>
          <w:szCs w:val="24"/>
        </w:rPr>
        <w:t xml:space="preserve"> 2 (3) (a) (</w:t>
      </w:r>
      <w:proofErr w:type="spellStart"/>
      <w:r w:rsidR="00F9314E" w:rsidRPr="006C1985">
        <w:rPr>
          <w:rFonts w:ascii="Times New Roman" w:hAnsi="Times New Roman" w:cs="Times New Roman"/>
          <w:sz w:val="24"/>
          <w:szCs w:val="24"/>
        </w:rPr>
        <w:t>i</w:t>
      </w:r>
      <w:proofErr w:type="spellEnd"/>
      <w:r w:rsidR="00F9314E" w:rsidRPr="006C1985">
        <w:rPr>
          <w:rFonts w:ascii="Times New Roman" w:hAnsi="Times New Roman" w:cs="Times New Roman"/>
          <w:sz w:val="24"/>
          <w:szCs w:val="24"/>
        </w:rPr>
        <w:t xml:space="preserve">) </w:t>
      </w:r>
      <w:r w:rsidRPr="006C1985">
        <w:rPr>
          <w:rFonts w:ascii="Times New Roman" w:hAnsi="Times New Roman" w:cs="Times New Roman"/>
          <w:sz w:val="24"/>
          <w:szCs w:val="24"/>
        </w:rPr>
        <w:t>of the Twenty-Third Schedule to the Income Tax Act.</w:t>
      </w:r>
      <w:r w:rsidR="00D9240D" w:rsidRPr="006C1985">
        <w:rPr>
          <w:rFonts w:ascii="Times New Roman" w:hAnsi="Times New Roman" w:cs="Times New Roman"/>
          <w:sz w:val="24"/>
          <w:szCs w:val="24"/>
        </w:rPr>
        <w:t xml:space="preserve"> </w:t>
      </w:r>
      <w:r w:rsidR="00305306" w:rsidRPr="006C1985">
        <w:rPr>
          <w:rFonts w:ascii="Times New Roman" w:hAnsi="Times New Roman" w:cs="Times New Roman"/>
          <w:sz w:val="24"/>
          <w:szCs w:val="24"/>
        </w:rPr>
        <w:t xml:space="preserve">The issue for determination is answered in favour of the respondent. He correctly </w:t>
      </w:r>
      <w:r w:rsidR="00A51020" w:rsidRPr="006C1985">
        <w:rPr>
          <w:rFonts w:ascii="Times New Roman" w:hAnsi="Times New Roman" w:cs="Times New Roman"/>
          <w:sz w:val="24"/>
          <w:szCs w:val="24"/>
        </w:rPr>
        <w:t>disallowed the deductions for the assessed losses carried forward and correctly issued amended assessments dated 13 December 2010 for the year of assessment ending 31 December 2009, 31 December 2010 and 31 December 2011.  The amended assessments in question are confirmed.</w:t>
      </w:r>
    </w:p>
    <w:p w:rsidR="005651B2" w:rsidRPr="006C1985" w:rsidRDefault="005651B2" w:rsidP="00BD5135">
      <w:pPr>
        <w:autoSpaceDE w:val="0"/>
        <w:autoSpaceDN w:val="0"/>
        <w:adjustRightInd w:val="0"/>
        <w:spacing w:after="0" w:line="360" w:lineRule="auto"/>
        <w:ind w:firstLine="720"/>
        <w:jc w:val="both"/>
        <w:rPr>
          <w:rFonts w:ascii="Times New Roman" w:hAnsi="Times New Roman" w:cs="Times New Roman"/>
          <w:sz w:val="24"/>
          <w:szCs w:val="24"/>
        </w:rPr>
      </w:pPr>
      <w:r w:rsidRPr="006C1985">
        <w:rPr>
          <w:rFonts w:ascii="Times New Roman" w:hAnsi="Times New Roman" w:cs="Times New Roman"/>
          <w:sz w:val="24"/>
          <w:szCs w:val="24"/>
        </w:rPr>
        <w:t>The parties wer</w:t>
      </w:r>
      <w:r w:rsidR="002F023F" w:rsidRPr="006C1985">
        <w:rPr>
          <w:rFonts w:ascii="Times New Roman" w:hAnsi="Times New Roman" w:cs="Times New Roman"/>
          <w:sz w:val="24"/>
          <w:szCs w:val="24"/>
        </w:rPr>
        <w:t xml:space="preserve">e agreed that in the event the appeal failed, each party </w:t>
      </w:r>
      <w:r w:rsidRPr="006C1985">
        <w:rPr>
          <w:rFonts w:ascii="Times New Roman" w:hAnsi="Times New Roman" w:cs="Times New Roman"/>
          <w:sz w:val="24"/>
          <w:szCs w:val="24"/>
        </w:rPr>
        <w:t>would bear its own costs.</w:t>
      </w:r>
    </w:p>
    <w:p w:rsidR="003273F1" w:rsidRPr="006C1985" w:rsidRDefault="003273F1" w:rsidP="00BD5135">
      <w:pPr>
        <w:autoSpaceDE w:val="0"/>
        <w:autoSpaceDN w:val="0"/>
        <w:adjustRightInd w:val="0"/>
        <w:spacing w:after="0" w:line="240" w:lineRule="auto"/>
        <w:jc w:val="both"/>
        <w:rPr>
          <w:rFonts w:ascii="Times New Roman" w:hAnsi="Times New Roman" w:cs="Times New Roman"/>
          <w:sz w:val="24"/>
          <w:szCs w:val="24"/>
          <w:u w:val="single"/>
        </w:rPr>
      </w:pPr>
    </w:p>
    <w:p w:rsidR="003273F1" w:rsidRPr="006C1985" w:rsidRDefault="003273F1" w:rsidP="00BD5135">
      <w:pPr>
        <w:autoSpaceDE w:val="0"/>
        <w:autoSpaceDN w:val="0"/>
        <w:adjustRightInd w:val="0"/>
        <w:spacing w:after="0" w:line="240" w:lineRule="auto"/>
        <w:jc w:val="both"/>
        <w:rPr>
          <w:rFonts w:ascii="Times New Roman" w:hAnsi="Times New Roman" w:cs="Times New Roman"/>
          <w:sz w:val="24"/>
          <w:szCs w:val="24"/>
          <w:u w:val="single"/>
        </w:rPr>
      </w:pPr>
      <w:r w:rsidRPr="006C1985">
        <w:rPr>
          <w:rFonts w:ascii="Times New Roman" w:hAnsi="Times New Roman" w:cs="Times New Roman"/>
          <w:sz w:val="24"/>
          <w:szCs w:val="24"/>
          <w:u w:val="single"/>
        </w:rPr>
        <w:t>The disposition</w:t>
      </w:r>
    </w:p>
    <w:p w:rsidR="002F023F" w:rsidRPr="006C1985" w:rsidRDefault="002F023F" w:rsidP="00BD5135">
      <w:pPr>
        <w:autoSpaceDE w:val="0"/>
        <w:autoSpaceDN w:val="0"/>
        <w:adjustRightInd w:val="0"/>
        <w:spacing w:after="0" w:line="240" w:lineRule="auto"/>
        <w:jc w:val="both"/>
        <w:rPr>
          <w:rFonts w:ascii="Times New Roman" w:hAnsi="Times New Roman" w:cs="Times New Roman"/>
          <w:sz w:val="24"/>
          <w:szCs w:val="24"/>
          <w:u w:val="single"/>
        </w:rPr>
      </w:pPr>
    </w:p>
    <w:p w:rsidR="00A51020" w:rsidRDefault="00A51020" w:rsidP="00BD5135">
      <w:pPr>
        <w:autoSpaceDE w:val="0"/>
        <w:autoSpaceDN w:val="0"/>
        <w:adjustRightInd w:val="0"/>
        <w:spacing w:after="0" w:line="240" w:lineRule="auto"/>
        <w:jc w:val="both"/>
        <w:rPr>
          <w:rFonts w:ascii="Times New Roman" w:hAnsi="Times New Roman" w:cs="Times New Roman"/>
          <w:sz w:val="24"/>
          <w:szCs w:val="24"/>
        </w:rPr>
      </w:pPr>
      <w:r w:rsidRPr="006C1985">
        <w:rPr>
          <w:rFonts w:ascii="Times New Roman" w:hAnsi="Times New Roman" w:cs="Times New Roman"/>
          <w:sz w:val="24"/>
          <w:szCs w:val="24"/>
        </w:rPr>
        <w:t>Accordingly, it is ordered that:</w:t>
      </w:r>
    </w:p>
    <w:p w:rsidR="000C09C5" w:rsidRPr="006C1985" w:rsidRDefault="000C09C5" w:rsidP="00BD5135">
      <w:pPr>
        <w:autoSpaceDE w:val="0"/>
        <w:autoSpaceDN w:val="0"/>
        <w:adjustRightInd w:val="0"/>
        <w:spacing w:after="0" w:line="240" w:lineRule="auto"/>
        <w:jc w:val="both"/>
        <w:rPr>
          <w:rFonts w:ascii="Times New Roman" w:hAnsi="Times New Roman" w:cs="Times New Roman"/>
          <w:sz w:val="24"/>
          <w:szCs w:val="24"/>
        </w:rPr>
      </w:pPr>
    </w:p>
    <w:p w:rsidR="00A51020" w:rsidRPr="006C1985" w:rsidRDefault="00A51020" w:rsidP="00BD513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6C1985">
        <w:rPr>
          <w:rFonts w:ascii="Times New Roman" w:hAnsi="Times New Roman" w:cs="Times New Roman"/>
          <w:sz w:val="24"/>
          <w:szCs w:val="24"/>
        </w:rPr>
        <w:t>The appeal be and is hereby dismissed</w:t>
      </w:r>
      <w:r w:rsidR="008D6941">
        <w:rPr>
          <w:rFonts w:ascii="Times New Roman" w:hAnsi="Times New Roman" w:cs="Times New Roman"/>
          <w:sz w:val="24"/>
          <w:szCs w:val="24"/>
        </w:rPr>
        <w:t>.</w:t>
      </w:r>
    </w:p>
    <w:p w:rsidR="00A51020" w:rsidRPr="006C1985" w:rsidRDefault="00A51020" w:rsidP="00BD513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6C1985">
        <w:rPr>
          <w:rFonts w:ascii="Times New Roman" w:hAnsi="Times New Roman" w:cs="Times New Roman"/>
          <w:sz w:val="24"/>
          <w:szCs w:val="24"/>
        </w:rPr>
        <w:t xml:space="preserve">Each party shall bear its own costs. </w:t>
      </w:r>
    </w:p>
    <w:p w:rsidR="002F023F" w:rsidRPr="006C1985" w:rsidRDefault="002F023F" w:rsidP="00BD5135">
      <w:pPr>
        <w:autoSpaceDE w:val="0"/>
        <w:autoSpaceDN w:val="0"/>
        <w:adjustRightInd w:val="0"/>
        <w:spacing w:after="0" w:line="240" w:lineRule="auto"/>
        <w:jc w:val="both"/>
        <w:rPr>
          <w:rFonts w:ascii="Times New Roman" w:hAnsi="Times New Roman" w:cs="Times New Roman"/>
          <w:sz w:val="24"/>
          <w:szCs w:val="24"/>
        </w:rPr>
      </w:pPr>
    </w:p>
    <w:p w:rsidR="002F023F" w:rsidRPr="006C1985" w:rsidRDefault="002F023F" w:rsidP="00BD5135">
      <w:pPr>
        <w:autoSpaceDE w:val="0"/>
        <w:autoSpaceDN w:val="0"/>
        <w:adjustRightInd w:val="0"/>
        <w:spacing w:after="0" w:line="240" w:lineRule="auto"/>
        <w:jc w:val="both"/>
        <w:rPr>
          <w:rFonts w:ascii="Times New Roman" w:hAnsi="Times New Roman" w:cs="Times New Roman"/>
          <w:sz w:val="24"/>
          <w:szCs w:val="24"/>
        </w:rPr>
      </w:pPr>
    </w:p>
    <w:p w:rsidR="000C09C5" w:rsidRDefault="000C09C5" w:rsidP="00BD5135">
      <w:pPr>
        <w:autoSpaceDE w:val="0"/>
        <w:autoSpaceDN w:val="0"/>
        <w:adjustRightInd w:val="0"/>
        <w:spacing w:after="0" w:line="240" w:lineRule="auto"/>
        <w:jc w:val="both"/>
        <w:rPr>
          <w:rFonts w:ascii="Times New Roman" w:hAnsi="Times New Roman" w:cs="Times New Roman"/>
          <w:i/>
          <w:sz w:val="24"/>
          <w:szCs w:val="24"/>
        </w:rPr>
      </w:pPr>
    </w:p>
    <w:p w:rsidR="000C09C5" w:rsidRDefault="000C09C5" w:rsidP="00BD5135">
      <w:pPr>
        <w:autoSpaceDE w:val="0"/>
        <w:autoSpaceDN w:val="0"/>
        <w:adjustRightInd w:val="0"/>
        <w:spacing w:after="0" w:line="240" w:lineRule="auto"/>
        <w:jc w:val="both"/>
        <w:rPr>
          <w:rFonts w:ascii="Times New Roman" w:hAnsi="Times New Roman" w:cs="Times New Roman"/>
          <w:i/>
          <w:sz w:val="24"/>
          <w:szCs w:val="24"/>
        </w:rPr>
      </w:pPr>
    </w:p>
    <w:p w:rsidR="000C09C5" w:rsidRDefault="000C09C5" w:rsidP="00BD5135">
      <w:pPr>
        <w:autoSpaceDE w:val="0"/>
        <w:autoSpaceDN w:val="0"/>
        <w:adjustRightInd w:val="0"/>
        <w:spacing w:after="0" w:line="240" w:lineRule="auto"/>
        <w:jc w:val="both"/>
        <w:rPr>
          <w:rFonts w:ascii="Times New Roman" w:hAnsi="Times New Roman" w:cs="Times New Roman"/>
          <w:i/>
          <w:sz w:val="24"/>
          <w:szCs w:val="24"/>
        </w:rPr>
      </w:pPr>
    </w:p>
    <w:p w:rsidR="000C09C5" w:rsidRDefault="000C09C5" w:rsidP="00BD5135">
      <w:pPr>
        <w:autoSpaceDE w:val="0"/>
        <w:autoSpaceDN w:val="0"/>
        <w:adjustRightInd w:val="0"/>
        <w:spacing w:after="0" w:line="240" w:lineRule="auto"/>
        <w:jc w:val="both"/>
        <w:rPr>
          <w:rFonts w:ascii="Times New Roman" w:hAnsi="Times New Roman" w:cs="Times New Roman"/>
          <w:i/>
          <w:sz w:val="24"/>
          <w:szCs w:val="24"/>
        </w:rPr>
      </w:pPr>
    </w:p>
    <w:p w:rsidR="000C09C5" w:rsidRDefault="000C09C5" w:rsidP="00BD5135">
      <w:pPr>
        <w:autoSpaceDE w:val="0"/>
        <w:autoSpaceDN w:val="0"/>
        <w:adjustRightInd w:val="0"/>
        <w:spacing w:after="0" w:line="240" w:lineRule="auto"/>
        <w:jc w:val="both"/>
        <w:rPr>
          <w:rFonts w:ascii="Times New Roman" w:hAnsi="Times New Roman" w:cs="Times New Roman"/>
          <w:i/>
          <w:sz w:val="24"/>
          <w:szCs w:val="24"/>
        </w:rPr>
      </w:pPr>
    </w:p>
    <w:p w:rsidR="000C09C5" w:rsidRDefault="000C09C5" w:rsidP="00BD5135">
      <w:pPr>
        <w:autoSpaceDE w:val="0"/>
        <w:autoSpaceDN w:val="0"/>
        <w:adjustRightInd w:val="0"/>
        <w:spacing w:after="0" w:line="240" w:lineRule="auto"/>
        <w:jc w:val="both"/>
        <w:rPr>
          <w:rFonts w:ascii="Times New Roman" w:hAnsi="Times New Roman" w:cs="Times New Roman"/>
          <w:i/>
          <w:sz w:val="24"/>
          <w:szCs w:val="24"/>
        </w:rPr>
      </w:pPr>
    </w:p>
    <w:p w:rsidR="0043296A" w:rsidRPr="006C1985" w:rsidRDefault="002F023F" w:rsidP="00BD5135">
      <w:pPr>
        <w:autoSpaceDE w:val="0"/>
        <w:autoSpaceDN w:val="0"/>
        <w:adjustRightInd w:val="0"/>
        <w:spacing w:after="0" w:line="240" w:lineRule="auto"/>
        <w:jc w:val="both"/>
        <w:rPr>
          <w:rFonts w:ascii="Times New Roman" w:hAnsi="Times New Roman" w:cs="Times New Roman"/>
          <w:sz w:val="24"/>
          <w:szCs w:val="24"/>
        </w:rPr>
      </w:pPr>
      <w:proofErr w:type="spellStart"/>
      <w:r w:rsidRPr="006C1985">
        <w:rPr>
          <w:rFonts w:ascii="Times New Roman" w:hAnsi="Times New Roman" w:cs="Times New Roman"/>
          <w:i/>
          <w:sz w:val="24"/>
          <w:szCs w:val="24"/>
        </w:rPr>
        <w:t>Dube</w:t>
      </w:r>
      <w:proofErr w:type="spellEnd"/>
      <w:r w:rsidRPr="006C1985">
        <w:rPr>
          <w:rFonts w:ascii="Times New Roman" w:hAnsi="Times New Roman" w:cs="Times New Roman"/>
          <w:i/>
          <w:sz w:val="24"/>
          <w:szCs w:val="24"/>
        </w:rPr>
        <w:t xml:space="preserve">, </w:t>
      </w:r>
      <w:proofErr w:type="spellStart"/>
      <w:r w:rsidRPr="006C1985">
        <w:rPr>
          <w:rFonts w:ascii="Times New Roman" w:hAnsi="Times New Roman" w:cs="Times New Roman"/>
          <w:i/>
          <w:sz w:val="24"/>
          <w:szCs w:val="24"/>
        </w:rPr>
        <w:t>Manikai</w:t>
      </w:r>
      <w:proofErr w:type="spellEnd"/>
      <w:r w:rsidRPr="006C1985">
        <w:rPr>
          <w:rFonts w:ascii="Times New Roman" w:hAnsi="Times New Roman" w:cs="Times New Roman"/>
          <w:i/>
          <w:sz w:val="24"/>
          <w:szCs w:val="24"/>
        </w:rPr>
        <w:t xml:space="preserve">, </w:t>
      </w:r>
      <w:proofErr w:type="spellStart"/>
      <w:r w:rsidRPr="006C1985">
        <w:rPr>
          <w:rFonts w:ascii="Times New Roman" w:hAnsi="Times New Roman" w:cs="Times New Roman"/>
          <w:i/>
          <w:sz w:val="24"/>
          <w:szCs w:val="24"/>
        </w:rPr>
        <w:t>Hwacha</w:t>
      </w:r>
      <w:proofErr w:type="spellEnd"/>
      <w:r w:rsidRPr="006C1985">
        <w:rPr>
          <w:rFonts w:ascii="Times New Roman" w:hAnsi="Times New Roman" w:cs="Times New Roman"/>
          <w:i/>
          <w:sz w:val="24"/>
          <w:szCs w:val="24"/>
        </w:rPr>
        <w:t>,</w:t>
      </w:r>
      <w:r w:rsidRPr="006C1985">
        <w:rPr>
          <w:rFonts w:ascii="Times New Roman" w:hAnsi="Times New Roman" w:cs="Times New Roman"/>
          <w:sz w:val="24"/>
          <w:szCs w:val="24"/>
        </w:rPr>
        <w:t xml:space="preserve"> the appellant’s legal practitioners</w:t>
      </w:r>
    </w:p>
    <w:p w:rsidR="00FF0225" w:rsidRPr="006C1985" w:rsidRDefault="00FF0225" w:rsidP="00BD5135">
      <w:pPr>
        <w:autoSpaceDE w:val="0"/>
        <w:autoSpaceDN w:val="0"/>
        <w:adjustRightInd w:val="0"/>
        <w:spacing w:after="0" w:line="240" w:lineRule="auto"/>
        <w:jc w:val="both"/>
        <w:rPr>
          <w:rFonts w:ascii="Times New Roman" w:hAnsi="Times New Roman" w:cs="Times New Roman"/>
          <w:sz w:val="24"/>
          <w:szCs w:val="24"/>
        </w:rPr>
      </w:pPr>
    </w:p>
    <w:p w:rsidR="002F7C36" w:rsidRPr="006C1985" w:rsidRDefault="002F7C36" w:rsidP="00BD5135">
      <w:pPr>
        <w:autoSpaceDE w:val="0"/>
        <w:autoSpaceDN w:val="0"/>
        <w:adjustRightInd w:val="0"/>
        <w:spacing w:after="0" w:line="240" w:lineRule="auto"/>
        <w:jc w:val="both"/>
        <w:rPr>
          <w:rFonts w:ascii="Times New Roman" w:hAnsi="Times New Roman" w:cs="Times New Roman"/>
          <w:sz w:val="24"/>
          <w:szCs w:val="24"/>
        </w:rPr>
      </w:pPr>
    </w:p>
    <w:p w:rsidR="00D20A11" w:rsidRPr="006C1985" w:rsidRDefault="00D20A11" w:rsidP="004C2CF9">
      <w:pPr>
        <w:autoSpaceDE w:val="0"/>
        <w:autoSpaceDN w:val="0"/>
        <w:adjustRightInd w:val="0"/>
        <w:spacing w:after="0" w:line="240" w:lineRule="auto"/>
        <w:jc w:val="both"/>
        <w:rPr>
          <w:rFonts w:ascii="Times New Roman" w:hAnsi="Times New Roman" w:cs="Times New Roman"/>
          <w:sz w:val="24"/>
          <w:szCs w:val="24"/>
        </w:rPr>
      </w:pPr>
    </w:p>
    <w:sectPr w:rsidR="00D20A11" w:rsidRPr="006C19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7D" w:rsidRDefault="00A7287D" w:rsidP="00D83C4D">
      <w:pPr>
        <w:spacing w:after="0" w:line="240" w:lineRule="auto"/>
      </w:pPr>
      <w:r>
        <w:separator/>
      </w:r>
    </w:p>
  </w:endnote>
  <w:endnote w:type="continuationSeparator" w:id="0">
    <w:p w:rsidR="00A7287D" w:rsidRDefault="00A7287D" w:rsidP="00D8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7D" w:rsidRDefault="00A7287D" w:rsidP="00D83C4D">
      <w:pPr>
        <w:spacing w:after="0" w:line="240" w:lineRule="auto"/>
      </w:pPr>
      <w:r>
        <w:separator/>
      </w:r>
    </w:p>
  </w:footnote>
  <w:footnote w:type="continuationSeparator" w:id="0">
    <w:p w:rsidR="00A7287D" w:rsidRDefault="00A7287D" w:rsidP="00D83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11295"/>
      <w:docPartObj>
        <w:docPartGallery w:val="Page Numbers (Top of Page)"/>
        <w:docPartUnique/>
      </w:docPartObj>
    </w:sdtPr>
    <w:sdtEndPr>
      <w:rPr>
        <w:noProof/>
      </w:rPr>
    </w:sdtEndPr>
    <w:sdtContent>
      <w:p w:rsidR="00BD5135" w:rsidRDefault="00BD5135">
        <w:pPr>
          <w:pStyle w:val="Header"/>
          <w:jc w:val="right"/>
          <w:rPr>
            <w:noProof/>
          </w:rPr>
        </w:pPr>
        <w:r>
          <w:fldChar w:fldCharType="begin"/>
        </w:r>
        <w:r>
          <w:instrText xml:space="preserve"> PAGE   \* MERGEFORMAT </w:instrText>
        </w:r>
        <w:r>
          <w:fldChar w:fldCharType="separate"/>
        </w:r>
        <w:r w:rsidR="00AA7EB0">
          <w:rPr>
            <w:noProof/>
          </w:rPr>
          <w:t>1</w:t>
        </w:r>
        <w:r>
          <w:rPr>
            <w:noProof/>
          </w:rPr>
          <w:fldChar w:fldCharType="end"/>
        </w:r>
      </w:p>
      <w:p w:rsidR="00515CFC" w:rsidRDefault="00BD5135">
        <w:pPr>
          <w:pStyle w:val="Header"/>
          <w:jc w:val="right"/>
          <w:rPr>
            <w:noProof/>
          </w:rPr>
        </w:pPr>
        <w:r>
          <w:rPr>
            <w:noProof/>
          </w:rPr>
          <w:t xml:space="preserve">HH </w:t>
        </w:r>
        <w:r w:rsidR="00C1037E">
          <w:rPr>
            <w:noProof/>
          </w:rPr>
          <w:t>244-15</w:t>
        </w:r>
      </w:p>
      <w:p w:rsidR="00BD5135" w:rsidRDefault="00BD5135">
        <w:pPr>
          <w:pStyle w:val="Header"/>
          <w:jc w:val="right"/>
        </w:pPr>
        <w:r>
          <w:rPr>
            <w:noProof/>
          </w:rPr>
          <w:t>FA</w:t>
        </w:r>
        <w:r w:rsidR="00515CFC">
          <w:rPr>
            <w:noProof/>
          </w:rPr>
          <w:t xml:space="preserve"> 02/11</w:t>
        </w:r>
      </w:p>
    </w:sdtContent>
  </w:sdt>
  <w:p w:rsidR="00F9314E" w:rsidRDefault="00F93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E1F"/>
    <w:multiLevelType w:val="hybridMultilevel"/>
    <w:tmpl w:val="8D6AA102"/>
    <w:lvl w:ilvl="0" w:tplc="981CE03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6E86D6D"/>
    <w:multiLevelType w:val="hybridMultilevel"/>
    <w:tmpl w:val="C16259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AB10344"/>
    <w:multiLevelType w:val="hybridMultilevel"/>
    <w:tmpl w:val="0E46171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65A4AE4"/>
    <w:multiLevelType w:val="hybridMultilevel"/>
    <w:tmpl w:val="B8E22724"/>
    <w:lvl w:ilvl="0" w:tplc="E188B1F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8A6783A"/>
    <w:multiLevelType w:val="hybridMultilevel"/>
    <w:tmpl w:val="9564900C"/>
    <w:lvl w:ilvl="0" w:tplc="7574444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33"/>
    <w:rsid w:val="0002310C"/>
    <w:rsid w:val="0002353B"/>
    <w:rsid w:val="00025781"/>
    <w:rsid w:val="00032AF0"/>
    <w:rsid w:val="0004035B"/>
    <w:rsid w:val="00042E8D"/>
    <w:rsid w:val="000509BE"/>
    <w:rsid w:val="00062830"/>
    <w:rsid w:val="00063C7A"/>
    <w:rsid w:val="000724A0"/>
    <w:rsid w:val="00072705"/>
    <w:rsid w:val="00087582"/>
    <w:rsid w:val="000A3C43"/>
    <w:rsid w:val="000A58B5"/>
    <w:rsid w:val="000A5D22"/>
    <w:rsid w:val="000A63B9"/>
    <w:rsid w:val="000A72D5"/>
    <w:rsid w:val="000C09C5"/>
    <w:rsid w:val="000C3C43"/>
    <w:rsid w:val="000C4F72"/>
    <w:rsid w:val="000C5DB7"/>
    <w:rsid w:val="000C680D"/>
    <w:rsid w:val="000D592D"/>
    <w:rsid w:val="000D7D03"/>
    <w:rsid w:val="000E03CA"/>
    <w:rsid w:val="000E34EB"/>
    <w:rsid w:val="000E3595"/>
    <w:rsid w:val="00116E58"/>
    <w:rsid w:val="00121303"/>
    <w:rsid w:val="00126A0B"/>
    <w:rsid w:val="00133F39"/>
    <w:rsid w:val="001352FF"/>
    <w:rsid w:val="001418DB"/>
    <w:rsid w:val="00143BF3"/>
    <w:rsid w:val="00160541"/>
    <w:rsid w:val="00163B1A"/>
    <w:rsid w:val="00166969"/>
    <w:rsid w:val="00172240"/>
    <w:rsid w:val="001752CE"/>
    <w:rsid w:val="00177623"/>
    <w:rsid w:val="001A1946"/>
    <w:rsid w:val="001B033A"/>
    <w:rsid w:val="001C3407"/>
    <w:rsid w:val="001C7E9B"/>
    <w:rsid w:val="001D7004"/>
    <w:rsid w:val="001E08C7"/>
    <w:rsid w:val="001E30EA"/>
    <w:rsid w:val="001E60CC"/>
    <w:rsid w:val="001F0174"/>
    <w:rsid w:val="001F1225"/>
    <w:rsid w:val="00201C2F"/>
    <w:rsid w:val="00203750"/>
    <w:rsid w:val="00206480"/>
    <w:rsid w:val="00227270"/>
    <w:rsid w:val="00230112"/>
    <w:rsid w:val="00241304"/>
    <w:rsid w:val="002468E5"/>
    <w:rsid w:val="00252B5E"/>
    <w:rsid w:val="00252C4F"/>
    <w:rsid w:val="002563DC"/>
    <w:rsid w:val="00262356"/>
    <w:rsid w:val="0026260E"/>
    <w:rsid w:val="00274C7B"/>
    <w:rsid w:val="0027723A"/>
    <w:rsid w:val="002809F9"/>
    <w:rsid w:val="00280B44"/>
    <w:rsid w:val="002A19D7"/>
    <w:rsid w:val="002A69A4"/>
    <w:rsid w:val="002B088D"/>
    <w:rsid w:val="002B688A"/>
    <w:rsid w:val="002B794F"/>
    <w:rsid w:val="002C02D4"/>
    <w:rsid w:val="002C33F2"/>
    <w:rsid w:val="002E07C4"/>
    <w:rsid w:val="002E4740"/>
    <w:rsid w:val="002E68E4"/>
    <w:rsid w:val="002F023F"/>
    <w:rsid w:val="002F1B72"/>
    <w:rsid w:val="002F1CFA"/>
    <w:rsid w:val="002F2259"/>
    <w:rsid w:val="002F5666"/>
    <w:rsid w:val="002F7C36"/>
    <w:rsid w:val="00305306"/>
    <w:rsid w:val="00316786"/>
    <w:rsid w:val="003209BC"/>
    <w:rsid w:val="00322D2D"/>
    <w:rsid w:val="00323307"/>
    <w:rsid w:val="0032451E"/>
    <w:rsid w:val="003273F1"/>
    <w:rsid w:val="0032786D"/>
    <w:rsid w:val="00352B8A"/>
    <w:rsid w:val="003541A2"/>
    <w:rsid w:val="0035641F"/>
    <w:rsid w:val="00356C31"/>
    <w:rsid w:val="00366DF0"/>
    <w:rsid w:val="0037004B"/>
    <w:rsid w:val="00372BB5"/>
    <w:rsid w:val="00373506"/>
    <w:rsid w:val="003863FC"/>
    <w:rsid w:val="00395A01"/>
    <w:rsid w:val="003A16E7"/>
    <w:rsid w:val="003B04B4"/>
    <w:rsid w:val="003C096C"/>
    <w:rsid w:val="003C5AA6"/>
    <w:rsid w:val="003C6C29"/>
    <w:rsid w:val="003D164B"/>
    <w:rsid w:val="003D1CF3"/>
    <w:rsid w:val="003D63D7"/>
    <w:rsid w:val="003E086B"/>
    <w:rsid w:val="003E0BBB"/>
    <w:rsid w:val="003E5411"/>
    <w:rsid w:val="003E548A"/>
    <w:rsid w:val="003E7783"/>
    <w:rsid w:val="003F323A"/>
    <w:rsid w:val="0041634A"/>
    <w:rsid w:val="00425C5C"/>
    <w:rsid w:val="0043296A"/>
    <w:rsid w:val="0043703D"/>
    <w:rsid w:val="004645BE"/>
    <w:rsid w:val="004653C1"/>
    <w:rsid w:val="0047011B"/>
    <w:rsid w:val="00475BAF"/>
    <w:rsid w:val="00477EAB"/>
    <w:rsid w:val="00487343"/>
    <w:rsid w:val="00496429"/>
    <w:rsid w:val="004B62CF"/>
    <w:rsid w:val="004C067E"/>
    <w:rsid w:val="004C2CF9"/>
    <w:rsid w:val="004C637A"/>
    <w:rsid w:val="004E1164"/>
    <w:rsid w:val="004F32BF"/>
    <w:rsid w:val="004F58F3"/>
    <w:rsid w:val="004F79B4"/>
    <w:rsid w:val="005000AD"/>
    <w:rsid w:val="00503BA6"/>
    <w:rsid w:val="00504560"/>
    <w:rsid w:val="00504F75"/>
    <w:rsid w:val="00504FAF"/>
    <w:rsid w:val="00515CFC"/>
    <w:rsid w:val="00523282"/>
    <w:rsid w:val="00523A68"/>
    <w:rsid w:val="00523D50"/>
    <w:rsid w:val="0052503F"/>
    <w:rsid w:val="00526254"/>
    <w:rsid w:val="005328CE"/>
    <w:rsid w:val="005363B3"/>
    <w:rsid w:val="00544331"/>
    <w:rsid w:val="00545D46"/>
    <w:rsid w:val="00555149"/>
    <w:rsid w:val="00555C24"/>
    <w:rsid w:val="00561B7C"/>
    <w:rsid w:val="00562C1C"/>
    <w:rsid w:val="005651B2"/>
    <w:rsid w:val="00566566"/>
    <w:rsid w:val="00573613"/>
    <w:rsid w:val="00583E4A"/>
    <w:rsid w:val="00587477"/>
    <w:rsid w:val="0059237D"/>
    <w:rsid w:val="005A0A33"/>
    <w:rsid w:val="005A1F32"/>
    <w:rsid w:val="005A4D52"/>
    <w:rsid w:val="005A6E70"/>
    <w:rsid w:val="005A7A9F"/>
    <w:rsid w:val="005B4CD4"/>
    <w:rsid w:val="005B6B0C"/>
    <w:rsid w:val="005C69BB"/>
    <w:rsid w:val="005D3B3A"/>
    <w:rsid w:val="005D7685"/>
    <w:rsid w:val="005E259E"/>
    <w:rsid w:val="005E2657"/>
    <w:rsid w:val="00612297"/>
    <w:rsid w:val="00625B41"/>
    <w:rsid w:val="00630B9A"/>
    <w:rsid w:val="006365A2"/>
    <w:rsid w:val="0064231B"/>
    <w:rsid w:val="00652A20"/>
    <w:rsid w:val="00653395"/>
    <w:rsid w:val="0065417A"/>
    <w:rsid w:val="00654A75"/>
    <w:rsid w:val="00662E24"/>
    <w:rsid w:val="0066799C"/>
    <w:rsid w:val="006724A3"/>
    <w:rsid w:val="00676DF5"/>
    <w:rsid w:val="006818D0"/>
    <w:rsid w:val="006842C8"/>
    <w:rsid w:val="0068704B"/>
    <w:rsid w:val="006948CD"/>
    <w:rsid w:val="006A4215"/>
    <w:rsid w:val="006A716C"/>
    <w:rsid w:val="006B0D87"/>
    <w:rsid w:val="006B3E72"/>
    <w:rsid w:val="006B651F"/>
    <w:rsid w:val="006C1985"/>
    <w:rsid w:val="006C37E6"/>
    <w:rsid w:val="006C77A2"/>
    <w:rsid w:val="006C7FE5"/>
    <w:rsid w:val="006D3101"/>
    <w:rsid w:val="006D4CCE"/>
    <w:rsid w:val="006D6699"/>
    <w:rsid w:val="006E29F2"/>
    <w:rsid w:val="006E2A83"/>
    <w:rsid w:val="006E3A1F"/>
    <w:rsid w:val="006E5D5F"/>
    <w:rsid w:val="006F2482"/>
    <w:rsid w:val="006F4CC2"/>
    <w:rsid w:val="006F7E7D"/>
    <w:rsid w:val="00706CD1"/>
    <w:rsid w:val="007107AA"/>
    <w:rsid w:val="0071388A"/>
    <w:rsid w:val="00714D3B"/>
    <w:rsid w:val="0074359A"/>
    <w:rsid w:val="00750D42"/>
    <w:rsid w:val="007626EC"/>
    <w:rsid w:val="00764839"/>
    <w:rsid w:val="00764B5A"/>
    <w:rsid w:val="0078774B"/>
    <w:rsid w:val="007A4E1C"/>
    <w:rsid w:val="007B1988"/>
    <w:rsid w:val="007B3FDD"/>
    <w:rsid w:val="007B47DF"/>
    <w:rsid w:val="007B709E"/>
    <w:rsid w:val="007C0717"/>
    <w:rsid w:val="007C15FE"/>
    <w:rsid w:val="007C3827"/>
    <w:rsid w:val="007C5743"/>
    <w:rsid w:val="007C699E"/>
    <w:rsid w:val="007C735F"/>
    <w:rsid w:val="007D3D66"/>
    <w:rsid w:val="007D4D24"/>
    <w:rsid w:val="007E29E3"/>
    <w:rsid w:val="007F7D5C"/>
    <w:rsid w:val="00815063"/>
    <w:rsid w:val="0081527B"/>
    <w:rsid w:val="00821514"/>
    <w:rsid w:val="0083066A"/>
    <w:rsid w:val="00832C9D"/>
    <w:rsid w:val="008367B7"/>
    <w:rsid w:val="008373B7"/>
    <w:rsid w:val="008378D6"/>
    <w:rsid w:val="00837FAC"/>
    <w:rsid w:val="0085511B"/>
    <w:rsid w:val="00855CA4"/>
    <w:rsid w:val="008569F3"/>
    <w:rsid w:val="0086172A"/>
    <w:rsid w:val="008748D4"/>
    <w:rsid w:val="00876565"/>
    <w:rsid w:val="00880388"/>
    <w:rsid w:val="00880442"/>
    <w:rsid w:val="008904B2"/>
    <w:rsid w:val="00896FDB"/>
    <w:rsid w:val="008A6C52"/>
    <w:rsid w:val="008B4633"/>
    <w:rsid w:val="008B5C72"/>
    <w:rsid w:val="008B600B"/>
    <w:rsid w:val="008B7EEC"/>
    <w:rsid w:val="008C6A2F"/>
    <w:rsid w:val="008D18C3"/>
    <w:rsid w:val="008D46D9"/>
    <w:rsid w:val="008D474B"/>
    <w:rsid w:val="008D5B5D"/>
    <w:rsid w:val="008D6941"/>
    <w:rsid w:val="008E20FB"/>
    <w:rsid w:val="008E403E"/>
    <w:rsid w:val="008F5B2C"/>
    <w:rsid w:val="009015B1"/>
    <w:rsid w:val="00911C61"/>
    <w:rsid w:val="0091707E"/>
    <w:rsid w:val="009236CB"/>
    <w:rsid w:val="00927138"/>
    <w:rsid w:val="00927F80"/>
    <w:rsid w:val="00931CD7"/>
    <w:rsid w:val="00933F1A"/>
    <w:rsid w:val="00935753"/>
    <w:rsid w:val="00936961"/>
    <w:rsid w:val="00937393"/>
    <w:rsid w:val="00944F4F"/>
    <w:rsid w:val="00951854"/>
    <w:rsid w:val="00963E3D"/>
    <w:rsid w:val="00973680"/>
    <w:rsid w:val="009747B2"/>
    <w:rsid w:val="009757E3"/>
    <w:rsid w:val="009809DE"/>
    <w:rsid w:val="0098204F"/>
    <w:rsid w:val="00986856"/>
    <w:rsid w:val="00986D2E"/>
    <w:rsid w:val="0099739F"/>
    <w:rsid w:val="009A2DF8"/>
    <w:rsid w:val="009A3704"/>
    <w:rsid w:val="009A41C5"/>
    <w:rsid w:val="009A4E59"/>
    <w:rsid w:val="009B5FC7"/>
    <w:rsid w:val="009C26C0"/>
    <w:rsid w:val="009D25E6"/>
    <w:rsid w:val="009E3058"/>
    <w:rsid w:val="009F1ED9"/>
    <w:rsid w:val="009F5AB3"/>
    <w:rsid w:val="00A01D29"/>
    <w:rsid w:val="00A0295C"/>
    <w:rsid w:val="00A04D1F"/>
    <w:rsid w:val="00A14187"/>
    <w:rsid w:val="00A14355"/>
    <w:rsid w:val="00A16A48"/>
    <w:rsid w:val="00A25CF8"/>
    <w:rsid w:val="00A34876"/>
    <w:rsid w:val="00A37103"/>
    <w:rsid w:val="00A415FD"/>
    <w:rsid w:val="00A45F45"/>
    <w:rsid w:val="00A45FD0"/>
    <w:rsid w:val="00A46668"/>
    <w:rsid w:val="00A51020"/>
    <w:rsid w:val="00A51FF0"/>
    <w:rsid w:val="00A546D6"/>
    <w:rsid w:val="00A638FD"/>
    <w:rsid w:val="00A67C4B"/>
    <w:rsid w:val="00A71EA4"/>
    <w:rsid w:val="00A7287D"/>
    <w:rsid w:val="00A75468"/>
    <w:rsid w:val="00A760CC"/>
    <w:rsid w:val="00A77474"/>
    <w:rsid w:val="00A81401"/>
    <w:rsid w:val="00A8228C"/>
    <w:rsid w:val="00A8476E"/>
    <w:rsid w:val="00A907F7"/>
    <w:rsid w:val="00A90A5F"/>
    <w:rsid w:val="00AA50D6"/>
    <w:rsid w:val="00AA6B3A"/>
    <w:rsid w:val="00AA73E6"/>
    <w:rsid w:val="00AA7EB0"/>
    <w:rsid w:val="00AB7CE6"/>
    <w:rsid w:val="00AC2D9B"/>
    <w:rsid w:val="00AD2A4F"/>
    <w:rsid w:val="00AD692A"/>
    <w:rsid w:val="00AE2489"/>
    <w:rsid w:val="00AE4209"/>
    <w:rsid w:val="00AE48AA"/>
    <w:rsid w:val="00AF7C80"/>
    <w:rsid w:val="00B03FB3"/>
    <w:rsid w:val="00B06141"/>
    <w:rsid w:val="00B0661B"/>
    <w:rsid w:val="00B211D6"/>
    <w:rsid w:val="00B22A7A"/>
    <w:rsid w:val="00B2533A"/>
    <w:rsid w:val="00B2659A"/>
    <w:rsid w:val="00B2791E"/>
    <w:rsid w:val="00B40F9F"/>
    <w:rsid w:val="00B41368"/>
    <w:rsid w:val="00B473F1"/>
    <w:rsid w:val="00B47C5B"/>
    <w:rsid w:val="00B50C18"/>
    <w:rsid w:val="00B60703"/>
    <w:rsid w:val="00B651CD"/>
    <w:rsid w:val="00B66BD8"/>
    <w:rsid w:val="00B67D3C"/>
    <w:rsid w:val="00B70E3D"/>
    <w:rsid w:val="00B71B03"/>
    <w:rsid w:val="00B74547"/>
    <w:rsid w:val="00B87A9A"/>
    <w:rsid w:val="00BA0772"/>
    <w:rsid w:val="00BA1410"/>
    <w:rsid w:val="00BA3022"/>
    <w:rsid w:val="00BA4773"/>
    <w:rsid w:val="00BB0FFC"/>
    <w:rsid w:val="00BB4283"/>
    <w:rsid w:val="00BC0CC8"/>
    <w:rsid w:val="00BC0CC9"/>
    <w:rsid w:val="00BC1979"/>
    <w:rsid w:val="00BC4E22"/>
    <w:rsid w:val="00BC7B11"/>
    <w:rsid w:val="00BD5135"/>
    <w:rsid w:val="00BD5179"/>
    <w:rsid w:val="00BE28AE"/>
    <w:rsid w:val="00BE598C"/>
    <w:rsid w:val="00C04B28"/>
    <w:rsid w:val="00C06286"/>
    <w:rsid w:val="00C06A7E"/>
    <w:rsid w:val="00C06A9F"/>
    <w:rsid w:val="00C1037E"/>
    <w:rsid w:val="00C11221"/>
    <w:rsid w:val="00C2574C"/>
    <w:rsid w:val="00C30471"/>
    <w:rsid w:val="00C36020"/>
    <w:rsid w:val="00C422B2"/>
    <w:rsid w:val="00C466E9"/>
    <w:rsid w:val="00C537D3"/>
    <w:rsid w:val="00C62430"/>
    <w:rsid w:val="00C6527F"/>
    <w:rsid w:val="00C67F3B"/>
    <w:rsid w:val="00C831F2"/>
    <w:rsid w:val="00C930E4"/>
    <w:rsid w:val="00C94CED"/>
    <w:rsid w:val="00C95B8E"/>
    <w:rsid w:val="00C97C28"/>
    <w:rsid w:val="00CA2A11"/>
    <w:rsid w:val="00CA2AE6"/>
    <w:rsid w:val="00CA300E"/>
    <w:rsid w:val="00CA5E99"/>
    <w:rsid w:val="00CB5739"/>
    <w:rsid w:val="00CB63C8"/>
    <w:rsid w:val="00CB7273"/>
    <w:rsid w:val="00CC3613"/>
    <w:rsid w:val="00CC6386"/>
    <w:rsid w:val="00CC6B36"/>
    <w:rsid w:val="00CD38F3"/>
    <w:rsid w:val="00CD4800"/>
    <w:rsid w:val="00CD6442"/>
    <w:rsid w:val="00CD66C9"/>
    <w:rsid w:val="00CD6F9F"/>
    <w:rsid w:val="00CF065D"/>
    <w:rsid w:val="00D01796"/>
    <w:rsid w:val="00D062ED"/>
    <w:rsid w:val="00D20240"/>
    <w:rsid w:val="00D20A11"/>
    <w:rsid w:val="00D21699"/>
    <w:rsid w:val="00D26A0E"/>
    <w:rsid w:val="00D306FE"/>
    <w:rsid w:val="00D507F4"/>
    <w:rsid w:val="00D5536C"/>
    <w:rsid w:val="00D63AED"/>
    <w:rsid w:val="00D70312"/>
    <w:rsid w:val="00D83C4D"/>
    <w:rsid w:val="00D83CC1"/>
    <w:rsid w:val="00D9240D"/>
    <w:rsid w:val="00D94367"/>
    <w:rsid w:val="00D95BCF"/>
    <w:rsid w:val="00DA2CD9"/>
    <w:rsid w:val="00DA2D40"/>
    <w:rsid w:val="00DB74E5"/>
    <w:rsid w:val="00DB7AF9"/>
    <w:rsid w:val="00DB7B83"/>
    <w:rsid w:val="00DC1748"/>
    <w:rsid w:val="00DC38BA"/>
    <w:rsid w:val="00DC3C77"/>
    <w:rsid w:val="00DC6A4D"/>
    <w:rsid w:val="00DD0007"/>
    <w:rsid w:val="00DD3549"/>
    <w:rsid w:val="00DD7933"/>
    <w:rsid w:val="00DE682F"/>
    <w:rsid w:val="00DF7A4E"/>
    <w:rsid w:val="00E05914"/>
    <w:rsid w:val="00E07FF8"/>
    <w:rsid w:val="00E122FC"/>
    <w:rsid w:val="00E166A7"/>
    <w:rsid w:val="00E25D9F"/>
    <w:rsid w:val="00E31F05"/>
    <w:rsid w:val="00E3472E"/>
    <w:rsid w:val="00E4518F"/>
    <w:rsid w:val="00E50F57"/>
    <w:rsid w:val="00E575E2"/>
    <w:rsid w:val="00E609E1"/>
    <w:rsid w:val="00E61BA2"/>
    <w:rsid w:val="00E61EBC"/>
    <w:rsid w:val="00E677D3"/>
    <w:rsid w:val="00E7513A"/>
    <w:rsid w:val="00E76246"/>
    <w:rsid w:val="00E82A12"/>
    <w:rsid w:val="00E972B2"/>
    <w:rsid w:val="00EA1B64"/>
    <w:rsid w:val="00EA2239"/>
    <w:rsid w:val="00EA3725"/>
    <w:rsid w:val="00EA70C5"/>
    <w:rsid w:val="00EB40AB"/>
    <w:rsid w:val="00ED01FF"/>
    <w:rsid w:val="00ED2D63"/>
    <w:rsid w:val="00EE2BA1"/>
    <w:rsid w:val="00EE3656"/>
    <w:rsid w:val="00EE7E05"/>
    <w:rsid w:val="00EF3D37"/>
    <w:rsid w:val="00EF45FC"/>
    <w:rsid w:val="00F00E33"/>
    <w:rsid w:val="00F02A76"/>
    <w:rsid w:val="00F046AB"/>
    <w:rsid w:val="00F13846"/>
    <w:rsid w:val="00F14F3B"/>
    <w:rsid w:val="00F177DF"/>
    <w:rsid w:val="00F21759"/>
    <w:rsid w:val="00F357EC"/>
    <w:rsid w:val="00F35F59"/>
    <w:rsid w:val="00F35F7B"/>
    <w:rsid w:val="00F51368"/>
    <w:rsid w:val="00F5646E"/>
    <w:rsid w:val="00F57BA9"/>
    <w:rsid w:val="00F62221"/>
    <w:rsid w:val="00F67134"/>
    <w:rsid w:val="00F70AF7"/>
    <w:rsid w:val="00F77AB0"/>
    <w:rsid w:val="00F80237"/>
    <w:rsid w:val="00F80C6F"/>
    <w:rsid w:val="00F82F9F"/>
    <w:rsid w:val="00F9175A"/>
    <w:rsid w:val="00F9314E"/>
    <w:rsid w:val="00FA17DC"/>
    <w:rsid w:val="00FA40F2"/>
    <w:rsid w:val="00FA4CCD"/>
    <w:rsid w:val="00FA538C"/>
    <w:rsid w:val="00FB3227"/>
    <w:rsid w:val="00FC39E5"/>
    <w:rsid w:val="00FE0900"/>
    <w:rsid w:val="00FE1BED"/>
    <w:rsid w:val="00FE1EB0"/>
    <w:rsid w:val="00FE41BA"/>
    <w:rsid w:val="00FE4AFF"/>
    <w:rsid w:val="00FE7B9A"/>
    <w:rsid w:val="00FF022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89"/>
    <w:pPr>
      <w:ind w:left="720"/>
      <w:contextualSpacing/>
    </w:pPr>
  </w:style>
  <w:style w:type="character" w:styleId="CommentReference">
    <w:name w:val="annotation reference"/>
    <w:basedOn w:val="DefaultParagraphFont"/>
    <w:uiPriority w:val="99"/>
    <w:semiHidden/>
    <w:unhideWhenUsed/>
    <w:rsid w:val="00880388"/>
    <w:rPr>
      <w:sz w:val="16"/>
      <w:szCs w:val="16"/>
    </w:rPr>
  </w:style>
  <w:style w:type="paragraph" w:styleId="CommentText">
    <w:name w:val="annotation text"/>
    <w:basedOn w:val="Normal"/>
    <w:link w:val="CommentTextChar"/>
    <w:uiPriority w:val="99"/>
    <w:semiHidden/>
    <w:unhideWhenUsed/>
    <w:rsid w:val="00880388"/>
    <w:pPr>
      <w:spacing w:line="240" w:lineRule="auto"/>
    </w:pPr>
    <w:rPr>
      <w:sz w:val="20"/>
      <w:szCs w:val="20"/>
    </w:rPr>
  </w:style>
  <w:style w:type="character" w:customStyle="1" w:styleId="CommentTextChar">
    <w:name w:val="Comment Text Char"/>
    <w:basedOn w:val="DefaultParagraphFont"/>
    <w:link w:val="CommentText"/>
    <w:uiPriority w:val="99"/>
    <w:semiHidden/>
    <w:rsid w:val="00880388"/>
    <w:rPr>
      <w:sz w:val="20"/>
      <w:szCs w:val="20"/>
    </w:rPr>
  </w:style>
  <w:style w:type="paragraph" w:styleId="CommentSubject">
    <w:name w:val="annotation subject"/>
    <w:basedOn w:val="CommentText"/>
    <w:next w:val="CommentText"/>
    <w:link w:val="CommentSubjectChar"/>
    <w:uiPriority w:val="99"/>
    <w:semiHidden/>
    <w:unhideWhenUsed/>
    <w:rsid w:val="00880388"/>
    <w:rPr>
      <w:b/>
      <w:bCs/>
    </w:rPr>
  </w:style>
  <w:style w:type="character" w:customStyle="1" w:styleId="CommentSubjectChar">
    <w:name w:val="Comment Subject Char"/>
    <w:basedOn w:val="CommentTextChar"/>
    <w:link w:val="CommentSubject"/>
    <w:uiPriority w:val="99"/>
    <w:semiHidden/>
    <w:rsid w:val="00880388"/>
    <w:rPr>
      <w:b/>
      <w:bCs/>
      <w:sz w:val="20"/>
      <w:szCs w:val="20"/>
    </w:rPr>
  </w:style>
  <w:style w:type="paragraph" w:styleId="BalloonText">
    <w:name w:val="Balloon Text"/>
    <w:basedOn w:val="Normal"/>
    <w:link w:val="BalloonTextChar"/>
    <w:uiPriority w:val="99"/>
    <w:semiHidden/>
    <w:unhideWhenUsed/>
    <w:rsid w:val="0088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88"/>
    <w:rPr>
      <w:rFonts w:ascii="Segoe UI" w:hAnsi="Segoe UI" w:cs="Segoe UI"/>
      <w:sz w:val="18"/>
      <w:szCs w:val="18"/>
    </w:rPr>
  </w:style>
  <w:style w:type="paragraph" w:styleId="Header">
    <w:name w:val="header"/>
    <w:basedOn w:val="Normal"/>
    <w:link w:val="HeaderChar"/>
    <w:uiPriority w:val="99"/>
    <w:unhideWhenUsed/>
    <w:rsid w:val="00D8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C4D"/>
  </w:style>
  <w:style w:type="paragraph" w:styleId="Footer">
    <w:name w:val="footer"/>
    <w:basedOn w:val="Normal"/>
    <w:link w:val="FooterChar"/>
    <w:uiPriority w:val="99"/>
    <w:unhideWhenUsed/>
    <w:rsid w:val="00D83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89"/>
    <w:pPr>
      <w:ind w:left="720"/>
      <w:contextualSpacing/>
    </w:pPr>
  </w:style>
  <w:style w:type="character" w:styleId="CommentReference">
    <w:name w:val="annotation reference"/>
    <w:basedOn w:val="DefaultParagraphFont"/>
    <w:uiPriority w:val="99"/>
    <w:semiHidden/>
    <w:unhideWhenUsed/>
    <w:rsid w:val="00880388"/>
    <w:rPr>
      <w:sz w:val="16"/>
      <w:szCs w:val="16"/>
    </w:rPr>
  </w:style>
  <w:style w:type="paragraph" w:styleId="CommentText">
    <w:name w:val="annotation text"/>
    <w:basedOn w:val="Normal"/>
    <w:link w:val="CommentTextChar"/>
    <w:uiPriority w:val="99"/>
    <w:semiHidden/>
    <w:unhideWhenUsed/>
    <w:rsid w:val="00880388"/>
    <w:pPr>
      <w:spacing w:line="240" w:lineRule="auto"/>
    </w:pPr>
    <w:rPr>
      <w:sz w:val="20"/>
      <w:szCs w:val="20"/>
    </w:rPr>
  </w:style>
  <w:style w:type="character" w:customStyle="1" w:styleId="CommentTextChar">
    <w:name w:val="Comment Text Char"/>
    <w:basedOn w:val="DefaultParagraphFont"/>
    <w:link w:val="CommentText"/>
    <w:uiPriority w:val="99"/>
    <w:semiHidden/>
    <w:rsid w:val="00880388"/>
    <w:rPr>
      <w:sz w:val="20"/>
      <w:szCs w:val="20"/>
    </w:rPr>
  </w:style>
  <w:style w:type="paragraph" w:styleId="CommentSubject">
    <w:name w:val="annotation subject"/>
    <w:basedOn w:val="CommentText"/>
    <w:next w:val="CommentText"/>
    <w:link w:val="CommentSubjectChar"/>
    <w:uiPriority w:val="99"/>
    <w:semiHidden/>
    <w:unhideWhenUsed/>
    <w:rsid w:val="00880388"/>
    <w:rPr>
      <w:b/>
      <w:bCs/>
    </w:rPr>
  </w:style>
  <w:style w:type="character" w:customStyle="1" w:styleId="CommentSubjectChar">
    <w:name w:val="Comment Subject Char"/>
    <w:basedOn w:val="CommentTextChar"/>
    <w:link w:val="CommentSubject"/>
    <w:uiPriority w:val="99"/>
    <w:semiHidden/>
    <w:rsid w:val="00880388"/>
    <w:rPr>
      <w:b/>
      <w:bCs/>
      <w:sz w:val="20"/>
      <w:szCs w:val="20"/>
    </w:rPr>
  </w:style>
  <w:style w:type="paragraph" w:styleId="BalloonText">
    <w:name w:val="Balloon Text"/>
    <w:basedOn w:val="Normal"/>
    <w:link w:val="BalloonTextChar"/>
    <w:uiPriority w:val="99"/>
    <w:semiHidden/>
    <w:unhideWhenUsed/>
    <w:rsid w:val="0088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88"/>
    <w:rPr>
      <w:rFonts w:ascii="Segoe UI" w:hAnsi="Segoe UI" w:cs="Segoe UI"/>
      <w:sz w:val="18"/>
      <w:szCs w:val="18"/>
    </w:rPr>
  </w:style>
  <w:style w:type="paragraph" w:styleId="Header">
    <w:name w:val="header"/>
    <w:basedOn w:val="Normal"/>
    <w:link w:val="HeaderChar"/>
    <w:uiPriority w:val="99"/>
    <w:unhideWhenUsed/>
    <w:rsid w:val="00D8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C4D"/>
  </w:style>
  <w:style w:type="paragraph" w:styleId="Footer">
    <w:name w:val="footer"/>
    <w:basedOn w:val="Normal"/>
    <w:link w:val="FooterChar"/>
    <w:uiPriority w:val="99"/>
    <w:unhideWhenUsed/>
    <w:rsid w:val="00D83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Kudya</dc:creator>
  <cp:lastModifiedBy>user</cp:lastModifiedBy>
  <cp:revision>2</cp:revision>
  <cp:lastPrinted>2015-03-12T10:13:00Z</cp:lastPrinted>
  <dcterms:created xsi:type="dcterms:W3CDTF">2015-03-13T13:39:00Z</dcterms:created>
  <dcterms:modified xsi:type="dcterms:W3CDTF">2015-03-13T13:39:00Z</dcterms:modified>
</cp:coreProperties>
</file>