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DD" w:rsidRDefault="008540F9" w:rsidP="0081501A">
      <w:pPr>
        <w:pStyle w:val="NoSpacing"/>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ZIMBABWE SILICATE (PRIVATE) LIMITED </w:t>
      </w:r>
    </w:p>
    <w:p w:rsidR="008540F9" w:rsidRPr="0081501A" w:rsidRDefault="008540F9" w:rsidP="0081501A">
      <w:pPr>
        <w:pStyle w:val="NoSpacing"/>
        <w:jc w:val="both"/>
        <w:rPr>
          <w:rFonts w:ascii="Times New Roman" w:hAnsi="Times New Roman" w:cs="Times New Roman"/>
          <w:sz w:val="24"/>
          <w:szCs w:val="24"/>
        </w:rPr>
      </w:pPr>
      <w:r>
        <w:rPr>
          <w:rFonts w:ascii="Times New Roman" w:hAnsi="Times New Roman" w:cs="Times New Roman"/>
          <w:sz w:val="24"/>
          <w:szCs w:val="24"/>
        </w:rPr>
        <w:t>(In liquidation herein represented by Cecil Madondo the appointed liquidator)</w:t>
      </w:r>
    </w:p>
    <w:p w:rsidR="00465FDD" w:rsidRPr="0081501A" w:rsidRDefault="0081501A" w:rsidP="0081501A">
      <w:pPr>
        <w:pStyle w:val="NoSpacing"/>
        <w:jc w:val="both"/>
        <w:rPr>
          <w:rFonts w:ascii="Times New Roman" w:hAnsi="Times New Roman" w:cs="Times New Roman"/>
          <w:sz w:val="24"/>
          <w:szCs w:val="24"/>
        </w:rPr>
      </w:pPr>
      <w:r>
        <w:rPr>
          <w:rFonts w:ascii="Times New Roman" w:hAnsi="Times New Roman" w:cs="Times New Roman"/>
          <w:sz w:val="24"/>
          <w:szCs w:val="24"/>
        </w:rPr>
        <w:t>v</w:t>
      </w:r>
      <w:r w:rsidR="00465FDD" w:rsidRPr="0081501A">
        <w:rPr>
          <w:rFonts w:ascii="Times New Roman" w:hAnsi="Times New Roman" w:cs="Times New Roman"/>
          <w:sz w:val="24"/>
          <w:szCs w:val="24"/>
        </w:rPr>
        <w:t>ersus</w:t>
      </w:r>
    </w:p>
    <w:p w:rsidR="00465FDD" w:rsidRPr="0081501A" w:rsidRDefault="008540F9" w:rsidP="0081501A">
      <w:pPr>
        <w:pStyle w:val="NoSpacing"/>
        <w:jc w:val="both"/>
        <w:rPr>
          <w:rFonts w:ascii="Times New Roman" w:hAnsi="Times New Roman" w:cs="Times New Roman"/>
          <w:sz w:val="24"/>
          <w:szCs w:val="24"/>
        </w:rPr>
      </w:pPr>
      <w:r>
        <w:rPr>
          <w:rFonts w:ascii="Times New Roman" w:hAnsi="Times New Roman" w:cs="Times New Roman"/>
          <w:sz w:val="24"/>
          <w:szCs w:val="24"/>
        </w:rPr>
        <w:t>INFRASTRUCTURAL DEVELOPMENT BANK OF ZIMBABWE</w:t>
      </w:r>
    </w:p>
    <w:p w:rsidR="00465FDD" w:rsidRPr="0081501A" w:rsidRDefault="0081501A" w:rsidP="0081501A">
      <w:pPr>
        <w:pStyle w:val="NoSpacing"/>
        <w:jc w:val="both"/>
        <w:rPr>
          <w:rFonts w:ascii="Times New Roman" w:hAnsi="Times New Roman" w:cs="Times New Roman"/>
          <w:sz w:val="24"/>
          <w:szCs w:val="24"/>
        </w:rPr>
      </w:pPr>
      <w:r>
        <w:rPr>
          <w:rFonts w:ascii="Times New Roman" w:hAnsi="Times New Roman" w:cs="Times New Roman"/>
          <w:sz w:val="24"/>
          <w:szCs w:val="24"/>
        </w:rPr>
        <w:t>a</w:t>
      </w:r>
      <w:r w:rsidR="00465FDD" w:rsidRPr="0081501A">
        <w:rPr>
          <w:rFonts w:ascii="Times New Roman" w:hAnsi="Times New Roman" w:cs="Times New Roman"/>
          <w:sz w:val="24"/>
          <w:szCs w:val="24"/>
        </w:rPr>
        <w:t xml:space="preserve">nd </w:t>
      </w:r>
    </w:p>
    <w:p w:rsidR="00465FDD" w:rsidRPr="0081501A" w:rsidRDefault="008540F9" w:rsidP="0081501A">
      <w:pPr>
        <w:pStyle w:val="NoSpacing"/>
        <w:jc w:val="both"/>
        <w:rPr>
          <w:rFonts w:ascii="Times New Roman" w:hAnsi="Times New Roman" w:cs="Times New Roman"/>
          <w:sz w:val="24"/>
          <w:szCs w:val="24"/>
        </w:rPr>
      </w:pPr>
      <w:r>
        <w:rPr>
          <w:rFonts w:ascii="Times New Roman" w:hAnsi="Times New Roman" w:cs="Times New Roman"/>
          <w:sz w:val="24"/>
          <w:szCs w:val="24"/>
        </w:rPr>
        <w:t>THE MASTER OF THE HIGH COURT N.O</w:t>
      </w:r>
    </w:p>
    <w:p w:rsidR="00E61923" w:rsidRPr="0081501A" w:rsidRDefault="00E61923" w:rsidP="0081501A">
      <w:pPr>
        <w:pStyle w:val="NoSpacing"/>
        <w:jc w:val="both"/>
        <w:rPr>
          <w:rFonts w:ascii="Times New Roman" w:hAnsi="Times New Roman" w:cs="Times New Roman"/>
          <w:sz w:val="24"/>
          <w:szCs w:val="24"/>
        </w:rPr>
      </w:pPr>
    </w:p>
    <w:p w:rsidR="0081501A" w:rsidRDefault="0081501A" w:rsidP="0081501A">
      <w:pPr>
        <w:pStyle w:val="NoSpacing"/>
        <w:jc w:val="both"/>
        <w:rPr>
          <w:rFonts w:ascii="Times New Roman" w:hAnsi="Times New Roman" w:cs="Times New Roman"/>
          <w:sz w:val="24"/>
          <w:szCs w:val="24"/>
        </w:rPr>
      </w:pPr>
    </w:p>
    <w:p w:rsidR="00E61923" w:rsidRPr="0081501A" w:rsidRDefault="0081501A" w:rsidP="0081501A">
      <w:pPr>
        <w:pStyle w:val="NoSpacing"/>
        <w:jc w:val="both"/>
        <w:rPr>
          <w:rFonts w:ascii="Times New Roman" w:hAnsi="Times New Roman" w:cs="Times New Roman"/>
          <w:sz w:val="24"/>
          <w:szCs w:val="24"/>
        </w:rPr>
      </w:pPr>
      <w:r w:rsidRPr="0081501A">
        <w:rPr>
          <w:rFonts w:ascii="Times New Roman" w:hAnsi="Times New Roman" w:cs="Times New Roman"/>
          <w:sz w:val="24"/>
          <w:szCs w:val="24"/>
        </w:rPr>
        <w:t>HIGH COURT OF ZIMBABWE</w:t>
      </w:r>
    </w:p>
    <w:p w:rsidR="00E61923" w:rsidRPr="0081501A" w:rsidRDefault="0081501A" w:rsidP="0081501A">
      <w:pPr>
        <w:pStyle w:val="NoSpacing"/>
        <w:jc w:val="both"/>
        <w:rPr>
          <w:rFonts w:ascii="Times New Roman" w:hAnsi="Times New Roman" w:cs="Times New Roman"/>
          <w:sz w:val="24"/>
          <w:szCs w:val="24"/>
        </w:rPr>
      </w:pPr>
      <w:r w:rsidRPr="0081501A">
        <w:rPr>
          <w:rFonts w:ascii="Times New Roman" w:hAnsi="Times New Roman" w:cs="Times New Roman"/>
          <w:sz w:val="24"/>
          <w:szCs w:val="24"/>
        </w:rPr>
        <w:t>MUREMBA J</w:t>
      </w:r>
    </w:p>
    <w:p w:rsidR="00E61923" w:rsidRPr="0081501A" w:rsidRDefault="0081501A" w:rsidP="0081501A">
      <w:pPr>
        <w:pStyle w:val="NoSpacing"/>
        <w:jc w:val="both"/>
        <w:rPr>
          <w:rFonts w:ascii="Times New Roman" w:hAnsi="Times New Roman" w:cs="Times New Roman"/>
          <w:sz w:val="24"/>
          <w:szCs w:val="24"/>
        </w:rPr>
      </w:pPr>
      <w:r w:rsidRPr="0081501A">
        <w:rPr>
          <w:rFonts w:ascii="Times New Roman" w:hAnsi="Times New Roman" w:cs="Times New Roman"/>
          <w:sz w:val="24"/>
          <w:szCs w:val="24"/>
        </w:rPr>
        <w:t>HARARE</w:t>
      </w:r>
      <w:r w:rsidR="00E61923" w:rsidRPr="0081501A">
        <w:rPr>
          <w:rFonts w:ascii="Times New Roman" w:hAnsi="Times New Roman" w:cs="Times New Roman"/>
          <w:sz w:val="24"/>
          <w:szCs w:val="24"/>
        </w:rPr>
        <w:t xml:space="preserve">, 24 </w:t>
      </w:r>
      <w:r w:rsidR="008540F9">
        <w:rPr>
          <w:rFonts w:ascii="Times New Roman" w:hAnsi="Times New Roman" w:cs="Times New Roman"/>
          <w:sz w:val="24"/>
          <w:szCs w:val="24"/>
        </w:rPr>
        <w:t>March 2015</w:t>
      </w:r>
      <w:r w:rsidR="00311AA1">
        <w:rPr>
          <w:rFonts w:ascii="Times New Roman" w:hAnsi="Times New Roman" w:cs="Times New Roman"/>
          <w:sz w:val="24"/>
          <w:szCs w:val="24"/>
        </w:rPr>
        <w:t xml:space="preserve"> and 13</w:t>
      </w:r>
      <w:r w:rsidR="00E61923" w:rsidRPr="0081501A">
        <w:rPr>
          <w:rFonts w:ascii="Times New Roman" w:hAnsi="Times New Roman" w:cs="Times New Roman"/>
          <w:sz w:val="24"/>
          <w:szCs w:val="24"/>
        </w:rPr>
        <w:t xml:space="preserve"> </w:t>
      </w:r>
      <w:r w:rsidR="008540F9">
        <w:rPr>
          <w:rFonts w:ascii="Times New Roman" w:hAnsi="Times New Roman" w:cs="Times New Roman"/>
          <w:sz w:val="24"/>
          <w:szCs w:val="24"/>
        </w:rPr>
        <w:t>May</w:t>
      </w:r>
      <w:r w:rsidR="00E61923" w:rsidRPr="0081501A">
        <w:rPr>
          <w:rFonts w:ascii="Times New Roman" w:hAnsi="Times New Roman" w:cs="Times New Roman"/>
          <w:sz w:val="24"/>
          <w:szCs w:val="24"/>
        </w:rPr>
        <w:t xml:space="preserve"> 2015</w:t>
      </w:r>
    </w:p>
    <w:p w:rsidR="00E61923" w:rsidRPr="0081501A" w:rsidRDefault="00E61923" w:rsidP="0081501A">
      <w:pPr>
        <w:pStyle w:val="NoSpacing"/>
        <w:jc w:val="both"/>
        <w:rPr>
          <w:rFonts w:ascii="Times New Roman" w:hAnsi="Times New Roman" w:cs="Times New Roman"/>
          <w:sz w:val="24"/>
          <w:szCs w:val="24"/>
        </w:rPr>
      </w:pPr>
    </w:p>
    <w:p w:rsidR="0081501A" w:rsidRDefault="0081501A" w:rsidP="0081501A">
      <w:pPr>
        <w:pStyle w:val="NoSpacing"/>
        <w:spacing w:line="360" w:lineRule="auto"/>
        <w:jc w:val="both"/>
        <w:rPr>
          <w:rFonts w:ascii="Times New Roman" w:hAnsi="Times New Roman" w:cs="Times New Roman"/>
          <w:b/>
          <w:sz w:val="24"/>
          <w:szCs w:val="24"/>
        </w:rPr>
      </w:pPr>
    </w:p>
    <w:p w:rsidR="00E61923" w:rsidRPr="0081501A" w:rsidRDefault="008540F9" w:rsidP="0081501A">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Opposed</w:t>
      </w:r>
      <w:r w:rsidR="00DB162D" w:rsidRPr="0081501A">
        <w:rPr>
          <w:rFonts w:ascii="Times New Roman" w:hAnsi="Times New Roman" w:cs="Times New Roman"/>
          <w:b/>
          <w:sz w:val="24"/>
          <w:szCs w:val="24"/>
        </w:rPr>
        <w:t xml:space="preserve"> application</w:t>
      </w:r>
    </w:p>
    <w:p w:rsidR="00E61923" w:rsidRPr="0081501A" w:rsidRDefault="00E61923" w:rsidP="0081501A">
      <w:pPr>
        <w:pStyle w:val="NoSpacing"/>
        <w:spacing w:line="360" w:lineRule="auto"/>
        <w:jc w:val="both"/>
        <w:rPr>
          <w:rFonts w:ascii="Times New Roman" w:hAnsi="Times New Roman" w:cs="Times New Roman"/>
          <w:b/>
          <w:sz w:val="24"/>
          <w:szCs w:val="24"/>
        </w:rPr>
      </w:pPr>
    </w:p>
    <w:p w:rsidR="00E61923" w:rsidRPr="0081501A" w:rsidRDefault="00E61923" w:rsidP="0081501A">
      <w:pPr>
        <w:pStyle w:val="NoSpacing"/>
        <w:spacing w:line="360" w:lineRule="auto"/>
        <w:jc w:val="both"/>
        <w:rPr>
          <w:rFonts w:ascii="Times New Roman" w:hAnsi="Times New Roman" w:cs="Times New Roman"/>
          <w:sz w:val="24"/>
          <w:szCs w:val="24"/>
        </w:rPr>
      </w:pPr>
    </w:p>
    <w:p w:rsidR="00E61923" w:rsidRPr="0081501A" w:rsidRDefault="008540F9" w:rsidP="0081501A">
      <w:pPr>
        <w:pStyle w:val="NoSpacing"/>
        <w:jc w:val="both"/>
        <w:rPr>
          <w:rFonts w:ascii="Times New Roman" w:hAnsi="Times New Roman" w:cs="Times New Roman"/>
          <w:sz w:val="24"/>
          <w:szCs w:val="24"/>
        </w:rPr>
      </w:pPr>
      <w:r>
        <w:rPr>
          <w:rFonts w:ascii="Times New Roman" w:hAnsi="Times New Roman" w:cs="Times New Roman"/>
          <w:i/>
          <w:sz w:val="24"/>
          <w:szCs w:val="24"/>
        </w:rPr>
        <w:t>T Mpofu</w:t>
      </w:r>
      <w:r w:rsidR="0081501A">
        <w:rPr>
          <w:rFonts w:ascii="Times New Roman" w:hAnsi="Times New Roman" w:cs="Times New Roman"/>
          <w:sz w:val="24"/>
          <w:szCs w:val="24"/>
        </w:rPr>
        <w:t>,</w:t>
      </w:r>
      <w:r>
        <w:rPr>
          <w:rFonts w:ascii="Times New Roman" w:hAnsi="Times New Roman" w:cs="Times New Roman"/>
          <w:sz w:val="24"/>
          <w:szCs w:val="24"/>
        </w:rPr>
        <w:t xml:space="preserve"> for the applicant</w:t>
      </w:r>
    </w:p>
    <w:p w:rsidR="00E61923" w:rsidRPr="0081501A" w:rsidRDefault="008540F9" w:rsidP="0081501A">
      <w:pPr>
        <w:pStyle w:val="NoSpacing"/>
        <w:jc w:val="both"/>
        <w:rPr>
          <w:rFonts w:ascii="Times New Roman" w:hAnsi="Times New Roman" w:cs="Times New Roman"/>
          <w:sz w:val="24"/>
          <w:szCs w:val="24"/>
        </w:rPr>
      </w:pPr>
      <w:r w:rsidRPr="00A271E1">
        <w:rPr>
          <w:rFonts w:ascii="Times New Roman" w:hAnsi="Times New Roman" w:cs="Times New Roman"/>
          <w:i/>
          <w:sz w:val="24"/>
          <w:szCs w:val="24"/>
        </w:rPr>
        <w:t>O Mutero</w:t>
      </w:r>
      <w:r w:rsidR="0081501A">
        <w:rPr>
          <w:rFonts w:ascii="Times New Roman" w:hAnsi="Times New Roman" w:cs="Times New Roman"/>
          <w:sz w:val="24"/>
          <w:szCs w:val="24"/>
        </w:rPr>
        <w:t>,</w:t>
      </w:r>
      <w:r>
        <w:rPr>
          <w:rFonts w:ascii="Times New Roman" w:hAnsi="Times New Roman" w:cs="Times New Roman"/>
          <w:sz w:val="24"/>
          <w:szCs w:val="24"/>
        </w:rPr>
        <w:t xml:space="preserve"> for the 1</w:t>
      </w:r>
      <w:r w:rsidRPr="008540F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465FDD" w:rsidRPr="0081501A" w:rsidRDefault="00465FDD" w:rsidP="0081501A">
      <w:pPr>
        <w:pStyle w:val="NoSpacing"/>
        <w:jc w:val="both"/>
        <w:rPr>
          <w:rFonts w:ascii="Times New Roman" w:hAnsi="Times New Roman" w:cs="Times New Roman"/>
          <w:sz w:val="24"/>
          <w:szCs w:val="24"/>
        </w:rPr>
      </w:pPr>
    </w:p>
    <w:p w:rsidR="00465FDD" w:rsidRPr="0081501A" w:rsidRDefault="00465FDD" w:rsidP="0081501A">
      <w:pPr>
        <w:pStyle w:val="NoSpacing"/>
        <w:spacing w:line="360" w:lineRule="auto"/>
        <w:jc w:val="both"/>
        <w:rPr>
          <w:rFonts w:ascii="Times New Roman" w:hAnsi="Times New Roman" w:cs="Times New Roman"/>
          <w:sz w:val="24"/>
          <w:szCs w:val="24"/>
        </w:rPr>
      </w:pPr>
    </w:p>
    <w:p w:rsidR="0093750B" w:rsidRDefault="00465FDD" w:rsidP="008540F9">
      <w:pPr>
        <w:pStyle w:val="NoSpacing"/>
        <w:spacing w:line="360" w:lineRule="auto"/>
        <w:ind w:firstLine="720"/>
        <w:jc w:val="both"/>
        <w:rPr>
          <w:rFonts w:ascii="Times New Roman" w:hAnsi="Times New Roman" w:cs="Times New Roman"/>
          <w:sz w:val="24"/>
          <w:szCs w:val="24"/>
        </w:rPr>
      </w:pPr>
      <w:r w:rsidRPr="0081501A">
        <w:rPr>
          <w:rFonts w:ascii="Times New Roman" w:hAnsi="Times New Roman" w:cs="Times New Roman"/>
          <w:sz w:val="24"/>
          <w:szCs w:val="24"/>
        </w:rPr>
        <w:t>MUREMBA J:</w:t>
      </w:r>
      <w:r w:rsidR="00942CD7" w:rsidRPr="0081501A">
        <w:rPr>
          <w:rFonts w:ascii="Times New Roman" w:hAnsi="Times New Roman" w:cs="Times New Roman"/>
          <w:sz w:val="24"/>
          <w:szCs w:val="24"/>
        </w:rPr>
        <w:t xml:space="preserve"> </w:t>
      </w:r>
      <w:r w:rsidR="000A30B1">
        <w:rPr>
          <w:rFonts w:ascii="Times New Roman" w:hAnsi="Times New Roman" w:cs="Times New Roman"/>
          <w:sz w:val="24"/>
          <w:szCs w:val="24"/>
        </w:rPr>
        <w:t>The a</w:t>
      </w:r>
      <w:r w:rsidR="0057614C">
        <w:rPr>
          <w:rFonts w:ascii="Times New Roman" w:hAnsi="Times New Roman" w:cs="Times New Roman"/>
          <w:sz w:val="24"/>
          <w:szCs w:val="24"/>
        </w:rPr>
        <w:t>pplicant is a company which is</w:t>
      </w:r>
      <w:r w:rsidR="000A30B1">
        <w:rPr>
          <w:rFonts w:ascii="Times New Roman" w:hAnsi="Times New Roman" w:cs="Times New Roman"/>
          <w:sz w:val="24"/>
          <w:szCs w:val="24"/>
        </w:rPr>
        <w:t xml:space="preserve"> now under liquidation, the liquidator being Cecil Madondo.  The first respondent is a bank</w:t>
      </w:r>
      <w:r w:rsidR="00976BF2">
        <w:rPr>
          <w:rFonts w:ascii="Times New Roman" w:hAnsi="Times New Roman" w:cs="Times New Roman"/>
          <w:sz w:val="24"/>
          <w:szCs w:val="24"/>
        </w:rPr>
        <w:t>.</w:t>
      </w:r>
    </w:p>
    <w:p w:rsidR="00976BF2" w:rsidRDefault="00976BF2" w:rsidP="008540F9">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Sometime in 2009 before the applicant went into liquidation it was given a revolving credit facility of up to US$30 000.00 by the first respondent.  The facility was guaranteed by Zimbabwe Glass Industry (Pvt) Ltd (hereafter referred to as the guarantor.)</w:t>
      </w:r>
    </w:p>
    <w:p w:rsidR="00E2129F" w:rsidRDefault="00EB65D3" w:rsidP="008540F9">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is a</w:t>
      </w:r>
      <w:r w:rsidR="00E2129F">
        <w:rPr>
          <w:rFonts w:ascii="Times New Roman" w:hAnsi="Times New Roman" w:cs="Times New Roman"/>
          <w:sz w:val="24"/>
          <w:szCs w:val="24"/>
        </w:rPr>
        <w:t xml:space="preserve"> subsidiary company of the guarantor.</w:t>
      </w:r>
    </w:p>
    <w:p w:rsidR="0047128B" w:rsidRDefault="00EB65D3" w:rsidP="0047128B">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w:t>
      </w:r>
      <w:r w:rsidR="0047128B">
        <w:rPr>
          <w:rFonts w:ascii="Times New Roman" w:hAnsi="Times New Roman" w:cs="Times New Roman"/>
          <w:sz w:val="24"/>
          <w:szCs w:val="24"/>
        </w:rPr>
        <w:t>ant failed to repay part of the loan resulting in the first respondent obtaining a court order under case number HC 6593/11 against both the applicant and the guarantor on 24 A</w:t>
      </w:r>
      <w:r>
        <w:rPr>
          <w:rFonts w:ascii="Times New Roman" w:hAnsi="Times New Roman" w:cs="Times New Roman"/>
          <w:sz w:val="24"/>
          <w:szCs w:val="24"/>
        </w:rPr>
        <w:t xml:space="preserve">pril 2013. </w:t>
      </w:r>
      <w:r w:rsidR="0047128B">
        <w:rPr>
          <w:rFonts w:ascii="Times New Roman" w:hAnsi="Times New Roman" w:cs="Times New Roman"/>
          <w:sz w:val="24"/>
          <w:szCs w:val="24"/>
        </w:rPr>
        <w:t>However</w:t>
      </w:r>
      <w:r>
        <w:rPr>
          <w:rFonts w:ascii="Times New Roman" w:hAnsi="Times New Roman" w:cs="Times New Roman"/>
          <w:sz w:val="24"/>
          <w:szCs w:val="24"/>
        </w:rPr>
        <w:t>,</w:t>
      </w:r>
      <w:r w:rsidR="0047128B">
        <w:rPr>
          <w:rFonts w:ascii="Times New Roman" w:hAnsi="Times New Roman" w:cs="Times New Roman"/>
          <w:sz w:val="24"/>
          <w:szCs w:val="24"/>
        </w:rPr>
        <w:t xml:space="preserve"> by the time that court order came out</w:t>
      </w:r>
      <w:r>
        <w:rPr>
          <w:rFonts w:ascii="Times New Roman" w:hAnsi="Times New Roman" w:cs="Times New Roman"/>
          <w:sz w:val="24"/>
          <w:szCs w:val="24"/>
        </w:rPr>
        <w:t>,</w:t>
      </w:r>
      <w:r w:rsidR="0047128B">
        <w:rPr>
          <w:rFonts w:ascii="Times New Roman" w:hAnsi="Times New Roman" w:cs="Times New Roman"/>
          <w:sz w:val="24"/>
          <w:szCs w:val="24"/>
        </w:rPr>
        <w:t xml:space="preserve"> the applicant had been placed under liquidation on 21 March 2012.  Cons</w:t>
      </w:r>
      <w:r>
        <w:rPr>
          <w:rFonts w:ascii="Times New Roman" w:hAnsi="Times New Roman" w:cs="Times New Roman"/>
          <w:sz w:val="24"/>
          <w:szCs w:val="24"/>
        </w:rPr>
        <w:t>equently the first respondent decide</w:t>
      </w:r>
      <w:r w:rsidR="0047128B">
        <w:rPr>
          <w:rFonts w:ascii="Times New Roman" w:hAnsi="Times New Roman" w:cs="Times New Roman"/>
          <w:sz w:val="24"/>
          <w:szCs w:val="24"/>
        </w:rPr>
        <w:t>d to enforce the court order against the</w:t>
      </w:r>
      <w:r>
        <w:rPr>
          <w:rFonts w:ascii="Times New Roman" w:hAnsi="Times New Roman" w:cs="Times New Roman"/>
          <w:sz w:val="24"/>
          <w:szCs w:val="24"/>
        </w:rPr>
        <w:t xml:space="preserve"> guarantor. It went on to have the</w:t>
      </w:r>
      <w:r w:rsidR="0047128B">
        <w:rPr>
          <w:rFonts w:ascii="Times New Roman" w:hAnsi="Times New Roman" w:cs="Times New Roman"/>
          <w:sz w:val="24"/>
          <w:szCs w:val="24"/>
        </w:rPr>
        <w:t xml:space="preserve"> guarantor’s motor vehicle</w:t>
      </w:r>
      <w:r w:rsidR="00595F02">
        <w:rPr>
          <w:rFonts w:ascii="Times New Roman" w:hAnsi="Times New Roman" w:cs="Times New Roman"/>
          <w:sz w:val="24"/>
          <w:szCs w:val="24"/>
        </w:rPr>
        <w:t>s</w:t>
      </w:r>
      <w:r w:rsidR="0047128B">
        <w:rPr>
          <w:rFonts w:ascii="Times New Roman" w:hAnsi="Times New Roman" w:cs="Times New Roman"/>
          <w:sz w:val="24"/>
          <w:szCs w:val="24"/>
        </w:rPr>
        <w:t xml:space="preserve"> </w:t>
      </w:r>
      <w:r>
        <w:rPr>
          <w:rFonts w:ascii="Times New Roman" w:hAnsi="Times New Roman" w:cs="Times New Roman"/>
          <w:sz w:val="24"/>
          <w:szCs w:val="24"/>
        </w:rPr>
        <w:t xml:space="preserve">attached </w:t>
      </w:r>
      <w:r w:rsidR="0047128B">
        <w:rPr>
          <w:rFonts w:ascii="Times New Roman" w:hAnsi="Times New Roman" w:cs="Times New Roman"/>
          <w:sz w:val="24"/>
          <w:szCs w:val="24"/>
        </w:rPr>
        <w:t>for the purposes of</w:t>
      </w:r>
      <w:r>
        <w:rPr>
          <w:rFonts w:ascii="Times New Roman" w:hAnsi="Times New Roman" w:cs="Times New Roman"/>
          <w:sz w:val="24"/>
          <w:szCs w:val="24"/>
        </w:rPr>
        <w:t xml:space="preserve"> having them sold </w:t>
      </w:r>
      <w:r w:rsidR="001D40F9">
        <w:rPr>
          <w:rFonts w:ascii="Times New Roman" w:hAnsi="Times New Roman" w:cs="Times New Roman"/>
          <w:sz w:val="24"/>
          <w:szCs w:val="24"/>
        </w:rPr>
        <w:t>in order to satisfy</w:t>
      </w:r>
      <w:r w:rsidR="0047128B">
        <w:rPr>
          <w:rFonts w:ascii="Times New Roman" w:hAnsi="Times New Roman" w:cs="Times New Roman"/>
          <w:sz w:val="24"/>
          <w:szCs w:val="24"/>
        </w:rPr>
        <w:t xml:space="preserve"> the debt.  The Sheriff of the High Court attached the motor vehicle</w:t>
      </w:r>
      <w:r w:rsidR="001D40F9">
        <w:rPr>
          <w:rFonts w:ascii="Times New Roman" w:hAnsi="Times New Roman" w:cs="Times New Roman"/>
          <w:sz w:val="24"/>
          <w:szCs w:val="24"/>
        </w:rPr>
        <w:t>s</w:t>
      </w:r>
      <w:r w:rsidR="0047128B">
        <w:rPr>
          <w:rFonts w:ascii="Times New Roman" w:hAnsi="Times New Roman" w:cs="Times New Roman"/>
          <w:sz w:val="24"/>
          <w:szCs w:val="24"/>
        </w:rPr>
        <w:t xml:space="preserve"> on 5 June 2013.</w:t>
      </w:r>
    </w:p>
    <w:p w:rsidR="0047128B" w:rsidRDefault="0047128B" w:rsidP="0047128B">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guarantor’s legal practitioners negotiated for the suspension of execution promising to settle the debt on terms but the terms were breached </w:t>
      </w:r>
      <w:r w:rsidR="001D40F9">
        <w:rPr>
          <w:rFonts w:ascii="Times New Roman" w:hAnsi="Times New Roman" w:cs="Times New Roman"/>
          <w:sz w:val="24"/>
          <w:szCs w:val="24"/>
        </w:rPr>
        <w:t xml:space="preserve">thereby </w:t>
      </w:r>
      <w:r>
        <w:rPr>
          <w:rFonts w:ascii="Times New Roman" w:hAnsi="Times New Roman" w:cs="Times New Roman"/>
          <w:sz w:val="24"/>
          <w:szCs w:val="24"/>
        </w:rPr>
        <w:t>causing the first respondent to resume execution.  The motor vehicles that had been attached were removed for sale.</w:t>
      </w:r>
    </w:p>
    <w:p w:rsidR="003F38A9" w:rsidRDefault="003F38A9" w:rsidP="0047128B">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However, before the moto</w:t>
      </w:r>
      <w:r w:rsidR="005838A8">
        <w:rPr>
          <w:rFonts w:ascii="Times New Roman" w:hAnsi="Times New Roman" w:cs="Times New Roman"/>
          <w:sz w:val="24"/>
          <w:szCs w:val="24"/>
        </w:rPr>
        <w:t>r</w:t>
      </w:r>
      <w:r>
        <w:rPr>
          <w:rFonts w:ascii="Times New Roman" w:hAnsi="Times New Roman" w:cs="Times New Roman"/>
          <w:sz w:val="24"/>
          <w:szCs w:val="24"/>
        </w:rPr>
        <w:t xml:space="preserve"> vehicle</w:t>
      </w:r>
      <w:r w:rsidR="00181ED7">
        <w:rPr>
          <w:rFonts w:ascii="Times New Roman" w:hAnsi="Times New Roman" w:cs="Times New Roman"/>
          <w:sz w:val="24"/>
          <w:szCs w:val="24"/>
        </w:rPr>
        <w:t>s</w:t>
      </w:r>
      <w:r>
        <w:rPr>
          <w:rFonts w:ascii="Times New Roman" w:hAnsi="Times New Roman" w:cs="Times New Roman"/>
          <w:sz w:val="24"/>
          <w:szCs w:val="24"/>
        </w:rPr>
        <w:t xml:space="preserve"> were sold th</w:t>
      </w:r>
      <w:r w:rsidR="005838A8">
        <w:rPr>
          <w:rFonts w:ascii="Times New Roman" w:hAnsi="Times New Roman" w:cs="Times New Roman"/>
          <w:sz w:val="24"/>
          <w:szCs w:val="24"/>
        </w:rPr>
        <w:t>e applicant’s liquidator Cecil M</w:t>
      </w:r>
      <w:r>
        <w:rPr>
          <w:rFonts w:ascii="Times New Roman" w:hAnsi="Times New Roman" w:cs="Times New Roman"/>
          <w:sz w:val="24"/>
          <w:szCs w:val="24"/>
        </w:rPr>
        <w:t xml:space="preserve">adondo </w:t>
      </w:r>
      <w:r w:rsidR="005838A8">
        <w:rPr>
          <w:rFonts w:ascii="Times New Roman" w:hAnsi="Times New Roman" w:cs="Times New Roman"/>
          <w:sz w:val="24"/>
          <w:szCs w:val="24"/>
        </w:rPr>
        <w:t>entered</w:t>
      </w:r>
      <w:r>
        <w:rPr>
          <w:rFonts w:ascii="Times New Roman" w:hAnsi="Times New Roman" w:cs="Times New Roman"/>
          <w:sz w:val="24"/>
          <w:szCs w:val="24"/>
        </w:rPr>
        <w:t xml:space="preserve"> into negotiations with the first respondent for the suspension of the sale a</w:t>
      </w:r>
      <w:r w:rsidR="005838A8">
        <w:rPr>
          <w:rFonts w:ascii="Times New Roman" w:hAnsi="Times New Roman" w:cs="Times New Roman"/>
          <w:sz w:val="24"/>
          <w:szCs w:val="24"/>
        </w:rPr>
        <w:t>n</w:t>
      </w:r>
      <w:r>
        <w:rPr>
          <w:rFonts w:ascii="Times New Roman" w:hAnsi="Times New Roman" w:cs="Times New Roman"/>
          <w:sz w:val="24"/>
          <w:szCs w:val="24"/>
        </w:rPr>
        <w:t>d the release of the motor vehicles to the guarantor.  Cecil Madondo and the first respondent agreed that an investment account whereby the applicant would deposit a</w:t>
      </w:r>
      <w:r w:rsidR="001D40F9">
        <w:rPr>
          <w:rFonts w:ascii="Times New Roman" w:hAnsi="Times New Roman" w:cs="Times New Roman"/>
          <w:sz w:val="24"/>
          <w:szCs w:val="24"/>
        </w:rPr>
        <w:t>n amount which was</w:t>
      </w:r>
      <w:r>
        <w:rPr>
          <w:rFonts w:ascii="Times New Roman" w:hAnsi="Times New Roman" w:cs="Times New Roman"/>
          <w:sz w:val="24"/>
          <w:szCs w:val="24"/>
        </w:rPr>
        <w:t xml:space="preserve"> </w:t>
      </w:r>
      <w:r w:rsidR="001D40F9">
        <w:rPr>
          <w:rFonts w:ascii="Times New Roman" w:hAnsi="Times New Roman" w:cs="Times New Roman"/>
          <w:sz w:val="24"/>
          <w:szCs w:val="24"/>
        </w:rPr>
        <w:t xml:space="preserve">equivalent to the </w:t>
      </w:r>
      <w:r>
        <w:rPr>
          <w:rFonts w:ascii="Times New Roman" w:hAnsi="Times New Roman" w:cs="Times New Roman"/>
          <w:sz w:val="24"/>
          <w:szCs w:val="24"/>
        </w:rPr>
        <w:t>outstanding debt</w:t>
      </w:r>
      <w:r w:rsidR="0057614C">
        <w:rPr>
          <w:rFonts w:ascii="Times New Roman" w:hAnsi="Times New Roman" w:cs="Times New Roman"/>
          <w:sz w:val="24"/>
          <w:szCs w:val="24"/>
        </w:rPr>
        <w:t xml:space="preserve"> would be opened</w:t>
      </w:r>
      <w:r>
        <w:rPr>
          <w:rFonts w:ascii="Times New Roman" w:hAnsi="Times New Roman" w:cs="Times New Roman"/>
          <w:sz w:val="24"/>
          <w:szCs w:val="24"/>
        </w:rPr>
        <w:t>.  The following e-mail correspondence between Tsitsi Majoko of Sawyer Mkushi, the legal practitioners of the first respondent and Cecil Madondo the applicant’</w:t>
      </w:r>
      <w:r w:rsidR="001D40F9">
        <w:rPr>
          <w:rFonts w:ascii="Times New Roman" w:hAnsi="Times New Roman" w:cs="Times New Roman"/>
          <w:sz w:val="24"/>
          <w:szCs w:val="24"/>
        </w:rPr>
        <w:t>s</w:t>
      </w:r>
      <w:r>
        <w:rPr>
          <w:rFonts w:ascii="Times New Roman" w:hAnsi="Times New Roman" w:cs="Times New Roman"/>
          <w:sz w:val="24"/>
          <w:szCs w:val="24"/>
        </w:rPr>
        <w:t xml:space="preserve"> liquidator is relevant.  On 8 October 2013 Tsistsi Majoko sent an e-mail to Cecil Majoko which said,</w:t>
      </w:r>
    </w:p>
    <w:p w:rsidR="003F38A9" w:rsidRDefault="003F38A9" w:rsidP="00AA5314">
      <w:pPr>
        <w:pStyle w:val="NoSpacing"/>
        <w:ind w:left="720"/>
        <w:jc w:val="both"/>
        <w:rPr>
          <w:rFonts w:ascii="Times New Roman" w:hAnsi="Times New Roman" w:cs="Times New Roman"/>
        </w:rPr>
      </w:pPr>
      <w:r w:rsidRPr="00AA5314">
        <w:rPr>
          <w:rFonts w:ascii="Times New Roman" w:hAnsi="Times New Roman" w:cs="Times New Roman"/>
        </w:rPr>
        <w:t xml:space="preserve">“you had been </w:t>
      </w:r>
      <w:r w:rsidR="001D40F9" w:rsidRPr="00AA5314">
        <w:rPr>
          <w:rFonts w:ascii="Times New Roman" w:hAnsi="Times New Roman" w:cs="Times New Roman"/>
        </w:rPr>
        <w:t>reque</w:t>
      </w:r>
      <w:r w:rsidR="001D40F9">
        <w:rPr>
          <w:rFonts w:ascii="Times New Roman" w:hAnsi="Times New Roman" w:cs="Times New Roman"/>
        </w:rPr>
        <w:t>s</w:t>
      </w:r>
      <w:r w:rsidR="001D40F9" w:rsidRPr="00AA5314">
        <w:rPr>
          <w:rFonts w:ascii="Times New Roman" w:hAnsi="Times New Roman" w:cs="Times New Roman"/>
        </w:rPr>
        <w:t>te</w:t>
      </w:r>
      <w:r w:rsidR="001D40F9">
        <w:rPr>
          <w:rFonts w:ascii="Times New Roman" w:hAnsi="Times New Roman" w:cs="Times New Roman"/>
        </w:rPr>
        <w:t>d</w:t>
      </w:r>
      <w:r w:rsidRPr="00AA5314">
        <w:rPr>
          <w:rFonts w:ascii="Times New Roman" w:hAnsi="Times New Roman" w:cs="Times New Roman"/>
        </w:rPr>
        <w:t xml:space="preserve"> to deposit an am</w:t>
      </w:r>
      <w:r w:rsidR="00CF0652" w:rsidRPr="00AA5314">
        <w:rPr>
          <w:rFonts w:ascii="Times New Roman" w:hAnsi="Times New Roman" w:cs="Times New Roman"/>
        </w:rPr>
        <w:t>ount equivalent to Zim Silicates</w:t>
      </w:r>
      <w:r w:rsidRPr="00AA5314">
        <w:rPr>
          <w:rFonts w:ascii="Times New Roman" w:hAnsi="Times New Roman" w:cs="Times New Roman"/>
        </w:rPr>
        <w:t xml:space="preserve"> Loan balance in Treasury Department, and this has not been the case.  Zimglass are therefore supposed to meet the </w:t>
      </w:r>
      <w:r w:rsidR="00CF0652" w:rsidRPr="00AA5314">
        <w:rPr>
          <w:rFonts w:ascii="Times New Roman" w:hAnsi="Times New Roman" w:cs="Times New Roman"/>
        </w:rPr>
        <w:t>deadline</w:t>
      </w:r>
      <w:r w:rsidRPr="00AA5314">
        <w:rPr>
          <w:rFonts w:ascii="Times New Roman" w:hAnsi="Times New Roman" w:cs="Times New Roman"/>
        </w:rPr>
        <w:t xml:space="preserve"> given or else lose the vehicle</w:t>
      </w:r>
      <w:r w:rsidR="001D40F9">
        <w:rPr>
          <w:rFonts w:ascii="Times New Roman" w:hAnsi="Times New Roman" w:cs="Times New Roman"/>
        </w:rPr>
        <w:t>s which will be disposed of</w:t>
      </w:r>
      <w:r w:rsidRPr="00AA5314">
        <w:rPr>
          <w:rFonts w:ascii="Times New Roman" w:hAnsi="Times New Roman" w:cs="Times New Roman"/>
        </w:rPr>
        <w:t xml:space="preserve"> if y</w:t>
      </w:r>
      <w:r w:rsidR="001D40F9">
        <w:rPr>
          <w:rFonts w:ascii="Times New Roman" w:hAnsi="Times New Roman" w:cs="Times New Roman"/>
        </w:rPr>
        <w:t xml:space="preserve">ou fail to honour the agreement </w:t>
      </w:r>
      <w:r w:rsidRPr="00AA5314">
        <w:rPr>
          <w:rFonts w:ascii="Times New Roman" w:hAnsi="Times New Roman" w:cs="Times New Roman"/>
        </w:rPr>
        <w:t xml:space="preserve"> in terms of our discussion, last week.”</w:t>
      </w:r>
    </w:p>
    <w:p w:rsidR="00AA5314" w:rsidRPr="00AA5314" w:rsidRDefault="00AA5314" w:rsidP="00AA5314">
      <w:pPr>
        <w:pStyle w:val="NoSpacing"/>
        <w:ind w:left="720"/>
        <w:jc w:val="both"/>
        <w:rPr>
          <w:rFonts w:ascii="Times New Roman" w:hAnsi="Times New Roman" w:cs="Times New Roman"/>
        </w:rPr>
      </w:pPr>
    </w:p>
    <w:p w:rsidR="00653594" w:rsidRDefault="00653594" w:rsidP="00362769">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On 9 October 2013 Cecil Madondo wrote back to Tsistsi Majoko saying,</w:t>
      </w:r>
    </w:p>
    <w:p w:rsidR="00653594" w:rsidRDefault="00653594" w:rsidP="00AA5314">
      <w:pPr>
        <w:pStyle w:val="NoSpacing"/>
        <w:ind w:left="720"/>
        <w:jc w:val="both"/>
        <w:rPr>
          <w:rFonts w:ascii="Times New Roman" w:hAnsi="Times New Roman" w:cs="Times New Roman"/>
        </w:rPr>
      </w:pPr>
      <w:r w:rsidRPr="00AA5314">
        <w:rPr>
          <w:rFonts w:ascii="Times New Roman" w:hAnsi="Times New Roman" w:cs="Times New Roman"/>
        </w:rPr>
        <w:t>“W</w:t>
      </w:r>
      <w:r w:rsidR="001D40F9">
        <w:rPr>
          <w:rFonts w:ascii="Times New Roman" w:hAnsi="Times New Roman" w:cs="Times New Roman"/>
        </w:rPr>
        <w:t>e w</w:t>
      </w:r>
      <w:r w:rsidRPr="00AA5314">
        <w:rPr>
          <w:rFonts w:ascii="Times New Roman" w:hAnsi="Times New Roman" w:cs="Times New Roman"/>
        </w:rPr>
        <w:t>rite to confirm that a total investment of US$32 310.42 has since been completed today as per the resolution dated 02 October 2013 by Zimglass Industries Limited.  We kindly request you to facilitate the release of assets (vehicles) to Zimbabwe Glass Company Limited top management at the earliest possible time, please.”</w:t>
      </w:r>
    </w:p>
    <w:p w:rsidR="00AA5314" w:rsidRPr="00AA5314" w:rsidRDefault="00AA5314" w:rsidP="00AA5314">
      <w:pPr>
        <w:pStyle w:val="NoSpacing"/>
        <w:ind w:left="720"/>
        <w:jc w:val="both"/>
        <w:rPr>
          <w:rFonts w:ascii="Times New Roman" w:hAnsi="Times New Roman" w:cs="Times New Roman"/>
        </w:rPr>
      </w:pPr>
    </w:p>
    <w:p w:rsidR="006725F0" w:rsidRDefault="006725F0" w:rsidP="00AA531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392835">
        <w:rPr>
          <w:rFonts w:ascii="Times New Roman" w:hAnsi="Times New Roman" w:cs="Times New Roman"/>
          <w:sz w:val="24"/>
          <w:szCs w:val="24"/>
        </w:rPr>
        <w:t>Zimbabwe</w:t>
      </w:r>
      <w:r>
        <w:rPr>
          <w:rFonts w:ascii="Times New Roman" w:hAnsi="Times New Roman" w:cs="Times New Roman"/>
          <w:sz w:val="24"/>
          <w:szCs w:val="24"/>
        </w:rPr>
        <w:t xml:space="preserve"> Glass Industries Limited r</w:t>
      </w:r>
      <w:r w:rsidR="001D40F9">
        <w:rPr>
          <w:rFonts w:ascii="Times New Roman" w:hAnsi="Times New Roman" w:cs="Times New Roman"/>
          <w:sz w:val="24"/>
          <w:szCs w:val="24"/>
        </w:rPr>
        <w:t>esolution of 2 October 2013 which</w:t>
      </w:r>
      <w:r>
        <w:rPr>
          <w:rFonts w:ascii="Times New Roman" w:hAnsi="Times New Roman" w:cs="Times New Roman"/>
          <w:sz w:val="24"/>
          <w:szCs w:val="24"/>
        </w:rPr>
        <w:t xml:space="preserve"> the applicant’s </w:t>
      </w:r>
      <w:r w:rsidR="00392835">
        <w:rPr>
          <w:rFonts w:ascii="Times New Roman" w:hAnsi="Times New Roman" w:cs="Times New Roman"/>
          <w:sz w:val="24"/>
          <w:szCs w:val="24"/>
        </w:rPr>
        <w:t>liquidator</w:t>
      </w:r>
      <w:r>
        <w:rPr>
          <w:rFonts w:ascii="Times New Roman" w:hAnsi="Times New Roman" w:cs="Times New Roman"/>
          <w:sz w:val="24"/>
          <w:szCs w:val="24"/>
        </w:rPr>
        <w:t xml:space="preserve"> </w:t>
      </w:r>
      <w:r w:rsidR="001D40F9">
        <w:rPr>
          <w:rFonts w:ascii="Times New Roman" w:hAnsi="Times New Roman" w:cs="Times New Roman"/>
          <w:sz w:val="24"/>
          <w:szCs w:val="24"/>
        </w:rPr>
        <w:t>was referring to in the e-mail h</w:t>
      </w:r>
      <w:r w:rsidR="0057614C">
        <w:rPr>
          <w:rFonts w:ascii="Times New Roman" w:hAnsi="Times New Roman" w:cs="Times New Roman"/>
          <w:sz w:val="24"/>
          <w:szCs w:val="24"/>
        </w:rPr>
        <w:t>ad</w:t>
      </w:r>
      <w:r>
        <w:rPr>
          <w:rFonts w:ascii="Times New Roman" w:hAnsi="Times New Roman" w:cs="Times New Roman"/>
          <w:sz w:val="24"/>
          <w:szCs w:val="24"/>
        </w:rPr>
        <w:t xml:space="preserve"> a</w:t>
      </w:r>
      <w:r w:rsidR="0057614C">
        <w:rPr>
          <w:rFonts w:ascii="Times New Roman" w:hAnsi="Times New Roman" w:cs="Times New Roman"/>
          <w:sz w:val="24"/>
          <w:szCs w:val="24"/>
        </w:rPr>
        <w:t xml:space="preserve"> history to it and the history wa</w:t>
      </w:r>
      <w:r>
        <w:rPr>
          <w:rFonts w:ascii="Times New Roman" w:hAnsi="Times New Roman" w:cs="Times New Roman"/>
          <w:sz w:val="24"/>
          <w:szCs w:val="24"/>
        </w:rPr>
        <w:t>s as follows:- The court order under case</w:t>
      </w:r>
      <w:r w:rsidR="000B2D0B">
        <w:rPr>
          <w:rFonts w:ascii="Times New Roman" w:hAnsi="Times New Roman" w:cs="Times New Roman"/>
          <w:sz w:val="24"/>
          <w:szCs w:val="24"/>
        </w:rPr>
        <w:t xml:space="preserve"> number HC 6593/2011 against the applicant and the guarantor had a total sum of $41 533.92.  The guarantor made some payments leaving a </w:t>
      </w:r>
      <w:r w:rsidR="005838A8">
        <w:rPr>
          <w:rFonts w:ascii="Times New Roman" w:hAnsi="Times New Roman" w:cs="Times New Roman"/>
          <w:sz w:val="24"/>
          <w:szCs w:val="24"/>
        </w:rPr>
        <w:t>balance</w:t>
      </w:r>
      <w:r w:rsidR="000B2D0B">
        <w:rPr>
          <w:rFonts w:ascii="Times New Roman" w:hAnsi="Times New Roman" w:cs="Times New Roman"/>
          <w:sz w:val="24"/>
          <w:szCs w:val="24"/>
        </w:rPr>
        <w:t xml:space="preserve"> of US$32 310.42.  </w:t>
      </w:r>
      <w:r w:rsidR="005471DE">
        <w:rPr>
          <w:rFonts w:ascii="Times New Roman" w:hAnsi="Times New Roman" w:cs="Times New Roman"/>
          <w:sz w:val="24"/>
          <w:szCs w:val="24"/>
        </w:rPr>
        <w:t>The</w:t>
      </w:r>
      <w:r w:rsidR="000B2D0B">
        <w:rPr>
          <w:rFonts w:ascii="Times New Roman" w:hAnsi="Times New Roman" w:cs="Times New Roman"/>
          <w:sz w:val="24"/>
          <w:szCs w:val="24"/>
        </w:rPr>
        <w:t xml:space="preserve"> first respondent had the guarantor’s motor vehicles attached for the purpose of satisfying that outstanding amount.  The guarantor being one of the creditors of  the applicant </w:t>
      </w:r>
      <w:r w:rsidR="001D40F9">
        <w:rPr>
          <w:rFonts w:ascii="Times New Roman" w:hAnsi="Times New Roman" w:cs="Times New Roman"/>
          <w:sz w:val="24"/>
          <w:szCs w:val="24"/>
        </w:rPr>
        <w:t xml:space="preserve">and </w:t>
      </w:r>
      <w:r w:rsidR="000B2D0B">
        <w:rPr>
          <w:rFonts w:ascii="Times New Roman" w:hAnsi="Times New Roman" w:cs="Times New Roman"/>
          <w:sz w:val="24"/>
          <w:szCs w:val="24"/>
        </w:rPr>
        <w:t xml:space="preserve">having already lodged a claim of $365.682.00 against the applicant </w:t>
      </w:r>
      <w:r w:rsidR="001A2977">
        <w:rPr>
          <w:rFonts w:ascii="Times New Roman" w:hAnsi="Times New Roman" w:cs="Times New Roman"/>
          <w:sz w:val="24"/>
          <w:szCs w:val="24"/>
        </w:rPr>
        <w:t>th</w:t>
      </w:r>
      <w:r w:rsidR="001D40F9">
        <w:rPr>
          <w:rFonts w:ascii="Times New Roman" w:hAnsi="Times New Roman" w:cs="Times New Roman"/>
          <w:sz w:val="24"/>
          <w:szCs w:val="24"/>
        </w:rPr>
        <w:t>r</w:t>
      </w:r>
      <w:r w:rsidR="001A2977">
        <w:rPr>
          <w:rFonts w:ascii="Times New Roman" w:hAnsi="Times New Roman" w:cs="Times New Roman"/>
          <w:sz w:val="24"/>
          <w:szCs w:val="24"/>
        </w:rPr>
        <w:t>ough</w:t>
      </w:r>
      <w:r w:rsidR="000B2D0B">
        <w:rPr>
          <w:rFonts w:ascii="Times New Roman" w:hAnsi="Times New Roman" w:cs="Times New Roman"/>
          <w:sz w:val="24"/>
          <w:szCs w:val="24"/>
        </w:rPr>
        <w:t xml:space="preserve"> the second respondent, the Master of the High Court and which claim had been provisionally accepted at the second meeting of creditors held on 27 February 2013 resolved at a board meeting held </w:t>
      </w:r>
      <w:r w:rsidR="001D40F9">
        <w:rPr>
          <w:rFonts w:ascii="Times New Roman" w:hAnsi="Times New Roman" w:cs="Times New Roman"/>
          <w:sz w:val="24"/>
          <w:szCs w:val="24"/>
        </w:rPr>
        <w:t>on 1 October 2013 that the applicant’s</w:t>
      </w:r>
      <w:r w:rsidR="000B2D0B">
        <w:rPr>
          <w:rFonts w:ascii="Times New Roman" w:hAnsi="Times New Roman" w:cs="Times New Roman"/>
          <w:sz w:val="24"/>
          <w:szCs w:val="24"/>
        </w:rPr>
        <w:t xml:space="preserve"> liqui</w:t>
      </w:r>
      <w:r w:rsidR="001D40F9">
        <w:rPr>
          <w:rFonts w:ascii="Times New Roman" w:hAnsi="Times New Roman" w:cs="Times New Roman"/>
          <w:sz w:val="24"/>
          <w:szCs w:val="24"/>
        </w:rPr>
        <w:t>dator</w:t>
      </w:r>
      <w:r w:rsidR="00B5526C">
        <w:rPr>
          <w:rFonts w:ascii="Times New Roman" w:hAnsi="Times New Roman" w:cs="Times New Roman"/>
          <w:sz w:val="24"/>
          <w:szCs w:val="24"/>
        </w:rPr>
        <w:t xml:space="preserve"> be authorised to pay liquidation proceeds due to the guarantor from the applicant directly to </w:t>
      </w:r>
      <w:r w:rsidR="001A2977">
        <w:rPr>
          <w:rFonts w:ascii="Times New Roman" w:hAnsi="Times New Roman" w:cs="Times New Roman"/>
          <w:sz w:val="24"/>
          <w:szCs w:val="24"/>
        </w:rPr>
        <w:t>the</w:t>
      </w:r>
      <w:r w:rsidR="00B5526C">
        <w:rPr>
          <w:rFonts w:ascii="Times New Roman" w:hAnsi="Times New Roman" w:cs="Times New Roman"/>
          <w:sz w:val="24"/>
          <w:szCs w:val="24"/>
        </w:rPr>
        <w:t xml:space="preserve"> </w:t>
      </w:r>
      <w:r w:rsidR="001D40F9">
        <w:rPr>
          <w:rFonts w:ascii="Times New Roman" w:hAnsi="Times New Roman" w:cs="Times New Roman"/>
          <w:sz w:val="24"/>
          <w:szCs w:val="24"/>
        </w:rPr>
        <w:t xml:space="preserve">first respondent to facilitate the </w:t>
      </w:r>
      <w:r w:rsidR="00B5526C">
        <w:rPr>
          <w:rFonts w:ascii="Times New Roman" w:hAnsi="Times New Roman" w:cs="Times New Roman"/>
          <w:sz w:val="24"/>
          <w:szCs w:val="24"/>
        </w:rPr>
        <w:t xml:space="preserve">release of the attached motor vehicles.  This board resolution was signed on 2 October 2013 and </w:t>
      </w:r>
      <w:r w:rsidR="001D40F9">
        <w:rPr>
          <w:rFonts w:ascii="Times New Roman" w:hAnsi="Times New Roman" w:cs="Times New Roman"/>
          <w:sz w:val="24"/>
          <w:szCs w:val="24"/>
        </w:rPr>
        <w:t xml:space="preserve">was </w:t>
      </w:r>
      <w:r w:rsidR="00B5526C">
        <w:rPr>
          <w:rFonts w:ascii="Times New Roman" w:hAnsi="Times New Roman" w:cs="Times New Roman"/>
          <w:sz w:val="24"/>
          <w:szCs w:val="24"/>
        </w:rPr>
        <w:t>brought to the attention of the applicant’s liquidator.</w:t>
      </w:r>
    </w:p>
    <w:p w:rsidR="00B5526C" w:rsidRDefault="00B5526C" w:rsidP="00AA531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on the basis of this board resolution that the applicant’s liquidator negotiated with the first respondent for the release of the guarantor’s attach</w:t>
      </w:r>
      <w:r w:rsidR="001D40F9">
        <w:rPr>
          <w:rFonts w:ascii="Times New Roman" w:hAnsi="Times New Roman" w:cs="Times New Roman"/>
          <w:sz w:val="24"/>
          <w:szCs w:val="24"/>
        </w:rPr>
        <w:t>ed motor vehicle</w:t>
      </w:r>
      <w:r w:rsidR="0057614C">
        <w:rPr>
          <w:rFonts w:ascii="Times New Roman" w:hAnsi="Times New Roman" w:cs="Times New Roman"/>
          <w:sz w:val="24"/>
          <w:szCs w:val="24"/>
        </w:rPr>
        <w:t>s</w:t>
      </w:r>
      <w:r w:rsidR="001D40F9">
        <w:rPr>
          <w:rFonts w:ascii="Times New Roman" w:hAnsi="Times New Roman" w:cs="Times New Roman"/>
          <w:sz w:val="24"/>
          <w:szCs w:val="24"/>
        </w:rPr>
        <w:t>. The opening of the investment account</w:t>
      </w:r>
      <w:r>
        <w:rPr>
          <w:rFonts w:ascii="Times New Roman" w:hAnsi="Times New Roman" w:cs="Times New Roman"/>
          <w:sz w:val="24"/>
          <w:szCs w:val="24"/>
        </w:rPr>
        <w:t xml:space="preserve"> was then agreed u</w:t>
      </w:r>
      <w:r w:rsidR="001D40F9">
        <w:rPr>
          <w:rFonts w:ascii="Times New Roman" w:hAnsi="Times New Roman" w:cs="Times New Roman"/>
          <w:sz w:val="24"/>
          <w:szCs w:val="24"/>
        </w:rPr>
        <w:t>pon as a condition precedent to</w:t>
      </w:r>
      <w:r>
        <w:rPr>
          <w:rFonts w:ascii="Times New Roman" w:hAnsi="Times New Roman" w:cs="Times New Roman"/>
          <w:sz w:val="24"/>
          <w:szCs w:val="24"/>
        </w:rPr>
        <w:t xml:space="preserve"> the release of the guarantor’s motor vehicles.  The investment account was duly opened in the </w:t>
      </w:r>
      <w:r>
        <w:rPr>
          <w:rFonts w:ascii="Times New Roman" w:hAnsi="Times New Roman" w:cs="Times New Roman"/>
          <w:sz w:val="24"/>
          <w:szCs w:val="24"/>
        </w:rPr>
        <w:lastRenderedPageBreak/>
        <w:t xml:space="preserve">applicant’s name </w:t>
      </w:r>
      <w:r w:rsidR="00EC33B4">
        <w:rPr>
          <w:rFonts w:ascii="Times New Roman" w:hAnsi="Times New Roman" w:cs="Times New Roman"/>
          <w:sz w:val="24"/>
          <w:szCs w:val="24"/>
        </w:rPr>
        <w:t>and the sum of US$312 310.42</w:t>
      </w:r>
      <w:r>
        <w:rPr>
          <w:rFonts w:ascii="Times New Roman" w:hAnsi="Times New Roman" w:cs="Times New Roman"/>
          <w:sz w:val="24"/>
          <w:szCs w:val="24"/>
        </w:rPr>
        <w:t xml:space="preserve"> which was </w:t>
      </w:r>
      <w:r w:rsidR="00EC33B4">
        <w:rPr>
          <w:rFonts w:ascii="Times New Roman" w:hAnsi="Times New Roman" w:cs="Times New Roman"/>
          <w:sz w:val="24"/>
          <w:szCs w:val="24"/>
        </w:rPr>
        <w:t>an amount equivalent to</w:t>
      </w:r>
      <w:r>
        <w:rPr>
          <w:rFonts w:ascii="Times New Roman" w:hAnsi="Times New Roman" w:cs="Times New Roman"/>
          <w:sz w:val="24"/>
          <w:szCs w:val="24"/>
        </w:rPr>
        <w:t xml:space="preserve"> the outstanding debt by the guarantor to the first respondent was deposited into that account</w:t>
      </w:r>
      <w:r w:rsidR="00BA2DAD">
        <w:rPr>
          <w:rFonts w:ascii="Times New Roman" w:hAnsi="Times New Roman" w:cs="Times New Roman"/>
          <w:sz w:val="24"/>
          <w:szCs w:val="24"/>
        </w:rPr>
        <w:t>.</w:t>
      </w:r>
    </w:p>
    <w:p w:rsidR="00BA2DAD" w:rsidRDefault="00BA2DAD" w:rsidP="00AA531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the applicant’s liquidator entered into these negotiations for the release of the guarantor’s motor vehicles he was hoping that he was going to pay the guarantor’s outstanding debt using the liquidation proceeds due to the guarantor.  Upon such payment of the debt the first respondent was going to release the funds of the applicant from the investment account.</w:t>
      </w:r>
    </w:p>
    <w:p w:rsidR="00BA2DAD" w:rsidRDefault="00BA2DAD" w:rsidP="00AA531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Unfortunately on 18 September 2013 the guarantor’s claim of $365 682.00 as a creditor </w:t>
      </w:r>
      <w:r w:rsidR="00AB009F">
        <w:rPr>
          <w:rFonts w:ascii="Times New Roman" w:hAnsi="Times New Roman" w:cs="Times New Roman"/>
          <w:sz w:val="24"/>
          <w:szCs w:val="24"/>
        </w:rPr>
        <w:t>against</w:t>
      </w:r>
      <w:r>
        <w:rPr>
          <w:rFonts w:ascii="Times New Roman" w:hAnsi="Times New Roman" w:cs="Times New Roman"/>
          <w:sz w:val="24"/>
          <w:szCs w:val="24"/>
        </w:rPr>
        <w:t xml:space="preserve"> the applicant was challenged by 2 former employees and creditors of the applicant on the basis that the guarantor as the holding company of the </w:t>
      </w:r>
      <w:r w:rsidR="0079729D">
        <w:rPr>
          <w:rFonts w:ascii="Times New Roman" w:hAnsi="Times New Roman" w:cs="Times New Roman"/>
          <w:sz w:val="24"/>
          <w:szCs w:val="24"/>
        </w:rPr>
        <w:t>a</w:t>
      </w:r>
      <w:r w:rsidR="00DE3719">
        <w:rPr>
          <w:rFonts w:ascii="Times New Roman" w:hAnsi="Times New Roman" w:cs="Times New Roman"/>
          <w:sz w:val="24"/>
          <w:szCs w:val="24"/>
        </w:rPr>
        <w:t>pplicant had not declared all assets of the applicant.  The objection was upheld by the second respondent</w:t>
      </w:r>
      <w:r w:rsidR="001D40F9">
        <w:rPr>
          <w:rFonts w:ascii="Times New Roman" w:hAnsi="Times New Roman" w:cs="Times New Roman"/>
          <w:sz w:val="24"/>
          <w:szCs w:val="24"/>
        </w:rPr>
        <w:t xml:space="preserve"> who is</w:t>
      </w:r>
      <w:r w:rsidR="00DE3719">
        <w:rPr>
          <w:rFonts w:ascii="Times New Roman" w:hAnsi="Times New Roman" w:cs="Times New Roman"/>
          <w:sz w:val="24"/>
          <w:szCs w:val="24"/>
        </w:rPr>
        <w:t xml:space="preserve"> the Master of the High Court.  No appeal was made against it.  As a result the guarantor was removed from the applicant’s list of creditors.  Pursuant to that</w:t>
      </w:r>
      <w:r w:rsidR="00A97BBC">
        <w:rPr>
          <w:rFonts w:ascii="Times New Roman" w:hAnsi="Times New Roman" w:cs="Times New Roman"/>
          <w:sz w:val="24"/>
          <w:szCs w:val="24"/>
        </w:rPr>
        <w:t xml:space="preserve"> the first respondent’s debt could</w:t>
      </w:r>
      <w:r w:rsidR="00DE3719">
        <w:rPr>
          <w:rFonts w:ascii="Times New Roman" w:hAnsi="Times New Roman" w:cs="Times New Roman"/>
          <w:sz w:val="24"/>
          <w:szCs w:val="24"/>
        </w:rPr>
        <w:t xml:space="preserve"> no longer be paid by the applicant’s liquidator.</w:t>
      </w:r>
    </w:p>
    <w:p w:rsidR="00F25025" w:rsidRDefault="00F25025" w:rsidP="00AA531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Following the dismissal of the guarantor’s claim against the applicant by the second respondent</w:t>
      </w:r>
      <w:r w:rsidR="00A97BBC">
        <w:rPr>
          <w:rFonts w:ascii="Times New Roman" w:hAnsi="Times New Roman" w:cs="Times New Roman"/>
          <w:sz w:val="24"/>
          <w:szCs w:val="24"/>
        </w:rPr>
        <w:t>,</w:t>
      </w:r>
      <w:r>
        <w:rPr>
          <w:rFonts w:ascii="Times New Roman" w:hAnsi="Times New Roman" w:cs="Times New Roman"/>
          <w:sz w:val="24"/>
          <w:szCs w:val="24"/>
        </w:rPr>
        <w:t xml:space="preserve"> the applicant’s liquidator wrote to the first respondent on 30 September 2014 asking it to release the invested funds.  The first respondent refused to release the funds.  This is what has led the applicant to approach this court.  The applicant is seeking an order against the first r</w:t>
      </w:r>
      <w:r w:rsidR="00A97BBC">
        <w:rPr>
          <w:rFonts w:ascii="Times New Roman" w:hAnsi="Times New Roman" w:cs="Times New Roman"/>
          <w:sz w:val="24"/>
          <w:szCs w:val="24"/>
        </w:rPr>
        <w:t>espondent for the release of the</w:t>
      </w:r>
      <w:r>
        <w:rPr>
          <w:rFonts w:ascii="Times New Roman" w:hAnsi="Times New Roman" w:cs="Times New Roman"/>
          <w:sz w:val="24"/>
          <w:szCs w:val="24"/>
        </w:rPr>
        <w:t>se funds.</w:t>
      </w:r>
    </w:p>
    <w:p w:rsidR="009D63A7" w:rsidRDefault="009D63A7" w:rsidP="00AA5314">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the applicant’s contention that the first respondent has no right to withhold the funds because </w:t>
      </w:r>
    </w:p>
    <w:p w:rsidR="009D63A7" w:rsidRDefault="002D134E" w:rsidP="009D63A7">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9D63A7">
        <w:rPr>
          <w:rFonts w:ascii="Times New Roman" w:hAnsi="Times New Roman" w:cs="Times New Roman"/>
          <w:sz w:val="24"/>
          <w:szCs w:val="24"/>
        </w:rPr>
        <w:t>hey belong to the applicant</w:t>
      </w:r>
    </w:p>
    <w:p w:rsidR="009D63A7" w:rsidRDefault="002D134E" w:rsidP="009D63A7">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A97BBC">
        <w:rPr>
          <w:rFonts w:ascii="Times New Roman" w:hAnsi="Times New Roman" w:cs="Times New Roman"/>
          <w:sz w:val="24"/>
          <w:szCs w:val="24"/>
        </w:rPr>
        <w:t>he amended final and distribution a</w:t>
      </w:r>
      <w:r w:rsidR="009D63A7">
        <w:rPr>
          <w:rFonts w:ascii="Times New Roman" w:hAnsi="Times New Roman" w:cs="Times New Roman"/>
          <w:sz w:val="24"/>
          <w:szCs w:val="24"/>
        </w:rPr>
        <w:t xml:space="preserve">ccount for the applicant’s creditors was finalised by the second respondent and the creditors </w:t>
      </w:r>
      <w:r w:rsidR="003C64B7">
        <w:rPr>
          <w:rFonts w:ascii="Times New Roman" w:hAnsi="Times New Roman" w:cs="Times New Roman"/>
          <w:sz w:val="24"/>
          <w:szCs w:val="24"/>
        </w:rPr>
        <w:t>are due to receive their share of proceeds in liquidation in terms of s 283 of the Companies Act [</w:t>
      </w:r>
      <w:r w:rsidR="003C64B7" w:rsidRPr="00EC33B4">
        <w:rPr>
          <w:rFonts w:ascii="Times New Roman" w:hAnsi="Times New Roman" w:cs="Times New Roman"/>
          <w:i/>
          <w:sz w:val="24"/>
          <w:szCs w:val="24"/>
        </w:rPr>
        <w:t>Chapter 24:03</w:t>
      </w:r>
      <w:r w:rsidR="003C64B7">
        <w:rPr>
          <w:rFonts w:ascii="Times New Roman" w:hAnsi="Times New Roman" w:cs="Times New Roman"/>
          <w:sz w:val="24"/>
          <w:szCs w:val="24"/>
        </w:rPr>
        <w:t>].  The applicant’s money that was invested by the liquidator is legally due to be distributed to the applicant’s creditors.</w:t>
      </w:r>
    </w:p>
    <w:p w:rsidR="003C64B7" w:rsidRDefault="002D134E" w:rsidP="009D63A7">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2C0CC4">
        <w:rPr>
          <w:rFonts w:ascii="Times New Roman" w:hAnsi="Times New Roman" w:cs="Times New Roman"/>
          <w:sz w:val="24"/>
          <w:szCs w:val="24"/>
        </w:rPr>
        <w:t>he refusal by the first respondent to release the funds is prejudicing the applicant’s creditors</w:t>
      </w:r>
    </w:p>
    <w:p w:rsidR="002C0CC4" w:rsidRDefault="002D134E" w:rsidP="009D63A7">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2C0CC4">
        <w:rPr>
          <w:rFonts w:ascii="Times New Roman" w:hAnsi="Times New Roman" w:cs="Times New Roman"/>
          <w:sz w:val="24"/>
          <w:szCs w:val="24"/>
        </w:rPr>
        <w:t>he first respondent has no legal basis or right to refuse with the money.</w:t>
      </w:r>
    </w:p>
    <w:p w:rsidR="002C0CC4" w:rsidRDefault="002C0CC4" w:rsidP="002C0CC4">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first respondent is oppo</w:t>
      </w:r>
      <w:r w:rsidR="00A97BBC">
        <w:rPr>
          <w:rFonts w:ascii="Times New Roman" w:hAnsi="Times New Roman" w:cs="Times New Roman"/>
          <w:sz w:val="24"/>
          <w:szCs w:val="24"/>
        </w:rPr>
        <w:t>sed to the applicant’s claim citing</w:t>
      </w:r>
      <w:r>
        <w:rPr>
          <w:rFonts w:ascii="Times New Roman" w:hAnsi="Times New Roman" w:cs="Times New Roman"/>
          <w:sz w:val="24"/>
          <w:szCs w:val="24"/>
        </w:rPr>
        <w:t xml:space="preserve"> the following reasons.</w:t>
      </w:r>
    </w:p>
    <w:p w:rsidR="001868F6" w:rsidRDefault="001868F6" w:rsidP="001868F6">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investment was made as a form of security pending settlement of the debt that was still outstanding from the guarantor.  Settlement of the debt was to be made </w:t>
      </w:r>
      <w:r>
        <w:rPr>
          <w:rFonts w:ascii="Times New Roman" w:hAnsi="Times New Roman" w:cs="Times New Roman"/>
          <w:sz w:val="24"/>
          <w:szCs w:val="24"/>
        </w:rPr>
        <w:lastRenderedPageBreak/>
        <w:t>either from that investment or from other sources.</w:t>
      </w:r>
      <w:r w:rsidR="00483E88">
        <w:rPr>
          <w:rFonts w:ascii="Times New Roman" w:hAnsi="Times New Roman" w:cs="Times New Roman"/>
          <w:sz w:val="24"/>
          <w:szCs w:val="24"/>
        </w:rPr>
        <w:t xml:space="preserve"> The debt has not been settled and therefore the investment cannot be redeemed.</w:t>
      </w:r>
    </w:p>
    <w:p w:rsidR="00E81803" w:rsidRDefault="00483E88" w:rsidP="001868F6">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 entering into the agreement which led to the opening of the investment account the applicant’s liquidator had misrepresented to the first respondent that the liquidation and distribution account’s inspection period had</w:t>
      </w:r>
      <w:r w:rsidR="00E81803">
        <w:rPr>
          <w:rFonts w:ascii="Times New Roman" w:hAnsi="Times New Roman" w:cs="Times New Roman"/>
          <w:sz w:val="24"/>
          <w:szCs w:val="24"/>
        </w:rPr>
        <w:t xml:space="preserve"> expired and that there were no challenges thereto.  In support of this contention the first respondent attached Annexure 1 to its opposing affidavit.  Annexure 1 is an e-mail that the applicant’s liquidator wrote to the first respondent on 30 September 2013 saying that the First Interim Liquidation and Distribution Account period of inspection had been completed on 5 September 2013 and that the second respondent was attending to the confirmation of the said liquidation account. He indicated that he anticipated that the process would take four weeks.  He made an undertaking to pay the guarantor’s outstanding amount of US$ 32 310.42 upon confirmation of the liquidation and distribution account.</w:t>
      </w:r>
    </w:p>
    <w:p w:rsidR="00483E88" w:rsidRDefault="00E81803" w:rsidP="001868F6">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As a result of the said misrepresentation by the applicant’s liquidator it suspended execution against the guarantor and released the guarantor’s motor vehicles i</w:t>
      </w:r>
      <w:r w:rsidR="00A7702B">
        <w:rPr>
          <w:rFonts w:ascii="Times New Roman" w:hAnsi="Times New Roman" w:cs="Times New Roman"/>
          <w:sz w:val="24"/>
          <w:szCs w:val="24"/>
        </w:rPr>
        <w:t>t</w:t>
      </w:r>
      <w:r>
        <w:rPr>
          <w:rFonts w:ascii="Times New Roman" w:hAnsi="Times New Roman" w:cs="Times New Roman"/>
          <w:sz w:val="24"/>
          <w:szCs w:val="24"/>
        </w:rPr>
        <w:t xml:space="preserve"> had attached</w:t>
      </w:r>
      <w:r w:rsidR="00810BA5">
        <w:rPr>
          <w:rFonts w:ascii="Times New Roman" w:hAnsi="Times New Roman" w:cs="Times New Roman"/>
          <w:sz w:val="24"/>
          <w:szCs w:val="24"/>
        </w:rPr>
        <w:t xml:space="preserve">.  This was to its prejudice because the guarantor has since been placed under judicial management now.  The first respondent laments that it could have recovered its </w:t>
      </w:r>
      <w:r w:rsidR="006D3EE9">
        <w:rPr>
          <w:rFonts w:ascii="Times New Roman" w:hAnsi="Times New Roman" w:cs="Times New Roman"/>
          <w:sz w:val="24"/>
          <w:szCs w:val="24"/>
        </w:rPr>
        <w:t>money</w:t>
      </w:r>
      <w:r w:rsidR="00810BA5">
        <w:rPr>
          <w:rFonts w:ascii="Times New Roman" w:hAnsi="Times New Roman" w:cs="Times New Roman"/>
          <w:sz w:val="24"/>
          <w:szCs w:val="24"/>
        </w:rPr>
        <w:t xml:space="preserve"> from the sale of the motor vehicle</w:t>
      </w:r>
      <w:r w:rsidR="00A97BBC">
        <w:rPr>
          <w:rFonts w:ascii="Times New Roman" w:hAnsi="Times New Roman" w:cs="Times New Roman"/>
          <w:sz w:val="24"/>
          <w:szCs w:val="24"/>
        </w:rPr>
        <w:t>s</w:t>
      </w:r>
      <w:r w:rsidR="00810BA5">
        <w:rPr>
          <w:rFonts w:ascii="Times New Roman" w:hAnsi="Times New Roman" w:cs="Times New Roman"/>
          <w:sz w:val="24"/>
          <w:szCs w:val="24"/>
        </w:rPr>
        <w:t xml:space="preserve"> it released back to the guarantor</w:t>
      </w:r>
      <w:r w:rsidR="006D3EE9">
        <w:rPr>
          <w:rFonts w:ascii="Times New Roman" w:hAnsi="Times New Roman" w:cs="Times New Roman"/>
          <w:sz w:val="24"/>
          <w:szCs w:val="24"/>
        </w:rPr>
        <w:t>.</w:t>
      </w:r>
    </w:p>
    <w:p w:rsidR="006D3EE9" w:rsidRDefault="006D3EE9" w:rsidP="001868F6">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Because of the misrepresentation </w:t>
      </w:r>
      <w:r w:rsidR="00B23420">
        <w:rPr>
          <w:rFonts w:ascii="Times New Roman" w:hAnsi="Times New Roman" w:cs="Times New Roman"/>
          <w:sz w:val="24"/>
          <w:szCs w:val="24"/>
        </w:rPr>
        <w:t xml:space="preserve">made </w:t>
      </w:r>
      <w:r>
        <w:rPr>
          <w:rFonts w:ascii="Times New Roman" w:hAnsi="Times New Roman" w:cs="Times New Roman"/>
          <w:sz w:val="24"/>
          <w:szCs w:val="24"/>
        </w:rPr>
        <w:t>by the app</w:t>
      </w:r>
      <w:r w:rsidR="00A97BBC">
        <w:rPr>
          <w:rFonts w:ascii="Times New Roman" w:hAnsi="Times New Roman" w:cs="Times New Roman"/>
          <w:sz w:val="24"/>
          <w:szCs w:val="24"/>
        </w:rPr>
        <w:t>licant’s liquidator that the insp</w:t>
      </w:r>
      <w:r>
        <w:rPr>
          <w:rFonts w:ascii="Times New Roman" w:hAnsi="Times New Roman" w:cs="Times New Roman"/>
          <w:sz w:val="24"/>
          <w:szCs w:val="24"/>
        </w:rPr>
        <w:t>ection</w:t>
      </w:r>
      <w:r w:rsidR="00A847D6">
        <w:rPr>
          <w:rFonts w:ascii="Times New Roman" w:hAnsi="Times New Roman" w:cs="Times New Roman"/>
          <w:sz w:val="24"/>
          <w:szCs w:val="24"/>
        </w:rPr>
        <w:t xml:space="preserve"> period had </w:t>
      </w:r>
      <w:r w:rsidR="00B23420">
        <w:rPr>
          <w:rFonts w:ascii="Times New Roman" w:hAnsi="Times New Roman" w:cs="Times New Roman"/>
          <w:sz w:val="24"/>
          <w:szCs w:val="24"/>
        </w:rPr>
        <w:t>expired</w:t>
      </w:r>
      <w:r w:rsidR="00A847D6">
        <w:rPr>
          <w:rFonts w:ascii="Times New Roman" w:hAnsi="Times New Roman" w:cs="Times New Roman"/>
          <w:sz w:val="24"/>
          <w:szCs w:val="24"/>
        </w:rPr>
        <w:t xml:space="preserve"> and that there were no objections to the liquidation and distribution account resulting in the release of the motor vehicles, the applicant is estopped from claiming the release of the funds.</w:t>
      </w:r>
    </w:p>
    <w:p w:rsidR="00A847D6" w:rsidRDefault="00A847D6" w:rsidP="00533756">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the first respondent filed its notice of opposition and opposing affidavit the applicant filed an answering affidavit.  It started by raising a preliminary point that the deponent to the first respondent’s opposing affidavit Gregory Mapfuma Mapfumira who is employed as the first respondent’s Head of Credit Control </w:t>
      </w:r>
      <w:r w:rsidR="00A97BBC">
        <w:rPr>
          <w:rFonts w:ascii="Times New Roman" w:hAnsi="Times New Roman" w:cs="Times New Roman"/>
          <w:sz w:val="24"/>
          <w:szCs w:val="24"/>
        </w:rPr>
        <w:t>had no</w:t>
      </w:r>
      <w:r>
        <w:rPr>
          <w:rFonts w:ascii="Times New Roman" w:hAnsi="Times New Roman" w:cs="Times New Roman"/>
          <w:sz w:val="24"/>
          <w:szCs w:val="24"/>
        </w:rPr>
        <w:t xml:space="preserve"> authority to depose to that affidavit.  It argued that there is neither a resolution by the first respondent n</w:t>
      </w:r>
      <w:r w:rsidR="00A97BBC">
        <w:rPr>
          <w:rFonts w:ascii="Times New Roman" w:hAnsi="Times New Roman" w:cs="Times New Roman"/>
          <w:sz w:val="24"/>
          <w:szCs w:val="24"/>
        </w:rPr>
        <w:t>or any explanation which justifies</w:t>
      </w:r>
      <w:r>
        <w:rPr>
          <w:rFonts w:ascii="Times New Roman" w:hAnsi="Times New Roman" w:cs="Times New Roman"/>
          <w:sz w:val="24"/>
          <w:szCs w:val="24"/>
        </w:rPr>
        <w:t xml:space="preserve"> his authority to depose </w:t>
      </w:r>
      <w:r w:rsidR="00A97BBC">
        <w:rPr>
          <w:rFonts w:ascii="Times New Roman" w:hAnsi="Times New Roman" w:cs="Times New Roman"/>
          <w:sz w:val="24"/>
          <w:szCs w:val="24"/>
        </w:rPr>
        <w:t xml:space="preserve">to </w:t>
      </w:r>
      <w:r>
        <w:rPr>
          <w:rFonts w:ascii="Times New Roman" w:hAnsi="Times New Roman" w:cs="Times New Roman"/>
          <w:sz w:val="24"/>
          <w:szCs w:val="24"/>
        </w:rPr>
        <w:t xml:space="preserve">the affidavit on behalf of the first respondent.  It was submitted that on that basis alone the opposing affidavit was fatally defective warranting the matter to be treated as </w:t>
      </w:r>
      <w:r w:rsidR="00B23420">
        <w:rPr>
          <w:rFonts w:ascii="Times New Roman" w:hAnsi="Times New Roman" w:cs="Times New Roman"/>
          <w:sz w:val="24"/>
          <w:szCs w:val="24"/>
        </w:rPr>
        <w:t xml:space="preserve">an </w:t>
      </w:r>
      <w:r>
        <w:rPr>
          <w:rFonts w:ascii="Times New Roman" w:hAnsi="Times New Roman" w:cs="Times New Roman"/>
          <w:sz w:val="24"/>
          <w:szCs w:val="24"/>
        </w:rPr>
        <w:t>unopposed matter.</w:t>
      </w:r>
    </w:p>
    <w:p w:rsidR="00A63A3E" w:rsidRDefault="00A63A3E" w:rsidP="00533756">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will dismiss this point </w:t>
      </w:r>
      <w:r w:rsidRPr="00A63A3E">
        <w:rPr>
          <w:rFonts w:ascii="Times New Roman" w:hAnsi="Times New Roman" w:cs="Times New Roman"/>
          <w:i/>
          <w:sz w:val="24"/>
          <w:szCs w:val="24"/>
        </w:rPr>
        <w:t>in limine</w:t>
      </w:r>
      <w:r>
        <w:rPr>
          <w:rFonts w:ascii="Times New Roman" w:hAnsi="Times New Roman" w:cs="Times New Roman"/>
          <w:sz w:val="24"/>
          <w:szCs w:val="24"/>
        </w:rPr>
        <w:t xml:space="preserve"> for the following reasons.  While it might have been prud</w:t>
      </w:r>
      <w:r w:rsidR="00A97BBC">
        <w:rPr>
          <w:rFonts w:ascii="Times New Roman" w:hAnsi="Times New Roman" w:cs="Times New Roman"/>
          <w:sz w:val="24"/>
          <w:szCs w:val="24"/>
        </w:rPr>
        <w:t xml:space="preserve">ent and wiser for the </w:t>
      </w:r>
      <w:r>
        <w:rPr>
          <w:rFonts w:ascii="Times New Roman" w:hAnsi="Times New Roman" w:cs="Times New Roman"/>
          <w:sz w:val="24"/>
          <w:szCs w:val="24"/>
        </w:rPr>
        <w:t>deponent to the opposing affidavit to attach proof of authority by the first respondent to</w:t>
      </w:r>
      <w:r w:rsidR="0057030F">
        <w:rPr>
          <w:rFonts w:ascii="Times New Roman" w:hAnsi="Times New Roman" w:cs="Times New Roman"/>
          <w:sz w:val="24"/>
          <w:szCs w:val="24"/>
        </w:rPr>
        <w:t xml:space="preserve"> depose to the affidavit, the omission thereof is not fatally defective to the extent of</w:t>
      </w:r>
      <w:r w:rsidR="00962660">
        <w:rPr>
          <w:rFonts w:ascii="Times New Roman" w:hAnsi="Times New Roman" w:cs="Times New Roman"/>
          <w:sz w:val="24"/>
          <w:szCs w:val="24"/>
        </w:rPr>
        <w:t xml:space="preserve"> having this matter treated as an unopposed application.  As has been held in a plethora of cases the need for a deponent to attach pro</w:t>
      </w:r>
      <w:r w:rsidR="00A97BBC">
        <w:rPr>
          <w:rFonts w:ascii="Times New Roman" w:hAnsi="Times New Roman" w:cs="Times New Roman"/>
          <w:sz w:val="24"/>
          <w:szCs w:val="24"/>
        </w:rPr>
        <w:t>of of authority</w:t>
      </w:r>
      <w:r w:rsidR="00962660">
        <w:rPr>
          <w:rFonts w:ascii="Times New Roman" w:hAnsi="Times New Roman" w:cs="Times New Roman"/>
          <w:sz w:val="24"/>
          <w:szCs w:val="24"/>
        </w:rPr>
        <w:t xml:space="preserve"> that he has been authorised to represent the company is largely necessitated by the need to protect the other party from being prejudiced as a result of litigation.  Prejudice may arise in situations where</w:t>
      </w:r>
      <w:r w:rsidR="002262A2">
        <w:rPr>
          <w:rFonts w:ascii="Times New Roman" w:hAnsi="Times New Roman" w:cs="Times New Roman"/>
          <w:sz w:val="24"/>
          <w:szCs w:val="24"/>
        </w:rPr>
        <w:t xml:space="preserve"> the company being represented by </w:t>
      </w:r>
      <w:r w:rsidR="00C35A49">
        <w:rPr>
          <w:rFonts w:ascii="Times New Roman" w:hAnsi="Times New Roman" w:cs="Times New Roman"/>
          <w:sz w:val="24"/>
          <w:szCs w:val="24"/>
        </w:rPr>
        <w:t>a</w:t>
      </w:r>
      <w:r w:rsidR="002262A2">
        <w:rPr>
          <w:rFonts w:ascii="Times New Roman" w:hAnsi="Times New Roman" w:cs="Times New Roman"/>
          <w:sz w:val="24"/>
          <w:szCs w:val="24"/>
        </w:rPr>
        <w:t xml:space="preserve"> deponent turns around and says it never authorised the deponent to act on its behalf and as such it was never a party to the proceedings.  In </w:t>
      </w:r>
      <w:r w:rsidR="002262A2" w:rsidRPr="00255CFD">
        <w:rPr>
          <w:rFonts w:ascii="Times New Roman" w:hAnsi="Times New Roman" w:cs="Times New Roman"/>
          <w:i/>
          <w:sz w:val="24"/>
          <w:szCs w:val="24"/>
        </w:rPr>
        <w:t>Total</w:t>
      </w:r>
      <w:r w:rsidR="002262A2">
        <w:rPr>
          <w:rFonts w:ascii="Times New Roman" w:hAnsi="Times New Roman" w:cs="Times New Roman"/>
          <w:sz w:val="24"/>
          <w:szCs w:val="24"/>
        </w:rPr>
        <w:t xml:space="preserve"> </w:t>
      </w:r>
      <w:r w:rsidR="002262A2" w:rsidRPr="00255CFD">
        <w:rPr>
          <w:rFonts w:ascii="Times New Roman" w:hAnsi="Times New Roman" w:cs="Times New Roman"/>
          <w:i/>
          <w:sz w:val="24"/>
          <w:szCs w:val="24"/>
        </w:rPr>
        <w:t>Zimbabwe (Pvt) Ltd</w:t>
      </w:r>
      <w:r w:rsidR="002262A2">
        <w:rPr>
          <w:rFonts w:ascii="Times New Roman" w:hAnsi="Times New Roman" w:cs="Times New Roman"/>
          <w:sz w:val="24"/>
          <w:szCs w:val="24"/>
        </w:rPr>
        <w:t xml:space="preserve"> v </w:t>
      </w:r>
      <w:r w:rsidR="002262A2" w:rsidRPr="00255CFD">
        <w:rPr>
          <w:rFonts w:ascii="Times New Roman" w:hAnsi="Times New Roman" w:cs="Times New Roman"/>
          <w:i/>
          <w:sz w:val="24"/>
          <w:szCs w:val="24"/>
        </w:rPr>
        <w:t xml:space="preserve">The Power Coach Express (Pvt) Ltd </w:t>
      </w:r>
      <w:r w:rsidR="002262A2">
        <w:rPr>
          <w:rFonts w:ascii="Times New Roman" w:hAnsi="Times New Roman" w:cs="Times New Roman"/>
          <w:sz w:val="24"/>
          <w:szCs w:val="24"/>
        </w:rPr>
        <w:t xml:space="preserve">2010 (2) ZLR (7) </w:t>
      </w:r>
      <w:r w:rsidR="00A97BBC">
        <w:rPr>
          <w:rFonts w:ascii="Times New Roman" w:hAnsi="Times New Roman" w:cs="Times New Roman"/>
          <w:sz w:val="24"/>
          <w:szCs w:val="24"/>
        </w:rPr>
        <w:t>GOWORA</w:t>
      </w:r>
      <w:r w:rsidR="002262A2">
        <w:rPr>
          <w:rFonts w:ascii="Times New Roman" w:hAnsi="Times New Roman" w:cs="Times New Roman"/>
          <w:sz w:val="24"/>
          <w:szCs w:val="24"/>
        </w:rPr>
        <w:t xml:space="preserve"> J said that if such a scenario was to happen the other party would find itself unable to recover its costs or give effect to the judgement if it has succeeded.  </w:t>
      </w:r>
      <w:r w:rsidR="00A97BBC">
        <w:rPr>
          <w:rFonts w:ascii="Times New Roman" w:hAnsi="Times New Roman" w:cs="Times New Roman"/>
          <w:sz w:val="24"/>
          <w:szCs w:val="24"/>
        </w:rPr>
        <w:t>GOWORA</w:t>
      </w:r>
      <w:r w:rsidR="002262A2">
        <w:rPr>
          <w:rFonts w:ascii="Times New Roman" w:hAnsi="Times New Roman" w:cs="Times New Roman"/>
          <w:sz w:val="24"/>
          <w:szCs w:val="24"/>
        </w:rPr>
        <w:t xml:space="preserve"> J went on to say;</w:t>
      </w:r>
    </w:p>
    <w:p w:rsidR="00121DD3" w:rsidRDefault="002262A2" w:rsidP="00121DD3">
      <w:pPr>
        <w:spacing w:after="0" w:line="240" w:lineRule="auto"/>
        <w:ind w:left="720"/>
        <w:jc w:val="both"/>
        <w:rPr>
          <w:rFonts w:ascii="Times New Roman" w:hAnsi="Times New Roman" w:cs="Times New Roman"/>
        </w:rPr>
      </w:pPr>
      <w:r w:rsidRPr="00263E6E">
        <w:rPr>
          <w:rFonts w:ascii="Times New Roman" w:hAnsi="Times New Roman" w:cs="Times New Roman"/>
        </w:rPr>
        <w:t xml:space="preserve">“My reading of the authorities doesn’t therefore lead to me conclude that in every case where a company litigates, it is necessary to produce a resolution to prove such.  Where a minimum of evidence has been adduced, as is the case here, establishing that </w:t>
      </w:r>
      <w:r w:rsidR="00A97BBC">
        <w:rPr>
          <w:rFonts w:ascii="Times New Roman" w:hAnsi="Times New Roman" w:cs="Times New Roman"/>
        </w:rPr>
        <w:t>the company has set litigation i</w:t>
      </w:r>
      <w:r w:rsidRPr="00263E6E">
        <w:rPr>
          <w:rFonts w:ascii="Times New Roman" w:hAnsi="Times New Roman" w:cs="Times New Roman"/>
        </w:rPr>
        <w:t xml:space="preserve">n process, in the </w:t>
      </w:r>
      <w:r w:rsidR="00A97BBC">
        <w:rPr>
          <w:rFonts w:ascii="Times New Roman" w:hAnsi="Times New Roman" w:cs="Times New Roman"/>
        </w:rPr>
        <w:t xml:space="preserve">absence of some evidence from the </w:t>
      </w:r>
      <w:r w:rsidRPr="00263E6E">
        <w:rPr>
          <w:rFonts w:ascii="Times New Roman" w:hAnsi="Times New Roman" w:cs="Times New Roman"/>
        </w:rPr>
        <w:t>respondent pointing to a lack of authority for the litigation</w:t>
      </w:r>
      <w:r w:rsidR="00121DD3">
        <w:rPr>
          <w:rFonts w:ascii="Times New Roman" w:hAnsi="Times New Roman" w:cs="Times New Roman"/>
        </w:rPr>
        <w:t xml:space="preserve"> </w:t>
      </w:r>
      <w:r w:rsidR="00121DD3" w:rsidRPr="00F76088">
        <w:rPr>
          <w:rFonts w:ascii="Times New Roman" w:hAnsi="Times New Roman" w:cs="Times New Roman"/>
        </w:rPr>
        <w:t>then in those circumstances, the court should not r</w:t>
      </w:r>
      <w:r w:rsidR="00A97BBC">
        <w:rPr>
          <w:rFonts w:ascii="Times New Roman" w:hAnsi="Times New Roman" w:cs="Times New Roman"/>
        </w:rPr>
        <w:t>equire the production of a resolu</w:t>
      </w:r>
      <w:r w:rsidR="00121DD3" w:rsidRPr="00F76088">
        <w:rPr>
          <w:rFonts w:ascii="Times New Roman" w:hAnsi="Times New Roman" w:cs="Times New Roman"/>
        </w:rPr>
        <w:t>tion</w:t>
      </w:r>
      <w:r w:rsidR="00121DD3">
        <w:rPr>
          <w:rFonts w:ascii="Times New Roman" w:hAnsi="Times New Roman" w:cs="Times New Roman"/>
        </w:rPr>
        <w:t>”.</w:t>
      </w:r>
    </w:p>
    <w:p w:rsidR="00121DD3" w:rsidRDefault="00121DD3" w:rsidP="00121DD3">
      <w:pPr>
        <w:spacing w:after="0" w:line="360" w:lineRule="auto"/>
        <w:ind w:left="720"/>
        <w:jc w:val="both"/>
        <w:rPr>
          <w:rFonts w:ascii="Times New Roman" w:hAnsi="Times New Roman" w:cs="Times New Roman"/>
        </w:rPr>
      </w:pPr>
    </w:p>
    <w:p w:rsidR="00121DD3" w:rsidRDefault="00121DD3" w:rsidP="00121D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casu</w:t>
      </w:r>
      <w:r w:rsidR="00C35A49">
        <w:rPr>
          <w:rFonts w:ascii="Times New Roman" w:hAnsi="Times New Roman" w:cs="Times New Roman"/>
          <w:sz w:val="24"/>
          <w:szCs w:val="24"/>
        </w:rPr>
        <w:t xml:space="preserve"> Gregory Mapfuma Mapfumir</w:t>
      </w:r>
      <w:r>
        <w:rPr>
          <w:rFonts w:ascii="Times New Roman" w:hAnsi="Times New Roman" w:cs="Times New Roman"/>
          <w:sz w:val="24"/>
          <w:szCs w:val="24"/>
        </w:rPr>
        <w:t>a is employed by the first respondent as Head of Credit Control. He indicated in the affidavit that as such he is authorised to depose to the affidavit for and on behalf of the first respondent. He further said that the facts contained therein are within his personal knowledge. The e-mail corres</w:t>
      </w:r>
      <w:r w:rsidR="00B239B6">
        <w:rPr>
          <w:rFonts w:ascii="Times New Roman" w:hAnsi="Times New Roman" w:cs="Times New Roman"/>
          <w:sz w:val="24"/>
          <w:szCs w:val="24"/>
        </w:rPr>
        <w:t>pondence which happened between</w:t>
      </w:r>
      <w:r>
        <w:rPr>
          <w:rFonts w:ascii="Times New Roman" w:hAnsi="Times New Roman" w:cs="Times New Roman"/>
          <w:sz w:val="24"/>
          <w:szCs w:val="24"/>
        </w:rPr>
        <w:t xml:space="preserve"> the applicant’s liquidator and Tsitsi Majoko and Majaya Katoma representatives of the first respondent was all copied to Gregory Mapfuma Mupfumira. This is apparent from Annexure 1 which is attached to the first respondent’s opposing affidavit. On 8 October 2013 Gregory Mapfuma Mupfumira personally wrote an e-mail to the applicant’s liquidator, reiterating the first respondent’s position in respect of the condition upon which the guarantor’s motor vehicles would be released.</w:t>
      </w:r>
    </w:p>
    <w:p w:rsidR="00121DD3" w:rsidRDefault="00121DD3" w:rsidP="00121D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r 227(4)</w:t>
      </w:r>
      <w:r w:rsidR="0007189D">
        <w:rPr>
          <w:rFonts w:ascii="Times New Roman" w:hAnsi="Times New Roman" w:cs="Times New Roman"/>
          <w:sz w:val="24"/>
          <w:szCs w:val="24"/>
        </w:rPr>
        <w:t xml:space="preserve"> </w:t>
      </w:r>
      <w:r>
        <w:rPr>
          <w:rFonts w:ascii="Times New Roman" w:hAnsi="Times New Roman" w:cs="Times New Roman"/>
          <w:sz w:val="24"/>
          <w:szCs w:val="24"/>
        </w:rPr>
        <w:t xml:space="preserve">(a) of the rules of </w:t>
      </w:r>
      <w:r w:rsidR="00B239B6">
        <w:rPr>
          <w:rFonts w:ascii="Times New Roman" w:hAnsi="Times New Roman" w:cs="Times New Roman"/>
          <w:sz w:val="24"/>
          <w:szCs w:val="24"/>
        </w:rPr>
        <w:t>t</w:t>
      </w:r>
      <w:r>
        <w:rPr>
          <w:rFonts w:ascii="Times New Roman" w:hAnsi="Times New Roman" w:cs="Times New Roman"/>
          <w:sz w:val="24"/>
          <w:szCs w:val="24"/>
        </w:rPr>
        <w:t xml:space="preserve">his court an affidavit should be deposed to by a person who has personal knowledge of the averments he makes. It need not be based on hearsay. See also </w:t>
      </w:r>
      <w:r w:rsidRPr="00A71C9F">
        <w:rPr>
          <w:rFonts w:ascii="Times New Roman" w:hAnsi="Times New Roman" w:cs="Times New Roman"/>
          <w:i/>
          <w:sz w:val="24"/>
          <w:szCs w:val="24"/>
        </w:rPr>
        <w:t>Bubye Minerals (Pvt) Ltd and Anor</w:t>
      </w:r>
      <w:r>
        <w:rPr>
          <w:rFonts w:ascii="Times New Roman" w:hAnsi="Times New Roman" w:cs="Times New Roman"/>
          <w:sz w:val="24"/>
          <w:szCs w:val="24"/>
        </w:rPr>
        <w:t xml:space="preserve"> v </w:t>
      </w:r>
      <w:r>
        <w:rPr>
          <w:rFonts w:ascii="Times New Roman" w:hAnsi="Times New Roman" w:cs="Times New Roman"/>
          <w:i/>
          <w:sz w:val="24"/>
          <w:szCs w:val="24"/>
        </w:rPr>
        <w:t>Rani International Ltd</w:t>
      </w:r>
      <w:r>
        <w:rPr>
          <w:rFonts w:ascii="Times New Roman" w:hAnsi="Times New Roman" w:cs="Times New Roman"/>
          <w:sz w:val="24"/>
          <w:szCs w:val="24"/>
        </w:rPr>
        <w:t xml:space="preserve"> 2007 (1) ZLR 22(S).</w:t>
      </w:r>
    </w:p>
    <w:p w:rsidR="00121DD3" w:rsidRDefault="00121DD3" w:rsidP="00121D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e-mail correspondence shows that the averments which were made by Gregory Mapfuma Mupfumira are within his personal knowledge. It also shows that he had always </w:t>
      </w:r>
      <w:r>
        <w:rPr>
          <w:rFonts w:ascii="Times New Roman" w:hAnsi="Times New Roman" w:cs="Times New Roman"/>
          <w:sz w:val="24"/>
          <w:szCs w:val="24"/>
        </w:rPr>
        <w:lastRenderedPageBreak/>
        <w:t>been involved in the negotiations which resulted in the opening of the investment account and the release of the attached motor vehicles from the beginning to the end. In the circumstances and as was said by A</w:t>
      </w:r>
      <w:r w:rsidR="00C35A49">
        <w:rPr>
          <w:rFonts w:ascii="Times New Roman" w:hAnsi="Times New Roman" w:cs="Times New Roman"/>
          <w:sz w:val="24"/>
          <w:szCs w:val="24"/>
        </w:rPr>
        <w:t>DAM</w:t>
      </w:r>
      <w:r>
        <w:rPr>
          <w:rFonts w:ascii="Times New Roman" w:hAnsi="Times New Roman" w:cs="Times New Roman"/>
          <w:sz w:val="24"/>
          <w:szCs w:val="24"/>
        </w:rPr>
        <w:t xml:space="preserve"> J in </w:t>
      </w:r>
      <w:r>
        <w:rPr>
          <w:rFonts w:ascii="Times New Roman" w:hAnsi="Times New Roman" w:cs="Times New Roman"/>
          <w:i/>
          <w:sz w:val="24"/>
          <w:szCs w:val="24"/>
        </w:rPr>
        <w:t xml:space="preserve">Direct Response Marketing (Pvt) Ltd </w:t>
      </w:r>
      <w:r w:rsidRPr="00A71C9F">
        <w:rPr>
          <w:rFonts w:ascii="Times New Roman" w:hAnsi="Times New Roman" w:cs="Times New Roman"/>
          <w:sz w:val="24"/>
          <w:szCs w:val="24"/>
        </w:rPr>
        <w:t>v</w:t>
      </w:r>
      <w:r>
        <w:rPr>
          <w:rFonts w:ascii="Times New Roman" w:hAnsi="Times New Roman" w:cs="Times New Roman"/>
          <w:i/>
          <w:sz w:val="24"/>
          <w:szCs w:val="24"/>
        </w:rPr>
        <w:t xml:space="preserve"> Shepard </w:t>
      </w:r>
      <w:r>
        <w:rPr>
          <w:rFonts w:ascii="Times New Roman" w:hAnsi="Times New Roman" w:cs="Times New Roman"/>
          <w:sz w:val="24"/>
          <w:szCs w:val="24"/>
        </w:rPr>
        <w:t xml:space="preserve">1993 (2) ZLR 298 (H) to uphold the point </w:t>
      </w:r>
      <w:r w:rsidRPr="00A71C9F">
        <w:rPr>
          <w:rFonts w:ascii="Times New Roman" w:hAnsi="Times New Roman" w:cs="Times New Roman"/>
          <w:i/>
          <w:sz w:val="24"/>
          <w:szCs w:val="24"/>
        </w:rPr>
        <w:t>in limine</w:t>
      </w:r>
      <w:r>
        <w:rPr>
          <w:rFonts w:ascii="Times New Roman" w:hAnsi="Times New Roman" w:cs="Times New Roman"/>
          <w:sz w:val="24"/>
          <w:szCs w:val="24"/>
        </w:rPr>
        <w:t xml:space="preserve"> in relation to lack of authority on the part of the deponent would be carrying formality too far. See also </w:t>
      </w:r>
      <w:r w:rsidRPr="00B239B6">
        <w:rPr>
          <w:rFonts w:ascii="Times New Roman" w:hAnsi="Times New Roman" w:cs="Times New Roman"/>
          <w:i/>
          <w:sz w:val="24"/>
          <w:szCs w:val="24"/>
        </w:rPr>
        <w:t>Thorne</w:t>
      </w:r>
      <w:r>
        <w:rPr>
          <w:rFonts w:ascii="Times New Roman" w:hAnsi="Times New Roman" w:cs="Times New Roman"/>
          <w:i/>
          <w:sz w:val="24"/>
          <w:szCs w:val="24"/>
        </w:rPr>
        <w:t xml:space="preserve"> </w:t>
      </w:r>
      <w:r>
        <w:rPr>
          <w:rFonts w:ascii="Times New Roman" w:hAnsi="Times New Roman" w:cs="Times New Roman"/>
          <w:sz w:val="24"/>
          <w:szCs w:val="24"/>
        </w:rPr>
        <w:t xml:space="preserve">v </w:t>
      </w:r>
      <w:r>
        <w:rPr>
          <w:rFonts w:ascii="Times New Roman" w:hAnsi="Times New Roman" w:cs="Times New Roman"/>
          <w:i/>
          <w:sz w:val="24"/>
          <w:szCs w:val="24"/>
        </w:rPr>
        <w:t xml:space="preserve">Retail Traders Inquiry, Bureau and Anor </w:t>
      </w:r>
      <w:r>
        <w:rPr>
          <w:rFonts w:ascii="Times New Roman" w:hAnsi="Times New Roman" w:cs="Times New Roman"/>
          <w:sz w:val="24"/>
          <w:szCs w:val="24"/>
        </w:rPr>
        <w:t>1936 TPD 310 wherein it was held that it is sufficient for the deponent to say that he is authorised to depose to the affidavit and that all facts contained therein are within his or her personal knowledge.</w:t>
      </w:r>
    </w:p>
    <w:p w:rsidR="00B239B6" w:rsidRDefault="00121DD3" w:rsidP="00C66E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above reasons I </w:t>
      </w:r>
      <w:r w:rsidR="00B239B6">
        <w:rPr>
          <w:rFonts w:ascii="Times New Roman" w:hAnsi="Times New Roman" w:cs="Times New Roman"/>
          <w:sz w:val="24"/>
          <w:szCs w:val="24"/>
        </w:rPr>
        <w:t xml:space="preserve">hereby </w:t>
      </w:r>
      <w:r>
        <w:rPr>
          <w:rFonts w:ascii="Times New Roman" w:hAnsi="Times New Roman" w:cs="Times New Roman"/>
          <w:sz w:val="24"/>
          <w:szCs w:val="24"/>
        </w:rPr>
        <w:t xml:space="preserve">dismiss the applicant’s point </w:t>
      </w:r>
      <w:r w:rsidRPr="008E7206">
        <w:rPr>
          <w:rFonts w:ascii="Times New Roman" w:hAnsi="Times New Roman" w:cs="Times New Roman"/>
          <w:i/>
          <w:sz w:val="24"/>
          <w:szCs w:val="24"/>
        </w:rPr>
        <w:t>in limine</w:t>
      </w:r>
      <w:r>
        <w:rPr>
          <w:rFonts w:ascii="Times New Roman" w:hAnsi="Times New Roman" w:cs="Times New Roman"/>
          <w:sz w:val="24"/>
          <w:szCs w:val="24"/>
        </w:rPr>
        <w:t xml:space="preserve">.  </w:t>
      </w:r>
    </w:p>
    <w:p w:rsidR="00B239B6" w:rsidRPr="00C66EBE" w:rsidRDefault="00121DD3" w:rsidP="00121DD3">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Merits of the case</w:t>
      </w:r>
    </w:p>
    <w:p w:rsidR="00121DD3" w:rsidRDefault="00B239B6" w:rsidP="00C66E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Basically two</w:t>
      </w:r>
      <w:r w:rsidR="00121DD3">
        <w:rPr>
          <w:rFonts w:ascii="Times New Roman" w:hAnsi="Times New Roman" w:cs="Times New Roman"/>
          <w:sz w:val="24"/>
          <w:szCs w:val="24"/>
        </w:rPr>
        <w:t xml:space="preserve"> issues determine the outcome of this case and they are as follows: </w:t>
      </w:r>
    </w:p>
    <w:p w:rsidR="00121DD3" w:rsidRDefault="00121DD3" w:rsidP="00121DD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investment account was opened as a form of security for the debt owed by the guarantor.</w:t>
      </w:r>
    </w:p>
    <w:p w:rsidR="00121DD3" w:rsidRDefault="00121DD3" w:rsidP="00121DD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first respondent has a right to refuse to release the funds to the applicant.</w:t>
      </w:r>
    </w:p>
    <w:p w:rsidR="00121DD3" w:rsidRDefault="00121DD3" w:rsidP="00121DD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will </w:t>
      </w:r>
      <w:r w:rsidR="0045033C">
        <w:rPr>
          <w:rFonts w:ascii="Times New Roman" w:hAnsi="Times New Roman" w:cs="Times New Roman"/>
          <w:sz w:val="24"/>
          <w:szCs w:val="24"/>
        </w:rPr>
        <w:t xml:space="preserve">now turn to deal with </w:t>
      </w:r>
      <w:r>
        <w:rPr>
          <w:rFonts w:ascii="Times New Roman" w:hAnsi="Times New Roman" w:cs="Times New Roman"/>
          <w:sz w:val="24"/>
          <w:szCs w:val="24"/>
        </w:rPr>
        <w:t>the issue</w:t>
      </w:r>
      <w:r w:rsidR="0045033C">
        <w:rPr>
          <w:rFonts w:ascii="Times New Roman" w:hAnsi="Times New Roman" w:cs="Times New Roman"/>
          <w:sz w:val="24"/>
          <w:szCs w:val="24"/>
        </w:rPr>
        <w:t>s</w:t>
      </w:r>
      <w:r>
        <w:rPr>
          <w:rFonts w:ascii="Times New Roman" w:hAnsi="Times New Roman" w:cs="Times New Roman"/>
          <w:sz w:val="24"/>
          <w:szCs w:val="24"/>
        </w:rPr>
        <w:t>.</w:t>
      </w:r>
    </w:p>
    <w:p w:rsidR="00D12977" w:rsidRDefault="00D12977" w:rsidP="00D12977">
      <w:pPr>
        <w:spacing w:after="0" w:line="360" w:lineRule="auto"/>
        <w:jc w:val="both"/>
        <w:rPr>
          <w:rFonts w:ascii="Times New Roman" w:hAnsi="Times New Roman" w:cs="Times New Roman"/>
          <w:sz w:val="24"/>
          <w:szCs w:val="24"/>
          <w:u w:val="single"/>
        </w:rPr>
      </w:pPr>
      <w:r w:rsidRPr="00D12977">
        <w:rPr>
          <w:rFonts w:ascii="Times New Roman" w:hAnsi="Times New Roman" w:cs="Times New Roman"/>
          <w:sz w:val="24"/>
          <w:szCs w:val="24"/>
        </w:rPr>
        <w:t xml:space="preserve">(a) </w:t>
      </w:r>
      <w:r w:rsidR="00121DD3" w:rsidRPr="00D12977">
        <w:rPr>
          <w:rFonts w:ascii="Times New Roman" w:hAnsi="Times New Roman" w:cs="Times New Roman"/>
          <w:sz w:val="24"/>
          <w:szCs w:val="24"/>
          <w:u w:val="single"/>
        </w:rPr>
        <w:t xml:space="preserve">Whether or not the investment account was opened as a form of security for the debt owed </w:t>
      </w:r>
    </w:p>
    <w:p w:rsidR="00121DD3" w:rsidRDefault="00D12977" w:rsidP="00D12977">
      <w:pPr>
        <w:spacing w:after="0" w:line="360" w:lineRule="auto"/>
        <w:jc w:val="both"/>
        <w:rPr>
          <w:rFonts w:ascii="Times New Roman" w:hAnsi="Times New Roman" w:cs="Times New Roman"/>
          <w:sz w:val="24"/>
          <w:szCs w:val="24"/>
          <w:u w:val="single"/>
        </w:rPr>
      </w:pPr>
      <w:r w:rsidRPr="00D12977">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00121DD3" w:rsidRPr="00D12977">
        <w:rPr>
          <w:rFonts w:ascii="Times New Roman" w:hAnsi="Times New Roman" w:cs="Times New Roman"/>
          <w:sz w:val="24"/>
          <w:szCs w:val="24"/>
          <w:u w:val="single"/>
        </w:rPr>
        <w:t>by the guarantor</w:t>
      </w:r>
    </w:p>
    <w:p w:rsidR="005F7F2F" w:rsidRDefault="00D1797C" w:rsidP="005F7F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Firstly, i</w:t>
      </w:r>
      <w:r w:rsidR="005F7F2F">
        <w:rPr>
          <w:rFonts w:ascii="Times New Roman" w:hAnsi="Times New Roman" w:cs="Times New Roman"/>
          <w:sz w:val="24"/>
          <w:szCs w:val="24"/>
        </w:rPr>
        <w:t xml:space="preserve">t was argued for the applicant that money or cash cannot be used as a form of security. However, </w:t>
      </w:r>
      <w:r w:rsidR="005F7F2F" w:rsidRPr="005F7F2F">
        <w:rPr>
          <w:rFonts w:ascii="Times New Roman" w:hAnsi="Times New Roman" w:cs="Times New Roman"/>
          <w:sz w:val="24"/>
          <w:szCs w:val="24"/>
        </w:rPr>
        <w:t>Advocate M</w:t>
      </w:r>
      <w:r w:rsidR="005F7F2F" w:rsidRPr="0030150E">
        <w:rPr>
          <w:rFonts w:ascii="Times New Roman" w:hAnsi="Times New Roman" w:cs="Times New Roman"/>
          <w:i/>
          <w:sz w:val="24"/>
          <w:szCs w:val="24"/>
        </w:rPr>
        <w:t>pofu</w:t>
      </w:r>
      <w:r w:rsidR="005F7F2F">
        <w:rPr>
          <w:rFonts w:ascii="Times New Roman" w:hAnsi="Times New Roman" w:cs="Times New Roman"/>
          <w:sz w:val="24"/>
          <w:szCs w:val="24"/>
        </w:rPr>
        <w:t xml:space="preserve"> did not refer to any authority for that averment.</w:t>
      </w:r>
    </w:p>
    <w:p w:rsidR="005F7F2F" w:rsidRDefault="005F7F2F" w:rsidP="005F7F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750C6D">
        <w:rPr>
          <w:rFonts w:ascii="Times New Roman" w:hAnsi="Times New Roman" w:cs="Times New Roman"/>
          <w:i/>
          <w:sz w:val="24"/>
          <w:szCs w:val="24"/>
        </w:rPr>
        <w:t>Paget’s Law of Banking</w:t>
      </w:r>
      <w:r>
        <w:rPr>
          <w:rFonts w:ascii="Times New Roman" w:hAnsi="Times New Roman" w:cs="Times New Roman"/>
          <w:sz w:val="24"/>
          <w:szCs w:val="24"/>
        </w:rPr>
        <w:t xml:space="preserve"> 9</w:t>
      </w:r>
      <w:r w:rsidRPr="00750C6D">
        <w:rPr>
          <w:rFonts w:ascii="Times New Roman" w:hAnsi="Times New Roman" w:cs="Times New Roman"/>
          <w:sz w:val="24"/>
          <w:szCs w:val="24"/>
          <w:vertAlign w:val="superscript"/>
        </w:rPr>
        <w:t>th</w:t>
      </w:r>
      <w:r w:rsidR="00713143">
        <w:rPr>
          <w:rFonts w:ascii="Times New Roman" w:hAnsi="Times New Roman" w:cs="Times New Roman"/>
          <w:sz w:val="24"/>
          <w:szCs w:val="24"/>
        </w:rPr>
        <w:t xml:space="preserve"> ed</w:t>
      </w:r>
      <w:r>
        <w:rPr>
          <w:rFonts w:ascii="Times New Roman" w:hAnsi="Times New Roman" w:cs="Times New Roman"/>
          <w:sz w:val="24"/>
          <w:szCs w:val="24"/>
        </w:rPr>
        <w:t xml:space="preserve"> p 460 it is stated that money can be used as security. Though this is in relation to money that is advanced by a bank to a barrower, I find it relevant and applicable in the present case.</w:t>
      </w:r>
    </w:p>
    <w:p w:rsidR="005F7F2F" w:rsidRDefault="005F7F2F" w:rsidP="005F7F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said:</w:t>
      </w:r>
    </w:p>
    <w:p w:rsidR="005F7F2F" w:rsidRDefault="005F7F2F" w:rsidP="005F7F2F">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Cash, such as moneys on deposit, may be used as a security for advances quite apart from its availability for set off arising by operation of law. By agreement cash may be made available to cover the indebtedness or other liability of the depositor or a lending to a third party. …. the banker may be given a specific right of set off…. The banker may exercise a set off in circumstances which should be made clear when the lending is agreed to, by indicating, preferably in writing, when the right should arise”. </w:t>
      </w:r>
    </w:p>
    <w:p w:rsidR="005F7F2F" w:rsidRDefault="005F7F2F" w:rsidP="005F7F2F">
      <w:pPr>
        <w:spacing w:after="0" w:line="240" w:lineRule="auto"/>
        <w:jc w:val="both"/>
        <w:rPr>
          <w:rFonts w:ascii="Times New Roman" w:hAnsi="Times New Roman" w:cs="Times New Roman"/>
        </w:rPr>
      </w:pPr>
    </w:p>
    <w:p w:rsidR="005F7F2F" w:rsidRDefault="005F7F2F" w:rsidP="005F7F2F">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The above is a clear illustration that money can be used as security. In </w:t>
      </w:r>
      <w:r w:rsidRPr="005B6C62">
        <w:rPr>
          <w:rFonts w:ascii="Times New Roman" w:hAnsi="Times New Roman" w:cs="Times New Roman"/>
          <w:i/>
          <w:sz w:val="24"/>
          <w:szCs w:val="24"/>
        </w:rPr>
        <w:t>casu</w:t>
      </w:r>
      <w:r>
        <w:rPr>
          <w:rFonts w:ascii="Times New Roman" w:hAnsi="Times New Roman" w:cs="Times New Roman"/>
          <w:sz w:val="24"/>
          <w:szCs w:val="24"/>
        </w:rPr>
        <w:t xml:space="preserve"> what remains to be seen is whether or not the investment account was opened as a form of security for the guarantor’s indebtedness. </w:t>
      </w:r>
    </w:p>
    <w:p w:rsidR="00121DD3" w:rsidRDefault="00121DD3" w:rsidP="00C9486A">
      <w:pPr>
        <w:spacing w:after="0" w:line="360" w:lineRule="auto"/>
        <w:ind w:firstLine="720"/>
        <w:jc w:val="both"/>
        <w:rPr>
          <w:rFonts w:ascii="Times New Roman" w:hAnsi="Times New Roman" w:cs="Times New Roman"/>
          <w:sz w:val="24"/>
          <w:szCs w:val="24"/>
        </w:rPr>
      </w:pPr>
      <w:r w:rsidRPr="0013187D">
        <w:rPr>
          <w:rFonts w:ascii="Times New Roman" w:hAnsi="Times New Roman" w:cs="Times New Roman"/>
          <w:sz w:val="24"/>
          <w:szCs w:val="24"/>
        </w:rPr>
        <w:t>It is clear from</w:t>
      </w:r>
      <w:r>
        <w:rPr>
          <w:rFonts w:ascii="Times New Roman" w:hAnsi="Times New Roman" w:cs="Times New Roman"/>
          <w:sz w:val="24"/>
          <w:szCs w:val="24"/>
        </w:rPr>
        <w:t xml:space="preserve"> the e-mail correspondence that happened between the applicant’s </w:t>
      </w:r>
    </w:p>
    <w:p w:rsidR="00121DD3" w:rsidRDefault="00121DD3" w:rsidP="00121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liquidator and the first respondent’s employees namely Tsitsi Majoko, Majaya Katoma and Gregory Mpfuma Mupfumira that had the investment account not been opened by the applicant’s liquidator</w:t>
      </w:r>
      <w:r w:rsidR="00F90EF5">
        <w:rPr>
          <w:rFonts w:ascii="Times New Roman" w:hAnsi="Times New Roman" w:cs="Times New Roman"/>
          <w:sz w:val="24"/>
          <w:szCs w:val="24"/>
        </w:rPr>
        <w:t>,</w:t>
      </w:r>
      <w:r>
        <w:rPr>
          <w:rFonts w:ascii="Times New Roman" w:hAnsi="Times New Roman" w:cs="Times New Roman"/>
          <w:sz w:val="24"/>
          <w:szCs w:val="24"/>
        </w:rPr>
        <w:t xml:space="preserve"> the first respondent would not have released the guarantor’s motor vehicles that had been a</w:t>
      </w:r>
      <w:r w:rsidR="0045033C">
        <w:rPr>
          <w:rFonts w:ascii="Times New Roman" w:hAnsi="Times New Roman" w:cs="Times New Roman"/>
          <w:sz w:val="24"/>
          <w:szCs w:val="24"/>
        </w:rPr>
        <w:t>ttached. It was also agreed</w:t>
      </w:r>
      <w:r>
        <w:rPr>
          <w:rFonts w:ascii="Times New Roman" w:hAnsi="Times New Roman" w:cs="Times New Roman"/>
          <w:sz w:val="24"/>
          <w:szCs w:val="24"/>
        </w:rPr>
        <w:t xml:space="preserve"> tha</w:t>
      </w:r>
      <w:r w:rsidR="00F90EF5">
        <w:rPr>
          <w:rFonts w:ascii="Times New Roman" w:hAnsi="Times New Roman" w:cs="Times New Roman"/>
          <w:sz w:val="24"/>
          <w:szCs w:val="24"/>
        </w:rPr>
        <w:t>t the investment account have an amount equivalent to the amount ow</w:t>
      </w:r>
      <w:r>
        <w:rPr>
          <w:rFonts w:ascii="Times New Roman" w:hAnsi="Times New Roman" w:cs="Times New Roman"/>
          <w:sz w:val="24"/>
          <w:szCs w:val="24"/>
        </w:rPr>
        <w:t>ed by the guarantor. See G</w:t>
      </w:r>
      <w:r w:rsidR="0045033C">
        <w:rPr>
          <w:rFonts w:ascii="Times New Roman" w:hAnsi="Times New Roman" w:cs="Times New Roman"/>
          <w:sz w:val="24"/>
          <w:szCs w:val="24"/>
        </w:rPr>
        <w:t>regory</w:t>
      </w:r>
      <w:r>
        <w:rPr>
          <w:rFonts w:ascii="Times New Roman" w:hAnsi="Times New Roman" w:cs="Times New Roman"/>
          <w:sz w:val="24"/>
          <w:szCs w:val="24"/>
        </w:rPr>
        <w:t xml:space="preserve"> Mupfumira’s e-mail of 8 October 2013 addressed to the </w:t>
      </w:r>
      <w:r w:rsidR="0045033C">
        <w:rPr>
          <w:rFonts w:ascii="Times New Roman" w:hAnsi="Times New Roman" w:cs="Times New Roman"/>
          <w:sz w:val="24"/>
          <w:szCs w:val="24"/>
        </w:rPr>
        <w:t xml:space="preserve">applicant’s liquidator. It is </w:t>
      </w:r>
      <w:r>
        <w:rPr>
          <w:rFonts w:ascii="Times New Roman" w:hAnsi="Times New Roman" w:cs="Times New Roman"/>
          <w:sz w:val="24"/>
          <w:szCs w:val="24"/>
        </w:rPr>
        <w:t xml:space="preserve">annexure J of the first respondent’s opposing affidavit. </w:t>
      </w:r>
    </w:p>
    <w:p w:rsidR="00121DD3" w:rsidRDefault="00121DD3" w:rsidP="00121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major problem that </w:t>
      </w:r>
      <w:r w:rsidR="00870169">
        <w:rPr>
          <w:rFonts w:ascii="Times New Roman" w:hAnsi="Times New Roman" w:cs="Times New Roman"/>
          <w:sz w:val="24"/>
          <w:szCs w:val="24"/>
        </w:rPr>
        <w:t xml:space="preserve">surrounds this issue </w:t>
      </w:r>
      <w:r>
        <w:rPr>
          <w:rFonts w:ascii="Times New Roman" w:hAnsi="Times New Roman" w:cs="Times New Roman"/>
          <w:sz w:val="24"/>
          <w:szCs w:val="24"/>
        </w:rPr>
        <w:t>is that nowhere in the papers that are before me is it stated in black and white that the invested funds were to act as a form of security for the debt. The a</w:t>
      </w:r>
      <w:r w:rsidR="0045033C">
        <w:rPr>
          <w:rFonts w:ascii="Times New Roman" w:hAnsi="Times New Roman" w:cs="Times New Roman"/>
          <w:sz w:val="24"/>
          <w:szCs w:val="24"/>
        </w:rPr>
        <w:t>gree</w:t>
      </w:r>
      <w:r>
        <w:rPr>
          <w:rFonts w:ascii="Times New Roman" w:hAnsi="Times New Roman" w:cs="Times New Roman"/>
          <w:sz w:val="24"/>
          <w:szCs w:val="24"/>
        </w:rPr>
        <w:t>ment to have the investment acc</w:t>
      </w:r>
      <w:r w:rsidR="00EF3149">
        <w:rPr>
          <w:rFonts w:ascii="Times New Roman" w:hAnsi="Times New Roman" w:cs="Times New Roman"/>
          <w:sz w:val="24"/>
          <w:szCs w:val="24"/>
        </w:rPr>
        <w:t>ount opened was never reduced in</w:t>
      </w:r>
      <w:r>
        <w:rPr>
          <w:rFonts w:ascii="Times New Roman" w:hAnsi="Times New Roman" w:cs="Times New Roman"/>
          <w:sz w:val="24"/>
          <w:szCs w:val="24"/>
        </w:rPr>
        <w:t xml:space="preserve">to writing. </w:t>
      </w:r>
      <w:r w:rsidR="0045033C">
        <w:rPr>
          <w:rFonts w:ascii="Times New Roman" w:hAnsi="Times New Roman" w:cs="Times New Roman"/>
          <w:sz w:val="24"/>
          <w:szCs w:val="24"/>
        </w:rPr>
        <w:t xml:space="preserve">As a result the </w:t>
      </w:r>
      <w:r>
        <w:rPr>
          <w:rFonts w:ascii="Times New Roman" w:hAnsi="Times New Roman" w:cs="Times New Roman"/>
          <w:sz w:val="24"/>
          <w:szCs w:val="24"/>
        </w:rPr>
        <w:t>conditions attached to that investment account were not writ</w:t>
      </w:r>
      <w:r w:rsidR="0045033C">
        <w:rPr>
          <w:rFonts w:ascii="Times New Roman" w:hAnsi="Times New Roman" w:cs="Times New Roman"/>
          <w:sz w:val="24"/>
          <w:szCs w:val="24"/>
        </w:rPr>
        <w:t>ten down</w:t>
      </w:r>
      <w:r>
        <w:rPr>
          <w:rFonts w:ascii="Times New Roman" w:hAnsi="Times New Roman" w:cs="Times New Roman"/>
          <w:sz w:val="24"/>
          <w:szCs w:val="24"/>
        </w:rPr>
        <w:t>. That the opening of the investment account was a condition precedent to the release of the guarantor’s motor vehicles can only be deduced from the e-mail correspondence that happened between the parties. That e-mail correspondence is found on Annexures I, J and K to the first respondent’s opposing affidavits. However</w:t>
      </w:r>
      <w:r w:rsidR="0045033C">
        <w:rPr>
          <w:rFonts w:ascii="Times New Roman" w:hAnsi="Times New Roman" w:cs="Times New Roman"/>
          <w:sz w:val="24"/>
          <w:szCs w:val="24"/>
        </w:rPr>
        <w:t>,</w:t>
      </w:r>
      <w:r>
        <w:rPr>
          <w:rFonts w:ascii="Times New Roman" w:hAnsi="Times New Roman" w:cs="Times New Roman"/>
          <w:sz w:val="24"/>
          <w:szCs w:val="24"/>
        </w:rPr>
        <w:t xml:space="preserve"> none of these e-mails state that the investment account was a form of security. </w:t>
      </w:r>
    </w:p>
    <w:p w:rsidR="00121DD3" w:rsidRDefault="00121DD3" w:rsidP="00121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Now the problem that </w:t>
      </w:r>
      <w:r w:rsidR="00630256">
        <w:rPr>
          <w:rFonts w:ascii="Times New Roman" w:hAnsi="Times New Roman" w:cs="Times New Roman"/>
          <w:sz w:val="24"/>
          <w:szCs w:val="24"/>
        </w:rPr>
        <w:t>I am faced with</w:t>
      </w:r>
      <w:r>
        <w:rPr>
          <w:rFonts w:ascii="Times New Roman" w:hAnsi="Times New Roman" w:cs="Times New Roman"/>
          <w:sz w:val="24"/>
          <w:szCs w:val="24"/>
        </w:rPr>
        <w:t xml:space="preserve"> is that the parties are not in agreement on what the purpose of the funds </w:t>
      </w:r>
      <w:r w:rsidR="0045033C">
        <w:rPr>
          <w:rFonts w:ascii="Times New Roman" w:hAnsi="Times New Roman" w:cs="Times New Roman"/>
          <w:sz w:val="24"/>
          <w:szCs w:val="24"/>
        </w:rPr>
        <w:t>was</w:t>
      </w:r>
      <w:r>
        <w:rPr>
          <w:rFonts w:ascii="Times New Roman" w:hAnsi="Times New Roman" w:cs="Times New Roman"/>
          <w:sz w:val="24"/>
          <w:szCs w:val="24"/>
        </w:rPr>
        <w:t>. On one hand the applicant</w:t>
      </w:r>
      <w:r w:rsidR="0045033C">
        <w:rPr>
          <w:rFonts w:ascii="Times New Roman" w:hAnsi="Times New Roman" w:cs="Times New Roman"/>
          <w:sz w:val="24"/>
          <w:szCs w:val="24"/>
        </w:rPr>
        <w:t>’s liquidator</w:t>
      </w:r>
      <w:r>
        <w:rPr>
          <w:rFonts w:ascii="Times New Roman" w:hAnsi="Times New Roman" w:cs="Times New Roman"/>
          <w:sz w:val="24"/>
          <w:szCs w:val="24"/>
        </w:rPr>
        <w:t xml:space="preserve"> says that the funds were meant to show that the applicant as a company in liquidation had sufficient funds to pay the first respondent upon the approval of the guarantor’s claim. The </w:t>
      </w:r>
      <w:r w:rsidR="0045033C">
        <w:rPr>
          <w:rFonts w:ascii="Times New Roman" w:hAnsi="Times New Roman" w:cs="Times New Roman"/>
          <w:sz w:val="24"/>
          <w:szCs w:val="24"/>
        </w:rPr>
        <w:t xml:space="preserve">applicant’s </w:t>
      </w:r>
      <w:r>
        <w:rPr>
          <w:rFonts w:ascii="Times New Roman" w:hAnsi="Times New Roman" w:cs="Times New Roman"/>
          <w:sz w:val="24"/>
          <w:szCs w:val="24"/>
        </w:rPr>
        <w:t>liqui</w:t>
      </w:r>
      <w:r w:rsidR="0045033C">
        <w:rPr>
          <w:rFonts w:ascii="Times New Roman" w:hAnsi="Times New Roman" w:cs="Times New Roman"/>
          <w:sz w:val="24"/>
          <w:szCs w:val="24"/>
        </w:rPr>
        <w:t>dator stated that it had always</w:t>
      </w:r>
      <w:r>
        <w:rPr>
          <w:rFonts w:ascii="Times New Roman" w:hAnsi="Times New Roman" w:cs="Times New Roman"/>
          <w:sz w:val="24"/>
          <w:szCs w:val="24"/>
        </w:rPr>
        <w:t xml:space="preserve"> intended to use the guarantor’s dividends to pay off the debt that was owing to the first respondent. He further submitted that the opening of the investment account was also a way of safe keeping the applicant’s funds. He said that if the money/funds had been meant to be security then the first respondent would have forfeited the investment when the second respondent disapproved the guarantor’s claim. He argued that the fact that this did not happen means that the money was not invested as a form of security.</w:t>
      </w:r>
    </w:p>
    <w:p w:rsidR="00121DD3" w:rsidRDefault="00121DD3" w:rsidP="00121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other hand the first respondent argued that the investment account was opened as a form of security for the debt by the guarantor. It stated that as such the funds were only redeemable upon settlement of the debt. The first respondent argued that had it not been for</w:t>
      </w:r>
      <w:r w:rsidR="0045033C">
        <w:rPr>
          <w:rFonts w:ascii="Times New Roman" w:hAnsi="Times New Roman" w:cs="Times New Roman"/>
          <w:sz w:val="24"/>
          <w:szCs w:val="24"/>
        </w:rPr>
        <w:t xml:space="preserve"> the investment account which was opened as a form of</w:t>
      </w:r>
      <w:r>
        <w:rPr>
          <w:rFonts w:ascii="Times New Roman" w:hAnsi="Times New Roman" w:cs="Times New Roman"/>
          <w:sz w:val="24"/>
          <w:szCs w:val="24"/>
        </w:rPr>
        <w:t xml:space="preserve"> security it would not have released the motor vehicles it had attached. </w:t>
      </w:r>
    </w:p>
    <w:p w:rsidR="00121DD3" w:rsidRDefault="00121DD3" w:rsidP="00121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absence of a</w:t>
      </w:r>
      <w:r w:rsidR="00E27A96">
        <w:rPr>
          <w:rFonts w:ascii="Times New Roman" w:hAnsi="Times New Roman" w:cs="Times New Roman"/>
          <w:sz w:val="24"/>
          <w:szCs w:val="24"/>
        </w:rPr>
        <w:t>n</w:t>
      </w:r>
      <w:r>
        <w:rPr>
          <w:rFonts w:ascii="Times New Roman" w:hAnsi="Times New Roman" w:cs="Times New Roman"/>
          <w:sz w:val="24"/>
          <w:szCs w:val="24"/>
        </w:rPr>
        <w:t xml:space="preserve"> agreement which clearly stipulates that the funds were inve</w:t>
      </w:r>
      <w:r w:rsidR="0045033C">
        <w:rPr>
          <w:rFonts w:ascii="Times New Roman" w:hAnsi="Times New Roman" w:cs="Times New Roman"/>
          <w:sz w:val="24"/>
          <w:szCs w:val="24"/>
        </w:rPr>
        <w:t>sted as security I will find in favour of</w:t>
      </w:r>
      <w:r>
        <w:rPr>
          <w:rFonts w:ascii="Times New Roman" w:hAnsi="Times New Roman" w:cs="Times New Roman"/>
          <w:sz w:val="24"/>
          <w:szCs w:val="24"/>
        </w:rPr>
        <w:t xml:space="preserve"> the applicant that the money was no</w:t>
      </w:r>
      <w:r w:rsidR="0045033C">
        <w:rPr>
          <w:rFonts w:ascii="Times New Roman" w:hAnsi="Times New Roman" w:cs="Times New Roman"/>
          <w:sz w:val="24"/>
          <w:szCs w:val="24"/>
        </w:rPr>
        <w:t>t</w:t>
      </w:r>
      <w:r>
        <w:rPr>
          <w:rFonts w:ascii="Times New Roman" w:hAnsi="Times New Roman" w:cs="Times New Roman"/>
          <w:sz w:val="24"/>
          <w:szCs w:val="24"/>
        </w:rPr>
        <w:t xml:space="preserve"> invested as a form of </w:t>
      </w:r>
      <w:r>
        <w:rPr>
          <w:rFonts w:ascii="Times New Roman" w:hAnsi="Times New Roman" w:cs="Times New Roman"/>
          <w:sz w:val="24"/>
          <w:szCs w:val="24"/>
        </w:rPr>
        <w:lastRenderedPageBreak/>
        <w:t xml:space="preserve">security. I believe that if it was a </w:t>
      </w:r>
      <w:r w:rsidR="0045033C">
        <w:rPr>
          <w:rFonts w:ascii="Times New Roman" w:hAnsi="Times New Roman" w:cs="Times New Roman"/>
          <w:sz w:val="24"/>
          <w:szCs w:val="24"/>
        </w:rPr>
        <w:t>form of security then an agreement w</w:t>
      </w:r>
      <w:r>
        <w:rPr>
          <w:rFonts w:ascii="Times New Roman" w:hAnsi="Times New Roman" w:cs="Times New Roman"/>
          <w:sz w:val="24"/>
          <w:szCs w:val="24"/>
        </w:rPr>
        <w:t xml:space="preserve">ould have </w:t>
      </w:r>
      <w:r w:rsidR="0045033C">
        <w:rPr>
          <w:rFonts w:ascii="Times New Roman" w:hAnsi="Times New Roman" w:cs="Times New Roman"/>
          <w:sz w:val="24"/>
          <w:szCs w:val="24"/>
        </w:rPr>
        <w:t>been ma</w:t>
      </w:r>
      <w:r>
        <w:rPr>
          <w:rFonts w:ascii="Times New Roman" w:hAnsi="Times New Roman" w:cs="Times New Roman"/>
          <w:sz w:val="24"/>
          <w:szCs w:val="24"/>
        </w:rPr>
        <w:t>d</w:t>
      </w:r>
      <w:r w:rsidR="00556494">
        <w:rPr>
          <w:rFonts w:ascii="Times New Roman" w:hAnsi="Times New Roman" w:cs="Times New Roman"/>
          <w:sz w:val="24"/>
          <w:szCs w:val="24"/>
        </w:rPr>
        <w:t>e</w:t>
      </w:r>
      <w:r>
        <w:rPr>
          <w:rFonts w:ascii="Times New Roman" w:hAnsi="Times New Roman" w:cs="Times New Roman"/>
          <w:sz w:val="24"/>
          <w:szCs w:val="24"/>
        </w:rPr>
        <w:t xml:space="preserve"> by the parties to the effect that if the debt was not paid or if the guarantor’s</w:t>
      </w:r>
      <w:r w:rsidR="00E27A96">
        <w:rPr>
          <w:rFonts w:ascii="Times New Roman" w:hAnsi="Times New Roman" w:cs="Times New Roman"/>
          <w:sz w:val="24"/>
          <w:szCs w:val="24"/>
        </w:rPr>
        <w:t xml:space="preserve"> claim against the applicant</w:t>
      </w:r>
      <w:r>
        <w:rPr>
          <w:rFonts w:ascii="Times New Roman" w:hAnsi="Times New Roman" w:cs="Times New Roman"/>
          <w:sz w:val="24"/>
          <w:szCs w:val="24"/>
        </w:rPr>
        <w:t xml:space="preserve"> was disallowed the invested funds would immediately be forfeited to pay the debt. </w:t>
      </w:r>
      <w:r w:rsidR="00556494">
        <w:rPr>
          <w:rFonts w:ascii="Times New Roman" w:hAnsi="Times New Roman" w:cs="Times New Roman"/>
          <w:sz w:val="24"/>
          <w:szCs w:val="24"/>
        </w:rPr>
        <w:t>From the submissions made it appears that no such agreement was made</w:t>
      </w:r>
      <w:r>
        <w:rPr>
          <w:rFonts w:ascii="Times New Roman" w:hAnsi="Times New Roman" w:cs="Times New Roman"/>
          <w:sz w:val="24"/>
          <w:szCs w:val="24"/>
        </w:rPr>
        <w:t xml:space="preserve">. The first respondent was notified on 30 September 2014 by the </w:t>
      </w:r>
      <w:r w:rsidR="00556494">
        <w:rPr>
          <w:rFonts w:ascii="Times New Roman" w:hAnsi="Times New Roman" w:cs="Times New Roman"/>
          <w:sz w:val="24"/>
          <w:szCs w:val="24"/>
        </w:rPr>
        <w:t xml:space="preserve">applicant’s </w:t>
      </w:r>
      <w:r>
        <w:rPr>
          <w:rFonts w:ascii="Times New Roman" w:hAnsi="Times New Roman" w:cs="Times New Roman"/>
          <w:sz w:val="24"/>
          <w:szCs w:val="24"/>
        </w:rPr>
        <w:t xml:space="preserve">liquidator that the guarantor’s claim was rejected </w:t>
      </w:r>
      <w:r w:rsidR="00556494">
        <w:rPr>
          <w:rFonts w:ascii="Times New Roman" w:hAnsi="Times New Roman" w:cs="Times New Roman"/>
          <w:sz w:val="24"/>
          <w:szCs w:val="24"/>
        </w:rPr>
        <w:t xml:space="preserve">by the second respondent </w:t>
      </w:r>
      <w:r>
        <w:rPr>
          <w:rFonts w:ascii="Times New Roman" w:hAnsi="Times New Roman" w:cs="Times New Roman"/>
          <w:sz w:val="24"/>
          <w:szCs w:val="24"/>
        </w:rPr>
        <w:t>and that the guarantor was not receiving any dividend from the liquidation of the applicant. Surely if this money was held as security</w:t>
      </w:r>
      <w:r w:rsidR="00051D1F">
        <w:rPr>
          <w:rFonts w:ascii="Times New Roman" w:hAnsi="Times New Roman" w:cs="Times New Roman"/>
          <w:sz w:val="24"/>
          <w:szCs w:val="24"/>
        </w:rPr>
        <w:t>,</w:t>
      </w:r>
      <w:r>
        <w:rPr>
          <w:rFonts w:ascii="Times New Roman" w:hAnsi="Times New Roman" w:cs="Times New Roman"/>
          <w:sz w:val="24"/>
          <w:szCs w:val="24"/>
        </w:rPr>
        <w:t xml:space="preserve"> by now the first respondent would have forfeited it or transferred it from the investment account to pay the debt. </w:t>
      </w:r>
    </w:p>
    <w:p w:rsidR="00121DD3" w:rsidRDefault="00121DD3" w:rsidP="00121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F7B02">
        <w:rPr>
          <w:rFonts w:ascii="Times New Roman" w:hAnsi="Times New Roman" w:cs="Times New Roman"/>
          <w:sz w:val="24"/>
          <w:szCs w:val="24"/>
        </w:rPr>
        <w:t xml:space="preserve">It is a fact </w:t>
      </w:r>
      <w:r>
        <w:rPr>
          <w:rFonts w:ascii="Times New Roman" w:hAnsi="Times New Roman" w:cs="Times New Roman"/>
          <w:sz w:val="24"/>
          <w:szCs w:val="24"/>
        </w:rPr>
        <w:t>that the first respondent is still keeping that money in the investment account. It is busy chaining out statements to the applicant monthly saying that if no instructions to withdraw the funds on maturity date are</w:t>
      </w:r>
      <w:r w:rsidR="007F7B02">
        <w:rPr>
          <w:rFonts w:ascii="Times New Roman" w:hAnsi="Times New Roman" w:cs="Times New Roman"/>
          <w:sz w:val="24"/>
          <w:szCs w:val="24"/>
        </w:rPr>
        <w:t xml:space="preserve"> given the investment will be rol</w:t>
      </w:r>
      <w:r>
        <w:rPr>
          <w:rFonts w:ascii="Times New Roman" w:hAnsi="Times New Roman" w:cs="Times New Roman"/>
          <w:sz w:val="24"/>
          <w:szCs w:val="24"/>
        </w:rPr>
        <w:t>led over for the same period at the prevailing money market rates.</w:t>
      </w:r>
    </w:p>
    <w:p w:rsidR="00121DD3" w:rsidRDefault="00121DD3" w:rsidP="00121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F7B02">
        <w:rPr>
          <w:rFonts w:ascii="Times New Roman" w:hAnsi="Times New Roman" w:cs="Times New Roman"/>
          <w:sz w:val="24"/>
          <w:szCs w:val="24"/>
        </w:rPr>
        <w:t>It is also a fact that</w:t>
      </w:r>
      <w:r>
        <w:rPr>
          <w:rFonts w:ascii="Times New Roman" w:hAnsi="Times New Roman" w:cs="Times New Roman"/>
          <w:sz w:val="24"/>
          <w:szCs w:val="24"/>
        </w:rPr>
        <w:t xml:space="preserve"> nowhere in the opposing papers does the first respondent say for how long it is going to keep this money in the applicant’s investment account. It does not explain why it is continuing to keep the money without using it to set off the debt that is owing</w:t>
      </w:r>
      <w:r w:rsidR="001828D3">
        <w:rPr>
          <w:rFonts w:ascii="Times New Roman" w:hAnsi="Times New Roman" w:cs="Times New Roman"/>
          <w:sz w:val="24"/>
          <w:szCs w:val="24"/>
        </w:rPr>
        <w:t xml:space="preserve"> if indeed the funds were deposited as a form of security</w:t>
      </w:r>
      <w:r>
        <w:rPr>
          <w:rFonts w:ascii="Times New Roman" w:hAnsi="Times New Roman" w:cs="Times New Roman"/>
          <w:sz w:val="24"/>
          <w:szCs w:val="24"/>
        </w:rPr>
        <w:t>.</w:t>
      </w:r>
      <w:r w:rsidR="007F7B02">
        <w:rPr>
          <w:rFonts w:ascii="Times New Roman" w:hAnsi="Times New Roman" w:cs="Times New Roman"/>
          <w:sz w:val="24"/>
          <w:szCs w:val="24"/>
        </w:rPr>
        <w:t xml:space="preserve"> The first respondent does not state the conditions that are attached to the investment account.</w:t>
      </w:r>
    </w:p>
    <w:p w:rsidR="00121DD3" w:rsidRDefault="007F7B02" w:rsidP="00121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w:t>
      </w:r>
      <w:r w:rsidR="00A66E65">
        <w:rPr>
          <w:rFonts w:ascii="Times New Roman" w:hAnsi="Times New Roman" w:cs="Times New Roman"/>
          <w:sz w:val="24"/>
          <w:szCs w:val="24"/>
        </w:rPr>
        <w:t xml:space="preserve"> absence of a</w:t>
      </w:r>
      <w:r w:rsidR="00E27A96">
        <w:rPr>
          <w:rFonts w:ascii="Times New Roman" w:hAnsi="Times New Roman" w:cs="Times New Roman"/>
          <w:sz w:val="24"/>
          <w:szCs w:val="24"/>
        </w:rPr>
        <w:t>n</w:t>
      </w:r>
      <w:r w:rsidR="00A66E65">
        <w:rPr>
          <w:rFonts w:ascii="Times New Roman" w:hAnsi="Times New Roman" w:cs="Times New Roman"/>
          <w:sz w:val="24"/>
          <w:szCs w:val="24"/>
        </w:rPr>
        <w:t xml:space="preserve"> </w:t>
      </w:r>
      <w:r w:rsidR="00121DD3">
        <w:rPr>
          <w:rFonts w:ascii="Times New Roman" w:hAnsi="Times New Roman" w:cs="Times New Roman"/>
          <w:sz w:val="24"/>
          <w:szCs w:val="24"/>
        </w:rPr>
        <w:t>agreement that the money was invested as a form of s</w:t>
      </w:r>
      <w:r w:rsidR="00A66E65">
        <w:rPr>
          <w:rFonts w:ascii="Times New Roman" w:hAnsi="Times New Roman" w:cs="Times New Roman"/>
          <w:sz w:val="24"/>
          <w:szCs w:val="24"/>
        </w:rPr>
        <w:t>ecurity and in the absence of a clear</w:t>
      </w:r>
      <w:r w:rsidR="00121DD3">
        <w:rPr>
          <w:rFonts w:ascii="Times New Roman" w:hAnsi="Times New Roman" w:cs="Times New Roman"/>
          <w:sz w:val="24"/>
          <w:szCs w:val="24"/>
        </w:rPr>
        <w:t xml:space="preserve"> explanation </w:t>
      </w:r>
      <w:r w:rsidR="00A66E65">
        <w:rPr>
          <w:rFonts w:ascii="Times New Roman" w:hAnsi="Times New Roman" w:cs="Times New Roman"/>
          <w:sz w:val="24"/>
          <w:szCs w:val="24"/>
        </w:rPr>
        <w:t xml:space="preserve">of the </w:t>
      </w:r>
      <w:r w:rsidR="001828D3">
        <w:rPr>
          <w:rFonts w:ascii="Times New Roman" w:hAnsi="Times New Roman" w:cs="Times New Roman"/>
          <w:sz w:val="24"/>
          <w:szCs w:val="24"/>
        </w:rPr>
        <w:t xml:space="preserve">terms and </w:t>
      </w:r>
      <w:r w:rsidR="00A66E65">
        <w:rPr>
          <w:rFonts w:ascii="Times New Roman" w:hAnsi="Times New Roman" w:cs="Times New Roman"/>
          <w:sz w:val="24"/>
          <w:szCs w:val="24"/>
        </w:rPr>
        <w:t xml:space="preserve">conditions attached to the security and </w:t>
      </w:r>
      <w:r w:rsidR="001828D3">
        <w:rPr>
          <w:rFonts w:ascii="Times New Roman" w:hAnsi="Times New Roman" w:cs="Times New Roman"/>
          <w:sz w:val="24"/>
          <w:szCs w:val="24"/>
        </w:rPr>
        <w:t xml:space="preserve">in the absence of </w:t>
      </w:r>
      <w:r w:rsidR="00A66E65">
        <w:rPr>
          <w:rFonts w:ascii="Times New Roman" w:hAnsi="Times New Roman" w:cs="Times New Roman"/>
          <w:sz w:val="24"/>
          <w:szCs w:val="24"/>
        </w:rPr>
        <w:t>a good explanation as to why the first respondent has failed</w:t>
      </w:r>
      <w:r w:rsidR="00121DD3">
        <w:rPr>
          <w:rFonts w:ascii="Times New Roman" w:hAnsi="Times New Roman" w:cs="Times New Roman"/>
          <w:sz w:val="24"/>
          <w:szCs w:val="24"/>
        </w:rPr>
        <w:t xml:space="preserve"> to use that money</w:t>
      </w:r>
      <w:r w:rsidR="00A66E65">
        <w:rPr>
          <w:rFonts w:ascii="Times New Roman" w:hAnsi="Times New Roman" w:cs="Times New Roman"/>
          <w:sz w:val="24"/>
          <w:szCs w:val="24"/>
        </w:rPr>
        <w:t xml:space="preserve"> from September 2014 to date</w:t>
      </w:r>
      <w:r w:rsidR="00121DD3">
        <w:rPr>
          <w:rFonts w:ascii="Times New Roman" w:hAnsi="Times New Roman" w:cs="Times New Roman"/>
          <w:sz w:val="24"/>
          <w:szCs w:val="24"/>
        </w:rPr>
        <w:t xml:space="preserve"> to set off the debt I cannot make a finding that the money was invested as a form of security.</w:t>
      </w:r>
    </w:p>
    <w:p w:rsidR="00121DD3" w:rsidRDefault="00121DD3" w:rsidP="00121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It appears to me that the bank’s intention was to have the investment account opened as security for the debt. However</w:t>
      </w:r>
      <w:r w:rsidR="00135A02">
        <w:rPr>
          <w:rFonts w:ascii="Times New Roman" w:hAnsi="Times New Roman" w:cs="Times New Roman"/>
          <w:sz w:val="24"/>
          <w:szCs w:val="24"/>
        </w:rPr>
        <w:t>,</w:t>
      </w:r>
      <w:r>
        <w:rPr>
          <w:rFonts w:ascii="Times New Roman" w:hAnsi="Times New Roman" w:cs="Times New Roman"/>
          <w:sz w:val="24"/>
          <w:szCs w:val="24"/>
        </w:rPr>
        <w:t xml:space="preserve"> </w:t>
      </w:r>
      <w:r w:rsidR="00401A78">
        <w:rPr>
          <w:rFonts w:ascii="Times New Roman" w:hAnsi="Times New Roman" w:cs="Times New Roman"/>
          <w:sz w:val="24"/>
          <w:szCs w:val="24"/>
        </w:rPr>
        <w:t>It took things for</w:t>
      </w:r>
      <w:r>
        <w:rPr>
          <w:rFonts w:ascii="Times New Roman" w:hAnsi="Times New Roman" w:cs="Times New Roman"/>
          <w:sz w:val="24"/>
          <w:szCs w:val="24"/>
        </w:rPr>
        <w:t xml:space="preserve"> granted that the guarantor’s claim would sail through</w:t>
      </w:r>
      <w:r w:rsidR="00051D1F">
        <w:rPr>
          <w:rFonts w:ascii="Times New Roman" w:hAnsi="Times New Roman" w:cs="Times New Roman"/>
          <w:sz w:val="24"/>
          <w:szCs w:val="24"/>
        </w:rPr>
        <w:t xml:space="preserve"> since the liquidator had made a</w:t>
      </w:r>
      <w:r>
        <w:rPr>
          <w:rFonts w:ascii="Times New Roman" w:hAnsi="Times New Roman" w:cs="Times New Roman"/>
          <w:sz w:val="24"/>
          <w:szCs w:val="24"/>
        </w:rPr>
        <w:t>n undertaking to pay the debt and had given an assurance that all was in order since no challenge had been made to the interim liquidation and distribution account. It also appears that the applicant’s liquidator was also of the same mind that the guarantor’s claim would sail through. Because of this</w:t>
      </w:r>
      <w:r w:rsidR="00E27A96">
        <w:rPr>
          <w:rFonts w:ascii="Times New Roman" w:hAnsi="Times New Roman" w:cs="Times New Roman"/>
          <w:sz w:val="24"/>
          <w:szCs w:val="24"/>
        </w:rPr>
        <w:t>,</w:t>
      </w:r>
      <w:r>
        <w:rPr>
          <w:rFonts w:ascii="Times New Roman" w:hAnsi="Times New Roman" w:cs="Times New Roman"/>
          <w:sz w:val="24"/>
          <w:szCs w:val="24"/>
        </w:rPr>
        <w:t xml:space="preserve"> the parties did not go into the fi</w:t>
      </w:r>
      <w:r w:rsidR="00401A78">
        <w:rPr>
          <w:rFonts w:ascii="Times New Roman" w:hAnsi="Times New Roman" w:cs="Times New Roman"/>
          <w:sz w:val="24"/>
          <w:szCs w:val="24"/>
        </w:rPr>
        <w:t>ner details of what w</w:t>
      </w:r>
      <w:r>
        <w:rPr>
          <w:rFonts w:ascii="Times New Roman" w:hAnsi="Times New Roman" w:cs="Times New Roman"/>
          <w:sz w:val="24"/>
          <w:szCs w:val="24"/>
        </w:rPr>
        <w:t xml:space="preserve">ould happen to the investment account should the guarantor’s claim fail. </w:t>
      </w:r>
      <w:r w:rsidR="00401A78">
        <w:rPr>
          <w:rFonts w:ascii="Times New Roman" w:hAnsi="Times New Roman" w:cs="Times New Roman"/>
          <w:sz w:val="24"/>
          <w:szCs w:val="24"/>
        </w:rPr>
        <w:t>The bank was not careful in its dealings with the applicant’s liquidator.</w:t>
      </w:r>
      <w:r>
        <w:rPr>
          <w:rFonts w:ascii="Times New Roman" w:hAnsi="Times New Roman" w:cs="Times New Roman"/>
          <w:sz w:val="24"/>
          <w:szCs w:val="24"/>
        </w:rPr>
        <w:t xml:space="preserve"> </w:t>
      </w:r>
    </w:p>
    <w:p w:rsidR="00D31B3A" w:rsidRDefault="00D31B3A" w:rsidP="00121DD3">
      <w:pPr>
        <w:spacing w:after="0" w:line="360" w:lineRule="auto"/>
        <w:jc w:val="both"/>
        <w:rPr>
          <w:rFonts w:ascii="Times New Roman" w:hAnsi="Times New Roman" w:cs="Times New Roman"/>
          <w:sz w:val="24"/>
          <w:szCs w:val="24"/>
        </w:rPr>
      </w:pPr>
    </w:p>
    <w:p w:rsidR="00121DD3" w:rsidRPr="005F7F2F" w:rsidRDefault="005F7F2F" w:rsidP="005F7F2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u w:val="single"/>
        </w:rPr>
        <w:lastRenderedPageBreak/>
        <w:t xml:space="preserve">(b) </w:t>
      </w:r>
      <w:r w:rsidR="00121DD3" w:rsidRPr="005F7F2F">
        <w:rPr>
          <w:rFonts w:ascii="Times New Roman" w:hAnsi="Times New Roman" w:cs="Times New Roman"/>
          <w:sz w:val="24"/>
          <w:szCs w:val="24"/>
          <w:u w:val="single"/>
        </w:rPr>
        <w:t>Whether or not the first respondent has a right to refuse to release the funds to the applicant</w:t>
      </w:r>
      <w:r w:rsidR="00121DD3" w:rsidRPr="005F7F2F">
        <w:rPr>
          <w:rFonts w:ascii="Times New Roman" w:hAnsi="Times New Roman" w:cs="Times New Roman"/>
          <w:sz w:val="24"/>
          <w:szCs w:val="24"/>
        </w:rPr>
        <w:t xml:space="preserve"> </w:t>
      </w:r>
    </w:p>
    <w:p w:rsidR="00D31B3A" w:rsidRPr="00D31B3A" w:rsidRDefault="00D31B3A" w:rsidP="00D31B3A">
      <w:pPr>
        <w:pStyle w:val="ListParagraph"/>
        <w:spacing w:after="0" w:line="360" w:lineRule="auto"/>
        <w:ind w:left="1080"/>
        <w:jc w:val="both"/>
        <w:rPr>
          <w:rFonts w:ascii="Times New Roman" w:hAnsi="Times New Roman" w:cs="Times New Roman"/>
          <w:sz w:val="24"/>
          <w:szCs w:val="24"/>
        </w:rPr>
      </w:pPr>
    </w:p>
    <w:p w:rsidR="00121DD3" w:rsidRDefault="000C5639" w:rsidP="00121DD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As already stated </w:t>
      </w:r>
      <w:r w:rsidR="00D31B3A">
        <w:rPr>
          <w:rFonts w:ascii="Times New Roman" w:hAnsi="Times New Roman" w:cs="Times New Roman"/>
          <w:sz w:val="24"/>
          <w:szCs w:val="24"/>
        </w:rPr>
        <w:t>above, the</w:t>
      </w:r>
      <w:r w:rsidR="00121DD3">
        <w:rPr>
          <w:rFonts w:ascii="Times New Roman" w:hAnsi="Times New Roman" w:cs="Times New Roman"/>
          <w:sz w:val="24"/>
          <w:szCs w:val="24"/>
        </w:rPr>
        <w:t xml:space="preserve"> parties did not</w:t>
      </w:r>
      <w:r>
        <w:rPr>
          <w:rFonts w:ascii="Times New Roman" w:hAnsi="Times New Roman" w:cs="Times New Roman"/>
          <w:sz w:val="24"/>
          <w:szCs w:val="24"/>
        </w:rPr>
        <w:t xml:space="preserve"> put it in black and white what</w:t>
      </w:r>
      <w:r w:rsidR="00121DD3">
        <w:rPr>
          <w:rFonts w:ascii="Times New Roman" w:hAnsi="Times New Roman" w:cs="Times New Roman"/>
          <w:sz w:val="24"/>
          <w:szCs w:val="24"/>
        </w:rPr>
        <w:t xml:space="preserve"> would </w:t>
      </w:r>
    </w:p>
    <w:p w:rsidR="00121DD3" w:rsidRDefault="00121DD3" w:rsidP="00121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happen if for some reason the guarantor’s claim did not sail through. They did not make it clear that the invested funds would be used to set off the debt. This explains why the first respondent continues to keep the applicant’s account running without being able to forfeit the money to set off the debt.  </w:t>
      </w:r>
    </w:p>
    <w:p w:rsidR="00121DD3" w:rsidRDefault="00121DD3" w:rsidP="00121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any case even if the parties had expressly agreed that the invested funds would be used as security for the purposes of settin</w:t>
      </w:r>
      <w:r w:rsidR="007A175C">
        <w:rPr>
          <w:rFonts w:ascii="Times New Roman" w:hAnsi="Times New Roman" w:cs="Times New Roman"/>
          <w:sz w:val="24"/>
          <w:szCs w:val="24"/>
        </w:rPr>
        <w:t xml:space="preserve">g off the debt in the event of </w:t>
      </w:r>
      <w:r>
        <w:rPr>
          <w:rFonts w:ascii="Times New Roman" w:hAnsi="Times New Roman" w:cs="Times New Roman"/>
          <w:sz w:val="24"/>
          <w:szCs w:val="24"/>
        </w:rPr>
        <w:t xml:space="preserve">default </w:t>
      </w:r>
      <w:r w:rsidR="007A175C">
        <w:rPr>
          <w:rFonts w:ascii="Times New Roman" w:hAnsi="Times New Roman" w:cs="Times New Roman"/>
          <w:sz w:val="24"/>
          <w:szCs w:val="24"/>
        </w:rPr>
        <w:t>of payment</w:t>
      </w:r>
      <w:r w:rsidR="000A69B2">
        <w:rPr>
          <w:rFonts w:ascii="Times New Roman" w:hAnsi="Times New Roman" w:cs="Times New Roman"/>
          <w:sz w:val="24"/>
          <w:szCs w:val="24"/>
        </w:rPr>
        <w:t>,</w:t>
      </w:r>
      <w:r w:rsidR="007A175C">
        <w:rPr>
          <w:rFonts w:ascii="Times New Roman" w:hAnsi="Times New Roman" w:cs="Times New Roman"/>
          <w:sz w:val="24"/>
          <w:szCs w:val="24"/>
        </w:rPr>
        <w:t xml:space="preserve"> </w:t>
      </w:r>
      <w:r>
        <w:rPr>
          <w:rFonts w:ascii="Times New Roman" w:hAnsi="Times New Roman" w:cs="Times New Roman"/>
          <w:sz w:val="24"/>
          <w:szCs w:val="24"/>
        </w:rPr>
        <w:t xml:space="preserve">that agreement would have been </w:t>
      </w:r>
      <w:r w:rsidR="000C5639">
        <w:rPr>
          <w:rFonts w:ascii="Times New Roman" w:hAnsi="Times New Roman" w:cs="Times New Roman"/>
          <w:sz w:val="24"/>
          <w:szCs w:val="24"/>
        </w:rPr>
        <w:t xml:space="preserve">null and </w:t>
      </w:r>
      <w:r>
        <w:rPr>
          <w:rFonts w:ascii="Times New Roman" w:hAnsi="Times New Roman" w:cs="Times New Roman"/>
          <w:sz w:val="24"/>
          <w:szCs w:val="24"/>
        </w:rPr>
        <w:t>void for it had been done without the leave of the court. The invested funds belong to a company which is under liquidation</w:t>
      </w:r>
      <w:r w:rsidR="007A175C">
        <w:rPr>
          <w:rFonts w:ascii="Times New Roman" w:hAnsi="Times New Roman" w:cs="Times New Roman"/>
          <w:sz w:val="24"/>
          <w:szCs w:val="24"/>
        </w:rPr>
        <w:t xml:space="preserve"> and this transaction was entered into when the applicant was already under liquidation</w:t>
      </w:r>
      <w:r>
        <w:rPr>
          <w:rFonts w:ascii="Times New Roman" w:hAnsi="Times New Roman" w:cs="Times New Roman"/>
          <w:sz w:val="24"/>
          <w:szCs w:val="24"/>
        </w:rPr>
        <w:t>. Section 213 of the Companies Act [</w:t>
      </w:r>
      <w:r>
        <w:rPr>
          <w:rFonts w:ascii="Times New Roman" w:hAnsi="Times New Roman" w:cs="Times New Roman"/>
          <w:i/>
          <w:sz w:val="24"/>
          <w:szCs w:val="24"/>
        </w:rPr>
        <w:t>Chapter 20:03</w:t>
      </w:r>
      <w:r>
        <w:rPr>
          <w:rFonts w:ascii="Times New Roman" w:hAnsi="Times New Roman" w:cs="Times New Roman"/>
          <w:sz w:val="24"/>
          <w:szCs w:val="24"/>
        </w:rPr>
        <w:t>] reads:</w:t>
      </w:r>
    </w:p>
    <w:p w:rsidR="001B223F" w:rsidRPr="00C56335" w:rsidRDefault="00121DD3" w:rsidP="004E5E1B">
      <w:pPr>
        <w:spacing w:after="0" w:line="240" w:lineRule="auto"/>
        <w:jc w:val="both"/>
        <w:rPr>
          <w:rFonts w:ascii="Times New Roman" w:hAnsi="Times New Roman" w:cs="Times New Roman"/>
        </w:rPr>
      </w:pPr>
      <w:r>
        <w:rPr>
          <w:rFonts w:ascii="Times New Roman" w:hAnsi="Times New Roman" w:cs="Times New Roman"/>
          <w:sz w:val="24"/>
          <w:szCs w:val="24"/>
        </w:rPr>
        <w:tab/>
      </w:r>
      <w:r w:rsidRPr="00C56335">
        <w:rPr>
          <w:rFonts w:ascii="Times New Roman" w:hAnsi="Times New Roman" w:cs="Times New Roman"/>
        </w:rPr>
        <w:t>“</w:t>
      </w:r>
      <w:r w:rsidR="001B223F" w:rsidRPr="00C56335">
        <w:rPr>
          <w:rFonts w:ascii="TimesNewRomanPSMT" w:hAnsi="TimesNewRomanPSMT" w:cs="TimesNewRomanPSMT"/>
        </w:rPr>
        <w:t>In a winding up by the court—</w:t>
      </w:r>
    </w:p>
    <w:p w:rsidR="001B223F" w:rsidRPr="00C56335" w:rsidRDefault="001B223F" w:rsidP="004E5E1B">
      <w:pPr>
        <w:autoSpaceDE w:val="0"/>
        <w:autoSpaceDN w:val="0"/>
        <w:adjustRightInd w:val="0"/>
        <w:spacing w:after="0" w:line="240" w:lineRule="auto"/>
        <w:ind w:firstLine="720"/>
        <w:jc w:val="both"/>
        <w:rPr>
          <w:rFonts w:ascii="TimesNewRomanPSMT" w:hAnsi="TimesNewRomanPSMT" w:cs="TimesNewRomanPSMT"/>
        </w:rPr>
      </w:pPr>
      <w:r w:rsidRPr="00C56335">
        <w:rPr>
          <w:rFonts w:ascii="TimesNewRomanPSMT" w:hAnsi="TimesNewRomanPSMT" w:cs="TimesNewRomanPSMT"/>
        </w:rPr>
        <w:t>(</w:t>
      </w:r>
      <w:r w:rsidRPr="00C56335">
        <w:rPr>
          <w:rFonts w:ascii="Times New Roman" w:hAnsi="Times New Roman" w:cs="Times New Roman"/>
          <w:iCs/>
        </w:rPr>
        <w:t>a</w:t>
      </w:r>
      <w:r w:rsidRPr="00C56335">
        <w:rPr>
          <w:rFonts w:ascii="TimesNewRomanPSMT" w:hAnsi="TimesNewRomanPSMT" w:cs="TimesNewRomanPSMT"/>
        </w:rPr>
        <w:t xml:space="preserve">) </w:t>
      </w:r>
      <w:r w:rsidR="007A175C" w:rsidRPr="00C56335">
        <w:rPr>
          <w:rFonts w:ascii="TimesNewRomanPSMT" w:hAnsi="TimesNewRomanPSMT" w:cs="TimesNewRomanPSMT"/>
        </w:rPr>
        <w:t>………..</w:t>
      </w:r>
    </w:p>
    <w:p w:rsidR="001B223F" w:rsidRPr="00C56335" w:rsidRDefault="001B223F" w:rsidP="00C56335">
      <w:pPr>
        <w:autoSpaceDE w:val="0"/>
        <w:autoSpaceDN w:val="0"/>
        <w:adjustRightInd w:val="0"/>
        <w:spacing w:after="0" w:line="240" w:lineRule="auto"/>
        <w:ind w:left="1080" w:hanging="360"/>
        <w:jc w:val="both"/>
        <w:rPr>
          <w:rFonts w:ascii="TimesNewRomanPSMT" w:hAnsi="TimesNewRomanPSMT" w:cs="TimesNewRomanPSMT"/>
        </w:rPr>
      </w:pPr>
      <w:r w:rsidRPr="00C56335">
        <w:rPr>
          <w:rFonts w:ascii="TimesNewRomanPSMT" w:hAnsi="TimesNewRomanPSMT" w:cs="TimesNewRomanPSMT"/>
        </w:rPr>
        <w:t>(</w:t>
      </w:r>
      <w:r w:rsidRPr="00C56335">
        <w:rPr>
          <w:rFonts w:ascii="Times New Roman" w:hAnsi="Times New Roman" w:cs="Times New Roman"/>
          <w:iCs/>
        </w:rPr>
        <w:t>b</w:t>
      </w:r>
      <w:r w:rsidRPr="00C56335">
        <w:rPr>
          <w:rFonts w:ascii="TimesNewRomanPSMT" w:hAnsi="TimesNewRomanPSMT" w:cs="TimesNewRomanPSMT"/>
        </w:rPr>
        <w:t>) any attachment or execution put in force against the assets of the company after the commencement of</w:t>
      </w:r>
      <w:r w:rsidR="004E5E1B" w:rsidRPr="00C56335">
        <w:rPr>
          <w:rFonts w:ascii="TimesNewRomanPSMT" w:hAnsi="TimesNewRomanPSMT" w:cs="TimesNewRomanPSMT"/>
        </w:rPr>
        <w:t xml:space="preserve"> </w:t>
      </w:r>
      <w:r w:rsidRPr="00C56335">
        <w:rPr>
          <w:rFonts w:ascii="TimesNewRomanPSMT" w:hAnsi="TimesNewRomanPSMT" w:cs="TimesNewRomanPSMT"/>
        </w:rPr>
        <w:t>the winding up shall be void;</w:t>
      </w:r>
    </w:p>
    <w:p w:rsidR="00121DD3" w:rsidRPr="00C56335" w:rsidRDefault="001B223F" w:rsidP="00C56335">
      <w:pPr>
        <w:autoSpaceDE w:val="0"/>
        <w:autoSpaceDN w:val="0"/>
        <w:adjustRightInd w:val="0"/>
        <w:spacing w:after="0" w:line="240" w:lineRule="auto"/>
        <w:ind w:left="1080" w:hanging="360"/>
        <w:jc w:val="both"/>
        <w:rPr>
          <w:rFonts w:ascii="TimesNewRomanPSMT" w:hAnsi="TimesNewRomanPSMT" w:cs="TimesNewRomanPSMT"/>
        </w:rPr>
      </w:pPr>
      <w:r w:rsidRPr="00C56335">
        <w:rPr>
          <w:rFonts w:ascii="TimesNewRomanPSMT" w:hAnsi="TimesNewRomanPSMT" w:cs="TimesNewRomanPSMT"/>
        </w:rPr>
        <w:t>(</w:t>
      </w:r>
      <w:r w:rsidRPr="00C56335">
        <w:rPr>
          <w:rFonts w:ascii="Times New Roman" w:hAnsi="Times New Roman" w:cs="Times New Roman"/>
          <w:iCs/>
        </w:rPr>
        <w:t>c</w:t>
      </w:r>
      <w:r w:rsidRPr="00C56335">
        <w:rPr>
          <w:rFonts w:ascii="TimesNewRomanPSMT" w:hAnsi="TimesNewRomanPSMT" w:cs="TimesNewRomanPSMT"/>
        </w:rPr>
        <w:t>) every disposition of the property, including rights of action, of the company and every transfer of shares</w:t>
      </w:r>
      <w:r w:rsidR="004E5E1B" w:rsidRPr="00C56335">
        <w:rPr>
          <w:rFonts w:ascii="TimesNewRomanPSMT" w:hAnsi="TimesNewRomanPSMT" w:cs="TimesNewRomanPSMT"/>
        </w:rPr>
        <w:t xml:space="preserve"> </w:t>
      </w:r>
      <w:r w:rsidRPr="00C56335">
        <w:rPr>
          <w:rFonts w:ascii="TimesNewRomanPSMT" w:hAnsi="TimesNewRomanPSMT" w:cs="TimesNewRomanPSMT"/>
        </w:rPr>
        <w:t>or alteration in the status of its members, made after the commencement of the winding up, shall, unless</w:t>
      </w:r>
      <w:r w:rsidR="004E5E1B" w:rsidRPr="00C56335">
        <w:rPr>
          <w:rFonts w:ascii="TimesNewRomanPSMT" w:hAnsi="TimesNewRomanPSMT" w:cs="TimesNewRomanPSMT"/>
        </w:rPr>
        <w:t xml:space="preserve"> </w:t>
      </w:r>
      <w:r w:rsidRPr="00C56335">
        <w:rPr>
          <w:rFonts w:ascii="TimesNewRomanPSMT" w:hAnsi="TimesNewRomanPSMT" w:cs="TimesNewRomanPSMT"/>
        </w:rPr>
        <w:t>the court otherwise orders, be void.</w:t>
      </w:r>
      <w:r w:rsidR="004E5E1B" w:rsidRPr="00C56335">
        <w:rPr>
          <w:rFonts w:ascii="TimesNewRomanPSMT" w:hAnsi="TimesNewRomanPSMT" w:cs="TimesNewRomanPSMT"/>
        </w:rPr>
        <w:t>”</w:t>
      </w:r>
    </w:p>
    <w:p w:rsidR="004E5E1B" w:rsidRPr="00C56335" w:rsidRDefault="004E5E1B" w:rsidP="004E5E1B">
      <w:pPr>
        <w:autoSpaceDE w:val="0"/>
        <w:autoSpaceDN w:val="0"/>
        <w:adjustRightInd w:val="0"/>
        <w:spacing w:after="0" w:line="240" w:lineRule="auto"/>
        <w:ind w:left="720"/>
        <w:rPr>
          <w:rFonts w:ascii="TimesNewRomanPSMT" w:hAnsi="TimesNewRomanPSMT" w:cs="TimesNewRomanPSMT"/>
        </w:rPr>
      </w:pPr>
    </w:p>
    <w:p w:rsidR="00121DD3" w:rsidRDefault="001B223F" w:rsidP="001B22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a company which is under liquidation </w:t>
      </w:r>
      <w:r w:rsidR="00E756D7">
        <w:rPr>
          <w:rFonts w:ascii="Times New Roman" w:hAnsi="Times New Roman" w:cs="Times New Roman"/>
          <w:sz w:val="24"/>
          <w:szCs w:val="24"/>
        </w:rPr>
        <w:t xml:space="preserve">any attachment or execution against its assets is void and </w:t>
      </w:r>
      <w:r>
        <w:rPr>
          <w:rFonts w:ascii="Times New Roman" w:hAnsi="Times New Roman" w:cs="Times New Roman"/>
          <w:sz w:val="24"/>
          <w:szCs w:val="24"/>
        </w:rPr>
        <w:t xml:space="preserve">the leave of the court is required for the disposal of its property. No such leave was obtained. The first respondent was even aware that the applicant was under liquidation. </w:t>
      </w:r>
      <w:r w:rsidR="00121DD3">
        <w:rPr>
          <w:rFonts w:ascii="Times New Roman" w:hAnsi="Times New Roman" w:cs="Times New Roman"/>
          <w:sz w:val="24"/>
          <w:szCs w:val="24"/>
        </w:rPr>
        <w:t>For the</w:t>
      </w:r>
      <w:r>
        <w:rPr>
          <w:rFonts w:ascii="Times New Roman" w:hAnsi="Times New Roman" w:cs="Times New Roman"/>
          <w:sz w:val="24"/>
          <w:szCs w:val="24"/>
        </w:rPr>
        <w:t>se</w:t>
      </w:r>
      <w:r w:rsidR="00121DD3">
        <w:rPr>
          <w:rFonts w:ascii="Times New Roman" w:hAnsi="Times New Roman" w:cs="Times New Roman"/>
          <w:sz w:val="24"/>
          <w:szCs w:val="24"/>
        </w:rPr>
        <w:t xml:space="preserve"> reasons the first respondent has no basis for refusing with the applicant’s money even if the debt by the guarantor has not been settled. The first respondent is not an approved creditor of the applicant. It did not lodge its claim through the Master of the High Court and the </w:t>
      </w:r>
      <w:r>
        <w:rPr>
          <w:rFonts w:ascii="Times New Roman" w:hAnsi="Times New Roman" w:cs="Times New Roman"/>
          <w:sz w:val="24"/>
          <w:szCs w:val="24"/>
        </w:rPr>
        <w:t xml:space="preserve">applicant’s </w:t>
      </w:r>
      <w:r w:rsidR="00121DD3">
        <w:rPr>
          <w:rFonts w:ascii="Times New Roman" w:hAnsi="Times New Roman" w:cs="Times New Roman"/>
          <w:sz w:val="24"/>
          <w:szCs w:val="24"/>
        </w:rPr>
        <w:t>liquidator.</w:t>
      </w:r>
    </w:p>
    <w:p w:rsidR="00121DD3" w:rsidRPr="00A26ADD" w:rsidRDefault="00121DD3" w:rsidP="00121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result the applicant’s application for the release of the invested funds is granted as prayed for in the draft order.     </w:t>
      </w:r>
    </w:p>
    <w:p w:rsidR="00DE3719" w:rsidRDefault="00121DD3" w:rsidP="009510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3187D">
        <w:rPr>
          <w:rFonts w:ascii="Times New Roman" w:hAnsi="Times New Roman" w:cs="Times New Roman"/>
          <w:sz w:val="24"/>
          <w:szCs w:val="24"/>
        </w:rPr>
        <w:t xml:space="preserve">        </w:t>
      </w:r>
    </w:p>
    <w:p w:rsidR="0047128B" w:rsidRDefault="0047128B" w:rsidP="0047128B">
      <w:pPr>
        <w:pStyle w:val="NoSpacing"/>
        <w:spacing w:line="360" w:lineRule="auto"/>
        <w:ind w:firstLine="720"/>
        <w:jc w:val="both"/>
        <w:rPr>
          <w:rFonts w:ascii="Times New Roman" w:hAnsi="Times New Roman" w:cs="Times New Roman"/>
          <w:sz w:val="24"/>
          <w:szCs w:val="24"/>
        </w:rPr>
      </w:pPr>
    </w:p>
    <w:p w:rsidR="0093750B" w:rsidRDefault="008540F9" w:rsidP="0093750B">
      <w:pPr>
        <w:pStyle w:val="NoSpacing"/>
        <w:jc w:val="both"/>
        <w:rPr>
          <w:rFonts w:ascii="Times New Roman" w:hAnsi="Times New Roman" w:cs="Times New Roman"/>
          <w:sz w:val="24"/>
          <w:szCs w:val="24"/>
        </w:rPr>
      </w:pPr>
      <w:r>
        <w:rPr>
          <w:rFonts w:ascii="Times New Roman" w:hAnsi="Times New Roman" w:cs="Times New Roman"/>
          <w:i/>
          <w:sz w:val="24"/>
          <w:szCs w:val="24"/>
        </w:rPr>
        <w:t>Henning Clock</w:t>
      </w:r>
      <w:r>
        <w:rPr>
          <w:rFonts w:ascii="Times New Roman" w:hAnsi="Times New Roman" w:cs="Times New Roman"/>
          <w:sz w:val="24"/>
          <w:szCs w:val="24"/>
        </w:rPr>
        <w:t>, applicant’</w:t>
      </w:r>
      <w:r w:rsidR="0093750B">
        <w:rPr>
          <w:rFonts w:ascii="Times New Roman" w:hAnsi="Times New Roman" w:cs="Times New Roman"/>
          <w:sz w:val="24"/>
          <w:szCs w:val="24"/>
        </w:rPr>
        <w:t>s legal practitioners</w:t>
      </w:r>
    </w:p>
    <w:p w:rsidR="0093750B" w:rsidRPr="0081501A" w:rsidRDefault="008540F9" w:rsidP="0093750B">
      <w:pPr>
        <w:pStyle w:val="NoSpacing"/>
        <w:jc w:val="both"/>
        <w:rPr>
          <w:rFonts w:ascii="Times New Roman" w:hAnsi="Times New Roman" w:cs="Times New Roman"/>
          <w:sz w:val="24"/>
          <w:szCs w:val="24"/>
        </w:rPr>
      </w:pPr>
      <w:r>
        <w:rPr>
          <w:rFonts w:ascii="Times New Roman" w:hAnsi="Times New Roman" w:cs="Times New Roman"/>
          <w:i/>
          <w:sz w:val="24"/>
          <w:szCs w:val="24"/>
        </w:rPr>
        <w:t>Sawyer and Mkushi</w:t>
      </w:r>
      <w:r>
        <w:rPr>
          <w:rFonts w:ascii="Times New Roman" w:hAnsi="Times New Roman" w:cs="Times New Roman"/>
          <w:sz w:val="24"/>
          <w:szCs w:val="24"/>
        </w:rPr>
        <w:t>, 1</w:t>
      </w:r>
      <w:r w:rsidRPr="008540F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w:t>
      </w:r>
      <w:r w:rsidR="0093750B">
        <w:rPr>
          <w:rFonts w:ascii="Times New Roman" w:hAnsi="Times New Roman" w:cs="Times New Roman"/>
          <w:sz w:val="24"/>
          <w:szCs w:val="24"/>
        </w:rPr>
        <w:t xml:space="preserve"> legal practitioners</w:t>
      </w:r>
    </w:p>
    <w:p w:rsidR="00277F93" w:rsidRPr="0081501A" w:rsidRDefault="00277F93" w:rsidP="0081501A">
      <w:pPr>
        <w:pStyle w:val="NoSpacing"/>
        <w:spacing w:line="360" w:lineRule="auto"/>
        <w:rPr>
          <w:rFonts w:ascii="Times New Roman" w:hAnsi="Times New Roman" w:cs="Times New Roman"/>
          <w:sz w:val="24"/>
          <w:szCs w:val="24"/>
        </w:rPr>
      </w:pPr>
    </w:p>
    <w:sectPr w:rsidR="00277F93" w:rsidRPr="0081501A">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05A" w:rsidRDefault="0042405A" w:rsidP="000C15D9">
      <w:pPr>
        <w:spacing w:after="0" w:line="240" w:lineRule="auto"/>
      </w:pPr>
      <w:r>
        <w:separator/>
      </w:r>
    </w:p>
  </w:endnote>
  <w:endnote w:type="continuationSeparator" w:id="0">
    <w:p w:rsidR="0042405A" w:rsidRDefault="0042405A" w:rsidP="000C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05A" w:rsidRDefault="0042405A" w:rsidP="000C15D9">
      <w:pPr>
        <w:spacing w:after="0" w:line="240" w:lineRule="auto"/>
      </w:pPr>
      <w:r>
        <w:separator/>
      </w:r>
    </w:p>
  </w:footnote>
  <w:footnote w:type="continuationSeparator" w:id="0">
    <w:p w:rsidR="0042405A" w:rsidRDefault="0042405A" w:rsidP="000C1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135957"/>
      <w:docPartObj>
        <w:docPartGallery w:val="Page Numbers (Top of Page)"/>
        <w:docPartUnique/>
      </w:docPartObj>
    </w:sdtPr>
    <w:sdtEndPr>
      <w:rPr>
        <w:noProof/>
      </w:rPr>
    </w:sdtEndPr>
    <w:sdtContent>
      <w:p w:rsidR="000B2D0B" w:rsidRDefault="000B2D0B">
        <w:pPr>
          <w:pStyle w:val="Header"/>
          <w:jc w:val="right"/>
          <w:rPr>
            <w:noProof/>
          </w:rPr>
        </w:pPr>
        <w:r>
          <w:fldChar w:fldCharType="begin"/>
        </w:r>
        <w:r>
          <w:instrText xml:space="preserve"> PAGE   \* MERGEFORMAT </w:instrText>
        </w:r>
        <w:r>
          <w:fldChar w:fldCharType="separate"/>
        </w:r>
        <w:r w:rsidR="00AC136F">
          <w:rPr>
            <w:noProof/>
          </w:rPr>
          <w:t>1</w:t>
        </w:r>
        <w:r>
          <w:rPr>
            <w:noProof/>
          </w:rPr>
          <w:fldChar w:fldCharType="end"/>
        </w:r>
      </w:p>
      <w:p w:rsidR="000B2D0B" w:rsidRDefault="000B2D0B">
        <w:pPr>
          <w:pStyle w:val="Header"/>
          <w:jc w:val="right"/>
          <w:rPr>
            <w:noProof/>
          </w:rPr>
        </w:pPr>
        <w:r>
          <w:rPr>
            <w:noProof/>
          </w:rPr>
          <w:t xml:space="preserve">HH </w:t>
        </w:r>
        <w:r w:rsidR="00BA0D10">
          <w:rPr>
            <w:noProof/>
          </w:rPr>
          <w:t>437-15</w:t>
        </w:r>
      </w:p>
      <w:p w:rsidR="000B2D0B" w:rsidRDefault="000B2D0B">
        <w:pPr>
          <w:pStyle w:val="Header"/>
          <w:jc w:val="right"/>
        </w:pPr>
        <w:r>
          <w:rPr>
            <w:noProof/>
          </w:rPr>
          <w:t>HC 10188/14</w:t>
        </w:r>
      </w:p>
    </w:sdtContent>
  </w:sdt>
  <w:p w:rsidR="000B2D0B" w:rsidRDefault="000B2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2EA9"/>
    <w:multiLevelType w:val="hybridMultilevel"/>
    <w:tmpl w:val="036ED878"/>
    <w:lvl w:ilvl="0" w:tplc="7818CF8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1545873"/>
    <w:multiLevelType w:val="hybridMultilevel"/>
    <w:tmpl w:val="CEE266D6"/>
    <w:lvl w:ilvl="0" w:tplc="007E60F4">
      <w:start w:val="1"/>
      <w:numFmt w:val="low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E5D2D8E"/>
    <w:multiLevelType w:val="hybridMultilevel"/>
    <w:tmpl w:val="3EB86780"/>
    <w:lvl w:ilvl="0" w:tplc="9D32FA8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51C7757F"/>
    <w:multiLevelType w:val="hybridMultilevel"/>
    <w:tmpl w:val="00E6E142"/>
    <w:lvl w:ilvl="0" w:tplc="F2B2222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6FF60F8F"/>
    <w:multiLevelType w:val="hybridMultilevel"/>
    <w:tmpl w:val="A6045D00"/>
    <w:lvl w:ilvl="0" w:tplc="966E87C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7E9143C8"/>
    <w:multiLevelType w:val="hybridMultilevel"/>
    <w:tmpl w:val="0C209262"/>
    <w:lvl w:ilvl="0" w:tplc="9F6EC31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DD"/>
    <w:rsid w:val="0000181F"/>
    <w:rsid w:val="00051D1F"/>
    <w:rsid w:val="0007189D"/>
    <w:rsid w:val="00086A64"/>
    <w:rsid w:val="00086AD6"/>
    <w:rsid w:val="000A30B1"/>
    <w:rsid w:val="000A69B2"/>
    <w:rsid w:val="000B004F"/>
    <w:rsid w:val="000B2CDA"/>
    <w:rsid w:val="000B2D0B"/>
    <w:rsid w:val="000B362C"/>
    <w:rsid w:val="000C15D9"/>
    <w:rsid w:val="000C5639"/>
    <w:rsid w:val="000E5F9B"/>
    <w:rsid w:val="000F12CF"/>
    <w:rsid w:val="00113D4D"/>
    <w:rsid w:val="00121DD3"/>
    <w:rsid w:val="00127F8F"/>
    <w:rsid w:val="00135A02"/>
    <w:rsid w:val="00143F33"/>
    <w:rsid w:val="00144401"/>
    <w:rsid w:val="001572D4"/>
    <w:rsid w:val="001644C7"/>
    <w:rsid w:val="0017185D"/>
    <w:rsid w:val="00175112"/>
    <w:rsid w:val="00181ED7"/>
    <w:rsid w:val="001828D3"/>
    <w:rsid w:val="001868F6"/>
    <w:rsid w:val="0019644B"/>
    <w:rsid w:val="001A2977"/>
    <w:rsid w:val="001A3956"/>
    <w:rsid w:val="001B223F"/>
    <w:rsid w:val="001B60F7"/>
    <w:rsid w:val="001C2963"/>
    <w:rsid w:val="001D40F9"/>
    <w:rsid w:val="001E380C"/>
    <w:rsid w:val="002019F1"/>
    <w:rsid w:val="00202307"/>
    <w:rsid w:val="00214659"/>
    <w:rsid w:val="00220CC0"/>
    <w:rsid w:val="00224C4B"/>
    <w:rsid w:val="002262A2"/>
    <w:rsid w:val="0023297D"/>
    <w:rsid w:val="00242B7B"/>
    <w:rsid w:val="00255CFD"/>
    <w:rsid w:val="00263600"/>
    <w:rsid w:val="00263E6E"/>
    <w:rsid w:val="00277F93"/>
    <w:rsid w:val="002B281A"/>
    <w:rsid w:val="002C0CC4"/>
    <w:rsid w:val="002C1CC2"/>
    <w:rsid w:val="002C5062"/>
    <w:rsid w:val="002C654A"/>
    <w:rsid w:val="002D134E"/>
    <w:rsid w:val="002D2E0E"/>
    <w:rsid w:val="0031050C"/>
    <w:rsid w:val="00311AA1"/>
    <w:rsid w:val="00312184"/>
    <w:rsid w:val="003526A6"/>
    <w:rsid w:val="00357BD7"/>
    <w:rsid w:val="00360673"/>
    <w:rsid w:val="00362769"/>
    <w:rsid w:val="00364919"/>
    <w:rsid w:val="003743F1"/>
    <w:rsid w:val="0038589D"/>
    <w:rsid w:val="00386E22"/>
    <w:rsid w:val="003910F1"/>
    <w:rsid w:val="00392835"/>
    <w:rsid w:val="00394786"/>
    <w:rsid w:val="003957AF"/>
    <w:rsid w:val="003A6501"/>
    <w:rsid w:val="003C4BF1"/>
    <w:rsid w:val="003C64B7"/>
    <w:rsid w:val="003D046D"/>
    <w:rsid w:val="003E6AD8"/>
    <w:rsid w:val="003E7347"/>
    <w:rsid w:val="003E7392"/>
    <w:rsid w:val="003E7640"/>
    <w:rsid w:val="003F38A9"/>
    <w:rsid w:val="00400CBE"/>
    <w:rsid w:val="00401A78"/>
    <w:rsid w:val="0040424D"/>
    <w:rsid w:val="00405B27"/>
    <w:rsid w:val="004066E4"/>
    <w:rsid w:val="00415A28"/>
    <w:rsid w:val="0042405A"/>
    <w:rsid w:val="004416FA"/>
    <w:rsid w:val="0045033C"/>
    <w:rsid w:val="00453E45"/>
    <w:rsid w:val="00462E7C"/>
    <w:rsid w:val="00465FDD"/>
    <w:rsid w:val="0047128B"/>
    <w:rsid w:val="00482E28"/>
    <w:rsid w:val="00483E88"/>
    <w:rsid w:val="00496FF4"/>
    <w:rsid w:val="004A4B37"/>
    <w:rsid w:val="004A7D8D"/>
    <w:rsid w:val="004D140C"/>
    <w:rsid w:val="004E42C8"/>
    <w:rsid w:val="004E5E1B"/>
    <w:rsid w:val="00533756"/>
    <w:rsid w:val="005373BD"/>
    <w:rsid w:val="00543149"/>
    <w:rsid w:val="005471DE"/>
    <w:rsid w:val="0054779D"/>
    <w:rsid w:val="00556494"/>
    <w:rsid w:val="00560A01"/>
    <w:rsid w:val="0056483C"/>
    <w:rsid w:val="0057030F"/>
    <w:rsid w:val="0057614C"/>
    <w:rsid w:val="005838A8"/>
    <w:rsid w:val="00594052"/>
    <w:rsid w:val="00595F02"/>
    <w:rsid w:val="005970B6"/>
    <w:rsid w:val="0059757D"/>
    <w:rsid w:val="005B17F2"/>
    <w:rsid w:val="005C3C4F"/>
    <w:rsid w:val="005D78C5"/>
    <w:rsid w:val="005E68AF"/>
    <w:rsid w:val="005F663D"/>
    <w:rsid w:val="005F7F2F"/>
    <w:rsid w:val="006167FB"/>
    <w:rsid w:val="00630256"/>
    <w:rsid w:val="00630923"/>
    <w:rsid w:val="006339AB"/>
    <w:rsid w:val="00637FBD"/>
    <w:rsid w:val="00640CD7"/>
    <w:rsid w:val="00653594"/>
    <w:rsid w:val="00657EC5"/>
    <w:rsid w:val="00667F49"/>
    <w:rsid w:val="006725F0"/>
    <w:rsid w:val="006A2EB2"/>
    <w:rsid w:val="006A6BEF"/>
    <w:rsid w:val="006A7F2E"/>
    <w:rsid w:val="006C6D1C"/>
    <w:rsid w:val="006D3EE9"/>
    <w:rsid w:val="006D429D"/>
    <w:rsid w:val="006E2ACC"/>
    <w:rsid w:val="006F7E00"/>
    <w:rsid w:val="00713143"/>
    <w:rsid w:val="0072512D"/>
    <w:rsid w:val="00740F5F"/>
    <w:rsid w:val="00744818"/>
    <w:rsid w:val="00745A0C"/>
    <w:rsid w:val="00746430"/>
    <w:rsid w:val="007465FB"/>
    <w:rsid w:val="00754493"/>
    <w:rsid w:val="0079729D"/>
    <w:rsid w:val="007A175C"/>
    <w:rsid w:val="007B0F47"/>
    <w:rsid w:val="007B3A6E"/>
    <w:rsid w:val="007E3A00"/>
    <w:rsid w:val="007F23EC"/>
    <w:rsid w:val="007F4837"/>
    <w:rsid w:val="007F5656"/>
    <w:rsid w:val="007F7B02"/>
    <w:rsid w:val="00810BA5"/>
    <w:rsid w:val="00812E33"/>
    <w:rsid w:val="0081501A"/>
    <w:rsid w:val="00821809"/>
    <w:rsid w:val="00837FAD"/>
    <w:rsid w:val="00850B43"/>
    <w:rsid w:val="00850DD0"/>
    <w:rsid w:val="008540F9"/>
    <w:rsid w:val="008609A8"/>
    <w:rsid w:val="0086307E"/>
    <w:rsid w:val="00865D50"/>
    <w:rsid w:val="00870169"/>
    <w:rsid w:val="00871D7F"/>
    <w:rsid w:val="008731C7"/>
    <w:rsid w:val="00897778"/>
    <w:rsid w:val="008A34A7"/>
    <w:rsid w:val="008A76F3"/>
    <w:rsid w:val="008A7CBC"/>
    <w:rsid w:val="008C31DA"/>
    <w:rsid w:val="008E170F"/>
    <w:rsid w:val="008F33DB"/>
    <w:rsid w:val="008F3A9D"/>
    <w:rsid w:val="008F5653"/>
    <w:rsid w:val="00900BD3"/>
    <w:rsid w:val="009147E9"/>
    <w:rsid w:val="0093750B"/>
    <w:rsid w:val="00942CD7"/>
    <w:rsid w:val="00944877"/>
    <w:rsid w:val="009510A4"/>
    <w:rsid w:val="00953ED5"/>
    <w:rsid w:val="00962660"/>
    <w:rsid w:val="0096338B"/>
    <w:rsid w:val="00976BF2"/>
    <w:rsid w:val="00987912"/>
    <w:rsid w:val="009B0A34"/>
    <w:rsid w:val="009C1439"/>
    <w:rsid w:val="009C2C0B"/>
    <w:rsid w:val="009D220B"/>
    <w:rsid w:val="009D63A7"/>
    <w:rsid w:val="009E64AB"/>
    <w:rsid w:val="009F0A57"/>
    <w:rsid w:val="009F0CEE"/>
    <w:rsid w:val="00A07F54"/>
    <w:rsid w:val="00A17B5A"/>
    <w:rsid w:val="00A23FB5"/>
    <w:rsid w:val="00A271E1"/>
    <w:rsid w:val="00A3018F"/>
    <w:rsid w:val="00A330E2"/>
    <w:rsid w:val="00A35779"/>
    <w:rsid w:val="00A35986"/>
    <w:rsid w:val="00A37671"/>
    <w:rsid w:val="00A41B90"/>
    <w:rsid w:val="00A6014E"/>
    <w:rsid w:val="00A61136"/>
    <w:rsid w:val="00A63A3E"/>
    <w:rsid w:val="00A66335"/>
    <w:rsid w:val="00A66E65"/>
    <w:rsid w:val="00A76467"/>
    <w:rsid w:val="00A7702B"/>
    <w:rsid w:val="00A77119"/>
    <w:rsid w:val="00A812D9"/>
    <w:rsid w:val="00A847D6"/>
    <w:rsid w:val="00A9147C"/>
    <w:rsid w:val="00A97BBC"/>
    <w:rsid w:val="00AA5314"/>
    <w:rsid w:val="00AB009F"/>
    <w:rsid w:val="00AC136F"/>
    <w:rsid w:val="00AD5FCC"/>
    <w:rsid w:val="00AD6FAA"/>
    <w:rsid w:val="00AE4968"/>
    <w:rsid w:val="00AF2B93"/>
    <w:rsid w:val="00AF32D5"/>
    <w:rsid w:val="00B0105E"/>
    <w:rsid w:val="00B05FB0"/>
    <w:rsid w:val="00B127A3"/>
    <w:rsid w:val="00B23420"/>
    <w:rsid w:val="00B239B6"/>
    <w:rsid w:val="00B448B1"/>
    <w:rsid w:val="00B5331C"/>
    <w:rsid w:val="00B54AC0"/>
    <w:rsid w:val="00B5526C"/>
    <w:rsid w:val="00B613EB"/>
    <w:rsid w:val="00B77316"/>
    <w:rsid w:val="00B8274E"/>
    <w:rsid w:val="00B86069"/>
    <w:rsid w:val="00B86D5D"/>
    <w:rsid w:val="00B90BBC"/>
    <w:rsid w:val="00BA0D10"/>
    <w:rsid w:val="00BA2DAD"/>
    <w:rsid w:val="00BA4A03"/>
    <w:rsid w:val="00BA523D"/>
    <w:rsid w:val="00BA5841"/>
    <w:rsid w:val="00BD0A6E"/>
    <w:rsid w:val="00BD159A"/>
    <w:rsid w:val="00BD6722"/>
    <w:rsid w:val="00BE086F"/>
    <w:rsid w:val="00BE732D"/>
    <w:rsid w:val="00BF3D8F"/>
    <w:rsid w:val="00C11361"/>
    <w:rsid w:val="00C12534"/>
    <w:rsid w:val="00C1688D"/>
    <w:rsid w:val="00C23AF7"/>
    <w:rsid w:val="00C34925"/>
    <w:rsid w:val="00C34C12"/>
    <w:rsid w:val="00C35A49"/>
    <w:rsid w:val="00C56335"/>
    <w:rsid w:val="00C655CC"/>
    <w:rsid w:val="00C66EBE"/>
    <w:rsid w:val="00C72295"/>
    <w:rsid w:val="00C75176"/>
    <w:rsid w:val="00C85422"/>
    <w:rsid w:val="00C9486A"/>
    <w:rsid w:val="00C95B5C"/>
    <w:rsid w:val="00CA1BE5"/>
    <w:rsid w:val="00CB6574"/>
    <w:rsid w:val="00CB743C"/>
    <w:rsid w:val="00CC5330"/>
    <w:rsid w:val="00CC760E"/>
    <w:rsid w:val="00CF0652"/>
    <w:rsid w:val="00D02030"/>
    <w:rsid w:val="00D12977"/>
    <w:rsid w:val="00D1797C"/>
    <w:rsid w:val="00D31B3A"/>
    <w:rsid w:val="00D3558D"/>
    <w:rsid w:val="00D752F8"/>
    <w:rsid w:val="00D77FD6"/>
    <w:rsid w:val="00D81D2B"/>
    <w:rsid w:val="00D9286C"/>
    <w:rsid w:val="00DA3507"/>
    <w:rsid w:val="00DB162D"/>
    <w:rsid w:val="00DC1BD8"/>
    <w:rsid w:val="00DC5983"/>
    <w:rsid w:val="00DC663F"/>
    <w:rsid w:val="00DD67EB"/>
    <w:rsid w:val="00DE3719"/>
    <w:rsid w:val="00DE38C2"/>
    <w:rsid w:val="00DF45F6"/>
    <w:rsid w:val="00E02CDA"/>
    <w:rsid w:val="00E052AE"/>
    <w:rsid w:val="00E102A9"/>
    <w:rsid w:val="00E2129F"/>
    <w:rsid w:val="00E23167"/>
    <w:rsid w:val="00E27A96"/>
    <w:rsid w:val="00E4253D"/>
    <w:rsid w:val="00E43F53"/>
    <w:rsid w:val="00E55FA5"/>
    <w:rsid w:val="00E61923"/>
    <w:rsid w:val="00E65253"/>
    <w:rsid w:val="00E756D7"/>
    <w:rsid w:val="00E81803"/>
    <w:rsid w:val="00E911DE"/>
    <w:rsid w:val="00EA4E34"/>
    <w:rsid w:val="00EB65D3"/>
    <w:rsid w:val="00EC33B4"/>
    <w:rsid w:val="00ED17C8"/>
    <w:rsid w:val="00ED1A9F"/>
    <w:rsid w:val="00EE412F"/>
    <w:rsid w:val="00EE55F4"/>
    <w:rsid w:val="00EF3149"/>
    <w:rsid w:val="00F25025"/>
    <w:rsid w:val="00F32020"/>
    <w:rsid w:val="00F36F07"/>
    <w:rsid w:val="00F37E9A"/>
    <w:rsid w:val="00F42B76"/>
    <w:rsid w:val="00F6275A"/>
    <w:rsid w:val="00F65E1D"/>
    <w:rsid w:val="00F7172E"/>
    <w:rsid w:val="00F90EF5"/>
    <w:rsid w:val="00FA2335"/>
    <w:rsid w:val="00FE7D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CC"/>
  </w:style>
  <w:style w:type="paragraph" w:styleId="Heading1">
    <w:name w:val="heading 1"/>
    <w:basedOn w:val="Normal"/>
    <w:next w:val="Normal"/>
    <w:link w:val="Heading1Char"/>
    <w:uiPriority w:val="9"/>
    <w:qFormat/>
    <w:rsid w:val="00C655C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55C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55C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55C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55C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55C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55C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55C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55C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655CC"/>
    <w:pPr>
      <w:spacing w:after="0" w:line="240" w:lineRule="auto"/>
    </w:pPr>
  </w:style>
  <w:style w:type="paragraph" w:styleId="Header">
    <w:name w:val="header"/>
    <w:basedOn w:val="Normal"/>
    <w:link w:val="HeaderChar"/>
    <w:uiPriority w:val="99"/>
    <w:unhideWhenUsed/>
    <w:rsid w:val="000C1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5D9"/>
  </w:style>
  <w:style w:type="paragraph" w:styleId="Footer">
    <w:name w:val="footer"/>
    <w:basedOn w:val="Normal"/>
    <w:link w:val="FooterChar"/>
    <w:uiPriority w:val="99"/>
    <w:unhideWhenUsed/>
    <w:rsid w:val="000C1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5D9"/>
  </w:style>
  <w:style w:type="character" w:customStyle="1" w:styleId="Heading1Char">
    <w:name w:val="Heading 1 Char"/>
    <w:basedOn w:val="DefaultParagraphFont"/>
    <w:link w:val="Heading1"/>
    <w:uiPriority w:val="9"/>
    <w:rsid w:val="00C655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55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55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55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55C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55C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55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55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55C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55C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55C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55C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655CC"/>
    <w:rPr>
      <w:rFonts w:asciiTheme="majorHAnsi" w:eastAsiaTheme="majorEastAsia" w:hAnsiTheme="majorHAnsi" w:cstheme="majorBidi"/>
      <w:i/>
      <w:iCs/>
      <w:spacing w:val="13"/>
      <w:sz w:val="24"/>
      <w:szCs w:val="24"/>
    </w:rPr>
  </w:style>
  <w:style w:type="character" w:styleId="Strong">
    <w:name w:val="Strong"/>
    <w:uiPriority w:val="22"/>
    <w:qFormat/>
    <w:rsid w:val="00C655CC"/>
    <w:rPr>
      <w:b/>
      <w:bCs/>
    </w:rPr>
  </w:style>
  <w:style w:type="character" w:styleId="Emphasis">
    <w:name w:val="Emphasis"/>
    <w:uiPriority w:val="20"/>
    <w:qFormat/>
    <w:rsid w:val="00C655CC"/>
    <w:rPr>
      <w:b/>
      <w:bCs/>
      <w:i/>
      <w:iCs/>
      <w:spacing w:val="10"/>
      <w:bdr w:val="none" w:sz="0" w:space="0" w:color="auto"/>
      <w:shd w:val="clear" w:color="auto" w:fill="auto"/>
    </w:rPr>
  </w:style>
  <w:style w:type="paragraph" w:styleId="ListParagraph">
    <w:name w:val="List Paragraph"/>
    <w:basedOn w:val="Normal"/>
    <w:uiPriority w:val="34"/>
    <w:qFormat/>
    <w:rsid w:val="00C655CC"/>
    <w:pPr>
      <w:ind w:left="720"/>
      <w:contextualSpacing/>
    </w:pPr>
  </w:style>
  <w:style w:type="paragraph" w:styleId="Quote">
    <w:name w:val="Quote"/>
    <w:basedOn w:val="Normal"/>
    <w:next w:val="Normal"/>
    <w:link w:val="QuoteChar"/>
    <w:uiPriority w:val="29"/>
    <w:qFormat/>
    <w:rsid w:val="00C655CC"/>
    <w:pPr>
      <w:spacing w:before="200" w:after="0"/>
      <w:ind w:left="360" w:right="360"/>
    </w:pPr>
    <w:rPr>
      <w:i/>
      <w:iCs/>
    </w:rPr>
  </w:style>
  <w:style w:type="character" w:customStyle="1" w:styleId="QuoteChar">
    <w:name w:val="Quote Char"/>
    <w:basedOn w:val="DefaultParagraphFont"/>
    <w:link w:val="Quote"/>
    <w:uiPriority w:val="29"/>
    <w:rsid w:val="00C655CC"/>
    <w:rPr>
      <w:i/>
      <w:iCs/>
    </w:rPr>
  </w:style>
  <w:style w:type="paragraph" w:styleId="IntenseQuote">
    <w:name w:val="Intense Quote"/>
    <w:basedOn w:val="Normal"/>
    <w:next w:val="Normal"/>
    <w:link w:val="IntenseQuoteChar"/>
    <w:uiPriority w:val="30"/>
    <w:qFormat/>
    <w:rsid w:val="00C655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55CC"/>
    <w:rPr>
      <w:b/>
      <w:bCs/>
      <w:i/>
      <w:iCs/>
    </w:rPr>
  </w:style>
  <w:style w:type="character" w:styleId="SubtleEmphasis">
    <w:name w:val="Subtle Emphasis"/>
    <w:uiPriority w:val="19"/>
    <w:qFormat/>
    <w:rsid w:val="00C655CC"/>
    <w:rPr>
      <w:i/>
      <w:iCs/>
    </w:rPr>
  </w:style>
  <w:style w:type="character" w:styleId="IntenseEmphasis">
    <w:name w:val="Intense Emphasis"/>
    <w:uiPriority w:val="21"/>
    <w:qFormat/>
    <w:rsid w:val="00C655CC"/>
    <w:rPr>
      <w:b/>
      <w:bCs/>
    </w:rPr>
  </w:style>
  <w:style w:type="character" w:styleId="SubtleReference">
    <w:name w:val="Subtle Reference"/>
    <w:uiPriority w:val="31"/>
    <w:qFormat/>
    <w:rsid w:val="00C655CC"/>
    <w:rPr>
      <w:smallCaps/>
    </w:rPr>
  </w:style>
  <w:style w:type="character" w:styleId="IntenseReference">
    <w:name w:val="Intense Reference"/>
    <w:uiPriority w:val="32"/>
    <w:qFormat/>
    <w:rsid w:val="00C655CC"/>
    <w:rPr>
      <w:smallCaps/>
      <w:spacing w:val="5"/>
      <w:u w:val="single"/>
    </w:rPr>
  </w:style>
  <w:style w:type="character" w:styleId="BookTitle">
    <w:name w:val="Book Title"/>
    <w:uiPriority w:val="33"/>
    <w:qFormat/>
    <w:rsid w:val="00C655CC"/>
    <w:rPr>
      <w:i/>
      <w:iCs/>
      <w:smallCaps/>
      <w:spacing w:val="5"/>
    </w:rPr>
  </w:style>
  <w:style w:type="paragraph" w:styleId="TOCHeading">
    <w:name w:val="TOC Heading"/>
    <w:basedOn w:val="Heading1"/>
    <w:next w:val="Normal"/>
    <w:uiPriority w:val="39"/>
    <w:semiHidden/>
    <w:unhideWhenUsed/>
    <w:qFormat/>
    <w:rsid w:val="00C655CC"/>
    <w:pPr>
      <w:outlineLvl w:val="9"/>
    </w:pPr>
    <w:rPr>
      <w:lang w:bidi="en-US"/>
    </w:rPr>
  </w:style>
  <w:style w:type="paragraph" w:styleId="BalloonText">
    <w:name w:val="Balloon Text"/>
    <w:basedOn w:val="Normal"/>
    <w:link w:val="BalloonTextChar"/>
    <w:uiPriority w:val="99"/>
    <w:semiHidden/>
    <w:unhideWhenUsed/>
    <w:rsid w:val="00812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E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CC"/>
  </w:style>
  <w:style w:type="paragraph" w:styleId="Heading1">
    <w:name w:val="heading 1"/>
    <w:basedOn w:val="Normal"/>
    <w:next w:val="Normal"/>
    <w:link w:val="Heading1Char"/>
    <w:uiPriority w:val="9"/>
    <w:qFormat/>
    <w:rsid w:val="00C655C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55C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55C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55C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55C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55C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55C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55C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55C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655CC"/>
    <w:pPr>
      <w:spacing w:after="0" w:line="240" w:lineRule="auto"/>
    </w:pPr>
  </w:style>
  <w:style w:type="paragraph" w:styleId="Header">
    <w:name w:val="header"/>
    <w:basedOn w:val="Normal"/>
    <w:link w:val="HeaderChar"/>
    <w:uiPriority w:val="99"/>
    <w:unhideWhenUsed/>
    <w:rsid w:val="000C1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5D9"/>
  </w:style>
  <w:style w:type="paragraph" w:styleId="Footer">
    <w:name w:val="footer"/>
    <w:basedOn w:val="Normal"/>
    <w:link w:val="FooterChar"/>
    <w:uiPriority w:val="99"/>
    <w:unhideWhenUsed/>
    <w:rsid w:val="000C1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5D9"/>
  </w:style>
  <w:style w:type="character" w:customStyle="1" w:styleId="Heading1Char">
    <w:name w:val="Heading 1 Char"/>
    <w:basedOn w:val="DefaultParagraphFont"/>
    <w:link w:val="Heading1"/>
    <w:uiPriority w:val="9"/>
    <w:rsid w:val="00C655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55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55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55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55C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55C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55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55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55C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55C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55C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55C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655CC"/>
    <w:rPr>
      <w:rFonts w:asciiTheme="majorHAnsi" w:eastAsiaTheme="majorEastAsia" w:hAnsiTheme="majorHAnsi" w:cstheme="majorBidi"/>
      <w:i/>
      <w:iCs/>
      <w:spacing w:val="13"/>
      <w:sz w:val="24"/>
      <w:szCs w:val="24"/>
    </w:rPr>
  </w:style>
  <w:style w:type="character" w:styleId="Strong">
    <w:name w:val="Strong"/>
    <w:uiPriority w:val="22"/>
    <w:qFormat/>
    <w:rsid w:val="00C655CC"/>
    <w:rPr>
      <w:b/>
      <w:bCs/>
    </w:rPr>
  </w:style>
  <w:style w:type="character" w:styleId="Emphasis">
    <w:name w:val="Emphasis"/>
    <w:uiPriority w:val="20"/>
    <w:qFormat/>
    <w:rsid w:val="00C655CC"/>
    <w:rPr>
      <w:b/>
      <w:bCs/>
      <w:i/>
      <w:iCs/>
      <w:spacing w:val="10"/>
      <w:bdr w:val="none" w:sz="0" w:space="0" w:color="auto"/>
      <w:shd w:val="clear" w:color="auto" w:fill="auto"/>
    </w:rPr>
  </w:style>
  <w:style w:type="paragraph" w:styleId="ListParagraph">
    <w:name w:val="List Paragraph"/>
    <w:basedOn w:val="Normal"/>
    <w:uiPriority w:val="34"/>
    <w:qFormat/>
    <w:rsid w:val="00C655CC"/>
    <w:pPr>
      <w:ind w:left="720"/>
      <w:contextualSpacing/>
    </w:pPr>
  </w:style>
  <w:style w:type="paragraph" w:styleId="Quote">
    <w:name w:val="Quote"/>
    <w:basedOn w:val="Normal"/>
    <w:next w:val="Normal"/>
    <w:link w:val="QuoteChar"/>
    <w:uiPriority w:val="29"/>
    <w:qFormat/>
    <w:rsid w:val="00C655CC"/>
    <w:pPr>
      <w:spacing w:before="200" w:after="0"/>
      <w:ind w:left="360" w:right="360"/>
    </w:pPr>
    <w:rPr>
      <w:i/>
      <w:iCs/>
    </w:rPr>
  </w:style>
  <w:style w:type="character" w:customStyle="1" w:styleId="QuoteChar">
    <w:name w:val="Quote Char"/>
    <w:basedOn w:val="DefaultParagraphFont"/>
    <w:link w:val="Quote"/>
    <w:uiPriority w:val="29"/>
    <w:rsid w:val="00C655CC"/>
    <w:rPr>
      <w:i/>
      <w:iCs/>
    </w:rPr>
  </w:style>
  <w:style w:type="paragraph" w:styleId="IntenseQuote">
    <w:name w:val="Intense Quote"/>
    <w:basedOn w:val="Normal"/>
    <w:next w:val="Normal"/>
    <w:link w:val="IntenseQuoteChar"/>
    <w:uiPriority w:val="30"/>
    <w:qFormat/>
    <w:rsid w:val="00C655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55CC"/>
    <w:rPr>
      <w:b/>
      <w:bCs/>
      <w:i/>
      <w:iCs/>
    </w:rPr>
  </w:style>
  <w:style w:type="character" w:styleId="SubtleEmphasis">
    <w:name w:val="Subtle Emphasis"/>
    <w:uiPriority w:val="19"/>
    <w:qFormat/>
    <w:rsid w:val="00C655CC"/>
    <w:rPr>
      <w:i/>
      <w:iCs/>
    </w:rPr>
  </w:style>
  <w:style w:type="character" w:styleId="IntenseEmphasis">
    <w:name w:val="Intense Emphasis"/>
    <w:uiPriority w:val="21"/>
    <w:qFormat/>
    <w:rsid w:val="00C655CC"/>
    <w:rPr>
      <w:b/>
      <w:bCs/>
    </w:rPr>
  </w:style>
  <w:style w:type="character" w:styleId="SubtleReference">
    <w:name w:val="Subtle Reference"/>
    <w:uiPriority w:val="31"/>
    <w:qFormat/>
    <w:rsid w:val="00C655CC"/>
    <w:rPr>
      <w:smallCaps/>
    </w:rPr>
  </w:style>
  <w:style w:type="character" w:styleId="IntenseReference">
    <w:name w:val="Intense Reference"/>
    <w:uiPriority w:val="32"/>
    <w:qFormat/>
    <w:rsid w:val="00C655CC"/>
    <w:rPr>
      <w:smallCaps/>
      <w:spacing w:val="5"/>
      <w:u w:val="single"/>
    </w:rPr>
  </w:style>
  <w:style w:type="character" w:styleId="BookTitle">
    <w:name w:val="Book Title"/>
    <w:uiPriority w:val="33"/>
    <w:qFormat/>
    <w:rsid w:val="00C655CC"/>
    <w:rPr>
      <w:i/>
      <w:iCs/>
      <w:smallCaps/>
      <w:spacing w:val="5"/>
    </w:rPr>
  </w:style>
  <w:style w:type="paragraph" w:styleId="TOCHeading">
    <w:name w:val="TOC Heading"/>
    <w:basedOn w:val="Heading1"/>
    <w:next w:val="Normal"/>
    <w:uiPriority w:val="39"/>
    <w:semiHidden/>
    <w:unhideWhenUsed/>
    <w:qFormat/>
    <w:rsid w:val="00C655CC"/>
    <w:pPr>
      <w:outlineLvl w:val="9"/>
    </w:pPr>
    <w:rPr>
      <w:lang w:bidi="en-US"/>
    </w:rPr>
  </w:style>
  <w:style w:type="paragraph" w:styleId="BalloonText">
    <w:name w:val="Balloon Text"/>
    <w:basedOn w:val="Normal"/>
    <w:link w:val="BalloonTextChar"/>
    <w:uiPriority w:val="99"/>
    <w:semiHidden/>
    <w:unhideWhenUsed/>
    <w:rsid w:val="00812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389F2-AA8B-4BCE-BCFC-D8053ADB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3368</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2015-05-12T12:29:00Z</cp:lastPrinted>
  <dcterms:created xsi:type="dcterms:W3CDTF">2015-05-15T07:25:00Z</dcterms:created>
  <dcterms:modified xsi:type="dcterms:W3CDTF">2015-05-15T07:25:00Z</dcterms:modified>
</cp:coreProperties>
</file>