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94F67" w:rsidRPr="00F41FBF" w:rsidRDefault="00F41FBF" w:rsidP="003715CE">
      <w:pPr>
        <w:spacing w:after="0" w:line="240" w:lineRule="auto"/>
        <w:jc w:val="both"/>
        <w:rPr>
          <w:rFonts w:ascii="Times New Roman" w:hAnsi="Times New Roman" w:cs="Times New Roman"/>
          <w:sz w:val="24"/>
          <w:szCs w:val="24"/>
        </w:rPr>
      </w:pPr>
      <w:bookmarkStart w:id="0" w:name="_GoBack"/>
      <w:bookmarkEnd w:id="0"/>
      <w:r w:rsidRPr="00F41FBF">
        <w:rPr>
          <w:rFonts w:ascii="Times New Roman" w:hAnsi="Times New Roman" w:cs="Times New Roman"/>
          <w:sz w:val="24"/>
          <w:szCs w:val="24"/>
        </w:rPr>
        <w:t>K</w:t>
      </w:r>
      <w:r w:rsidR="00042361">
        <w:rPr>
          <w:rFonts w:ascii="Times New Roman" w:hAnsi="Times New Roman" w:cs="Times New Roman"/>
          <w:sz w:val="24"/>
          <w:szCs w:val="24"/>
        </w:rPr>
        <w:t>H</w:t>
      </w:r>
      <w:r w:rsidRPr="00F41FBF">
        <w:rPr>
          <w:rFonts w:ascii="Times New Roman" w:hAnsi="Times New Roman" w:cs="Times New Roman"/>
          <w:sz w:val="24"/>
          <w:szCs w:val="24"/>
        </w:rPr>
        <w:t xml:space="preserve">M SOCIETE ANONYME </w:t>
      </w:r>
    </w:p>
    <w:p w:rsidR="00F41FBF" w:rsidRPr="00F41FBF" w:rsidRDefault="00F41FBF" w:rsidP="003715CE">
      <w:pPr>
        <w:spacing w:after="0" w:line="240" w:lineRule="auto"/>
        <w:jc w:val="both"/>
        <w:rPr>
          <w:rFonts w:ascii="Times New Roman" w:hAnsi="Times New Roman" w:cs="Times New Roman"/>
          <w:sz w:val="24"/>
          <w:szCs w:val="24"/>
        </w:rPr>
      </w:pPr>
      <w:proofErr w:type="gramStart"/>
      <w:r w:rsidRPr="00F41FBF">
        <w:rPr>
          <w:rFonts w:ascii="Times New Roman" w:hAnsi="Times New Roman" w:cs="Times New Roman"/>
          <w:sz w:val="24"/>
          <w:szCs w:val="24"/>
        </w:rPr>
        <w:t>versus</w:t>
      </w:r>
      <w:proofErr w:type="gramEnd"/>
    </w:p>
    <w:p w:rsidR="00F41FBF" w:rsidRDefault="00B045F6" w:rsidP="00371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G MOBILE (PVT) LTD </w:t>
      </w:r>
    </w:p>
    <w:p w:rsidR="00B045F6" w:rsidRDefault="00B045F6" w:rsidP="003715C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045F6" w:rsidRDefault="00B045F6" w:rsidP="00371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MUNYARADZI GWATIDZO</w:t>
      </w:r>
    </w:p>
    <w:p w:rsidR="00B045F6" w:rsidRDefault="00B045F6" w:rsidP="003715CE">
      <w:pPr>
        <w:spacing w:after="0" w:line="240" w:lineRule="auto"/>
        <w:jc w:val="both"/>
        <w:rPr>
          <w:rFonts w:ascii="Times New Roman" w:hAnsi="Times New Roman" w:cs="Times New Roman"/>
          <w:sz w:val="24"/>
          <w:szCs w:val="24"/>
        </w:rPr>
      </w:pPr>
      <w:proofErr w:type="gramStart"/>
      <w:r>
        <w:rPr>
          <w:rFonts w:ascii="Times New Roman" w:hAnsi="Times New Roman" w:cs="Times New Roman"/>
          <w:sz w:val="24"/>
          <w:szCs w:val="24"/>
        </w:rPr>
        <w:t>and</w:t>
      </w:r>
      <w:proofErr w:type="gramEnd"/>
    </w:p>
    <w:p w:rsidR="00B045F6" w:rsidRDefault="00B045F6" w:rsidP="00371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CHAMUNORWA SHUMBA</w:t>
      </w:r>
    </w:p>
    <w:p w:rsidR="00B045F6" w:rsidRDefault="00B045F6" w:rsidP="003715CE">
      <w:pPr>
        <w:spacing w:after="0" w:line="240" w:lineRule="auto"/>
        <w:jc w:val="both"/>
        <w:rPr>
          <w:rFonts w:ascii="Times New Roman" w:hAnsi="Times New Roman" w:cs="Times New Roman"/>
          <w:sz w:val="24"/>
          <w:szCs w:val="24"/>
        </w:rPr>
      </w:pPr>
    </w:p>
    <w:p w:rsidR="00B045F6" w:rsidRDefault="00B045F6" w:rsidP="003715CE">
      <w:pPr>
        <w:spacing w:after="0" w:line="240" w:lineRule="auto"/>
        <w:jc w:val="both"/>
        <w:rPr>
          <w:rFonts w:ascii="Times New Roman" w:hAnsi="Times New Roman" w:cs="Times New Roman"/>
          <w:sz w:val="24"/>
          <w:szCs w:val="24"/>
        </w:rPr>
      </w:pPr>
    </w:p>
    <w:p w:rsidR="00B045F6" w:rsidRDefault="00B045F6" w:rsidP="003715CE">
      <w:pPr>
        <w:spacing w:after="0" w:line="240" w:lineRule="auto"/>
        <w:jc w:val="both"/>
        <w:rPr>
          <w:rFonts w:ascii="Times New Roman" w:hAnsi="Times New Roman" w:cs="Times New Roman"/>
          <w:sz w:val="24"/>
          <w:szCs w:val="24"/>
        </w:rPr>
      </w:pPr>
    </w:p>
    <w:p w:rsidR="00B045F6" w:rsidRDefault="00B045F6" w:rsidP="00371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HIGH COURT OF ZIMBABWE </w:t>
      </w:r>
    </w:p>
    <w:p w:rsidR="00B045F6" w:rsidRDefault="00B045F6" w:rsidP="00371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MATHONSI J</w:t>
      </w:r>
    </w:p>
    <w:p w:rsidR="00B045F6" w:rsidRDefault="00B045F6" w:rsidP="00371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HARARE, 30 September 2015 and 7 October 2015</w:t>
      </w:r>
    </w:p>
    <w:p w:rsidR="00B045F6" w:rsidRDefault="00B045F6" w:rsidP="003715CE">
      <w:pPr>
        <w:spacing w:after="0" w:line="240" w:lineRule="auto"/>
        <w:jc w:val="both"/>
        <w:rPr>
          <w:rFonts w:ascii="Times New Roman" w:hAnsi="Times New Roman" w:cs="Times New Roman"/>
          <w:sz w:val="24"/>
          <w:szCs w:val="24"/>
        </w:rPr>
      </w:pPr>
    </w:p>
    <w:p w:rsidR="00B045F6" w:rsidRDefault="00B045F6" w:rsidP="003715CE">
      <w:pPr>
        <w:spacing w:after="0" w:line="240" w:lineRule="auto"/>
        <w:jc w:val="both"/>
        <w:rPr>
          <w:rFonts w:ascii="Times New Roman" w:hAnsi="Times New Roman" w:cs="Times New Roman"/>
          <w:sz w:val="24"/>
          <w:szCs w:val="24"/>
        </w:rPr>
      </w:pPr>
    </w:p>
    <w:p w:rsidR="00B045F6" w:rsidRDefault="00B045F6" w:rsidP="003715CE">
      <w:pPr>
        <w:spacing w:after="0" w:line="240" w:lineRule="auto"/>
        <w:jc w:val="both"/>
        <w:rPr>
          <w:rFonts w:ascii="Times New Roman" w:hAnsi="Times New Roman" w:cs="Times New Roman"/>
          <w:sz w:val="24"/>
          <w:szCs w:val="24"/>
        </w:rPr>
      </w:pPr>
    </w:p>
    <w:p w:rsidR="00B045F6" w:rsidRDefault="00B045F6" w:rsidP="003715CE">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Civil Trial</w:t>
      </w:r>
    </w:p>
    <w:p w:rsidR="00B045F6" w:rsidRDefault="00B045F6" w:rsidP="003715CE">
      <w:pPr>
        <w:spacing w:after="0" w:line="240" w:lineRule="auto"/>
        <w:jc w:val="both"/>
        <w:rPr>
          <w:rFonts w:ascii="Times New Roman" w:hAnsi="Times New Roman" w:cs="Times New Roman"/>
          <w:b/>
          <w:sz w:val="24"/>
          <w:szCs w:val="24"/>
        </w:rPr>
      </w:pPr>
    </w:p>
    <w:p w:rsidR="00B045F6" w:rsidRDefault="00B045F6" w:rsidP="003715CE">
      <w:pPr>
        <w:spacing w:after="0" w:line="240" w:lineRule="auto"/>
        <w:jc w:val="both"/>
        <w:rPr>
          <w:rFonts w:ascii="Times New Roman" w:hAnsi="Times New Roman" w:cs="Times New Roman"/>
          <w:b/>
          <w:sz w:val="24"/>
          <w:szCs w:val="24"/>
        </w:rPr>
      </w:pPr>
    </w:p>
    <w:p w:rsidR="00B045F6" w:rsidRDefault="00B045F6" w:rsidP="003715CE">
      <w:pPr>
        <w:spacing w:after="0" w:line="240" w:lineRule="auto"/>
        <w:jc w:val="both"/>
        <w:rPr>
          <w:rFonts w:ascii="Times New Roman" w:hAnsi="Times New Roman" w:cs="Times New Roman"/>
          <w:b/>
          <w:sz w:val="24"/>
          <w:szCs w:val="24"/>
        </w:rPr>
      </w:pPr>
    </w:p>
    <w:p w:rsidR="00B045F6" w:rsidRDefault="00B045F6" w:rsidP="003715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T </w:t>
      </w:r>
      <w:proofErr w:type="spellStart"/>
      <w:r>
        <w:rPr>
          <w:rFonts w:ascii="Times New Roman" w:hAnsi="Times New Roman" w:cs="Times New Roman"/>
          <w:i/>
          <w:sz w:val="24"/>
          <w:szCs w:val="24"/>
        </w:rPr>
        <w:t>Magwaliba</w:t>
      </w:r>
      <w:proofErr w:type="spellEnd"/>
      <w:r>
        <w:rPr>
          <w:rFonts w:ascii="Times New Roman" w:hAnsi="Times New Roman" w:cs="Times New Roman"/>
          <w:sz w:val="24"/>
          <w:szCs w:val="24"/>
        </w:rPr>
        <w:t>, for the plaintiff</w:t>
      </w:r>
    </w:p>
    <w:p w:rsidR="00FD6416" w:rsidRDefault="00FD6416" w:rsidP="003715CE">
      <w:pPr>
        <w:spacing w:after="0" w:line="240" w:lineRule="auto"/>
        <w:jc w:val="both"/>
        <w:rPr>
          <w:rFonts w:ascii="Times New Roman" w:hAnsi="Times New Roman" w:cs="Times New Roman"/>
          <w:sz w:val="24"/>
          <w:szCs w:val="24"/>
        </w:rPr>
      </w:pPr>
      <w:r>
        <w:rPr>
          <w:rFonts w:ascii="Times New Roman" w:hAnsi="Times New Roman" w:cs="Times New Roman"/>
          <w:sz w:val="24"/>
          <w:szCs w:val="24"/>
        </w:rPr>
        <w:t>First and Second defendants in default</w:t>
      </w:r>
    </w:p>
    <w:p w:rsidR="00B045F6" w:rsidRDefault="00FD6416" w:rsidP="003715CE">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S </w:t>
      </w:r>
      <w:proofErr w:type="spellStart"/>
      <w:r>
        <w:rPr>
          <w:rFonts w:ascii="Times New Roman" w:hAnsi="Times New Roman" w:cs="Times New Roman"/>
          <w:i/>
          <w:sz w:val="24"/>
          <w:szCs w:val="24"/>
        </w:rPr>
        <w:t>Hashiti</w:t>
      </w:r>
      <w:proofErr w:type="spellEnd"/>
      <w:r>
        <w:rPr>
          <w:rFonts w:ascii="Times New Roman" w:hAnsi="Times New Roman" w:cs="Times New Roman"/>
          <w:sz w:val="24"/>
          <w:szCs w:val="24"/>
        </w:rPr>
        <w:t>, for the 3</w:t>
      </w:r>
      <w:r w:rsidRPr="00FD6416">
        <w:rPr>
          <w:rFonts w:ascii="Times New Roman" w:hAnsi="Times New Roman" w:cs="Times New Roman"/>
          <w:sz w:val="24"/>
          <w:szCs w:val="24"/>
          <w:vertAlign w:val="superscript"/>
        </w:rPr>
        <w:t>rd</w:t>
      </w:r>
      <w:r>
        <w:rPr>
          <w:rFonts w:ascii="Times New Roman" w:hAnsi="Times New Roman" w:cs="Times New Roman"/>
          <w:sz w:val="24"/>
          <w:szCs w:val="24"/>
        </w:rPr>
        <w:t xml:space="preserve"> defendant</w:t>
      </w:r>
    </w:p>
    <w:p w:rsidR="00021F0D" w:rsidRDefault="00021F0D" w:rsidP="003715CE">
      <w:pPr>
        <w:spacing w:after="0" w:line="240" w:lineRule="auto"/>
        <w:jc w:val="both"/>
        <w:rPr>
          <w:rFonts w:ascii="Times New Roman" w:hAnsi="Times New Roman" w:cs="Times New Roman"/>
          <w:sz w:val="24"/>
          <w:szCs w:val="24"/>
        </w:rPr>
      </w:pPr>
    </w:p>
    <w:p w:rsidR="00021F0D" w:rsidRDefault="00021F0D" w:rsidP="00021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MATHONSI J: This is a legal battle between the plaintiff, a company incorporated in terms of the laws of the British Virgin Islands, and the third defendant</w:t>
      </w:r>
      <w:r w:rsidR="002E4353">
        <w:rPr>
          <w:rFonts w:ascii="Times New Roman" w:hAnsi="Times New Roman" w:cs="Times New Roman"/>
          <w:sz w:val="24"/>
          <w:szCs w:val="24"/>
        </w:rPr>
        <w:t xml:space="preserve"> who is s</w:t>
      </w:r>
      <w:r w:rsidR="00521F15">
        <w:rPr>
          <w:rFonts w:ascii="Times New Roman" w:hAnsi="Times New Roman" w:cs="Times New Roman"/>
          <w:sz w:val="24"/>
          <w:szCs w:val="24"/>
        </w:rPr>
        <w:t>ued</w:t>
      </w:r>
      <w:r w:rsidR="002E4353">
        <w:rPr>
          <w:rFonts w:ascii="Times New Roman" w:hAnsi="Times New Roman" w:cs="Times New Roman"/>
          <w:sz w:val="24"/>
          <w:szCs w:val="24"/>
        </w:rPr>
        <w:t xml:space="preserve"> as surety and co-principal debtor he </w:t>
      </w:r>
      <w:r w:rsidR="00527D94">
        <w:rPr>
          <w:rFonts w:ascii="Times New Roman" w:hAnsi="Times New Roman" w:cs="Times New Roman"/>
          <w:sz w:val="24"/>
          <w:szCs w:val="24"/>
        </w:rPr>
        <w:t>having</w:t>
      </w:r>
      <w:r w:rsidR="002E4353">
        <w:rPr>
          <w:rFonts w:ascii="Times New Roman" w:hAnsi="Times New Roman" w:cs="Times New Roman"/>
          <w:sz w:val="24"/>
          <w:szCs w:val="24"/>
        </w:rPr>
        <w:t xml:space="preserve"> signed a deed of </w:t>
      </w:r>
      <w:proofErr w:type="spellStart"/>
      <w:r w:rsidR="002E4353">
        <w:rPr>
          <w:rFonts w:ascii="Times New Roman" w:hAnsi="Times New Roman" w:cs="Times New Roman"/>
          <w:sz w:val="24"/>
          <w:szCs w:val="24"/>
        </w:rPr>
        <w:t>suretyship</w:t>
      </w:r>
      <w:proofErr w:type="spellEnd"/>
      <w:r w:rsidR="002E4353">
        <w:rPr>
          <w:rFonts w:ascii="Times New Roman" w:hAnsi="Times New Roman" w:cs="Times New Roman"/>
          <w:sz w:val="24"/>
          <w:szCs w:val="24"/>
        </w:rPr>
        <w:t xml:space="preserve"> on 28 July 2010</w:t>
      </w:r>
      <w:r w:rsidR="00521F15">
        <w:rPr>
          <w:rFonts w:ascii="Times New Roman" w:hAnsi="Times New Roman" w:cs="Times New Roman"/>
          <w:sz w:val="24"/>
          <w:szCs w:val="24"/>
        </w:rPr>
        <w:t xml:space="preserve"> </w:t>
      </w:r>
      <w:r w:rsidR="002E4353">
        <w:rPr>
          <w:rFonts w:ascii="Times New Roman" w:hAnsi="Times New Roman" w:cs="Times New Roman"/>
          <w:sz w:val="24"/>
          <w:szCs w:val="24"/>
        </w:rPr>
        <w:t xml:space="preserve">interposing himself as such for the </w:t>
      </w:r>
      <w:r w:rsidR="00527D94">
        <w:rPr>
          <w:rFonts w:ascii="Times New Roman" w:hAnsi="Times New Roman" w:cs="Times New Roman"/>
          <w:sz w:val="24"/>
          <w:szCs w:val="24"/>
        </w:rPr>
        <w:t>due and punctual payment of all amounts due by the first defendant in terms of a loan facility availed to the first defendant by the plaintiff. The first and second defendants have long capitulated by signing a deed of settlement on 31 March 2011 as a result of which a judgment was entered against them in favour of the plaintiff on 21 October 2011 in the sum of</w:t>
      </w:r>
      <w:r w:rsidR="00521F15">
        <w:rPr>
          <w:rFonts w:ascii="Times New Roman" w:hAnsi="Times New Roman" w:cs="Times New Roman"/>
          <w:sz w:val="24"/>
          <w:szCs w:val="24"/>
        </w:rPr>
        <w:t xml:space="preserve"> $214 793-82 plus interest of 5</w:t>
      </w:r>
      <w:r w:rsidR="00527D94">
        <w:rPr>
          <w:rFonts w:ascii="Times New Roman" w:hAnsi="Times New Roman" w:cs="Times New Roman"/>
          <w:sz w:val="24"/>
          <w:szCs w:val="24"/>
        </w:rPr>
        <w:t xml:space="preserve"> per cent per annum and costs of suit.</w:t>
      </w:r>
    </w:p>
    <w:p w:rsidR="00527D94" w:rsidRDefault="00527D94" w:rsidP="00021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plaintiff has pleaded that the first defendant borrowed from it the sum of </w:t>
      </w:r>
    </w:p>
    <w:p w:rsidR="00DF4A8E" w:rsidRDefault="00527D94" w:rsidP="00021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$260 000-00</w:t>
      </w:r>
      <w:r w:rsidR="00521F15">
        <w:rPr>
          <w:rFonts w:ascii="Times New Roman" w:hAnsi="Times New Roman" w:cs="Times New Roman"/>
          <w:sz w:val="24"/>
          <w:szCs w:val="24"/>
        </w:rPr>
        <w:t xml:space="preserve"> </w:t>
      </w:r>
      <w:r>
        <w:rPr>
          <w:rFonts w:ascii="Times New Roman" w:hAnsi="Times New Roman" w:cs="Times New Roman"/>
          <w:sz w:val="24"/>
          <w:szCs w:val="24"/>
        </w:rPr>
        <w:t xml:space="preserve">on or about 28 July 2010 on certain terms and conditions contained in a loan agreement signed on behalf of the first defendant at Harare on 28 July 2010 and on behalf of the plaintiff at Johannesburg South Africa on 29 July 2010. Further, that the second and third defendants bound themselves as sureties and co-principal debtors aforesaid by virtue of deeds of </w:t>
      </w:r>
      <w:proofErr w:type="spellStart"/>
      <w:r w:rsidR="00521F15">
        <w:rPr>
          <w:rFonts w:ascii="Times New Roman" w:hAnsi="Times New Roman" w:cs="Times New Roman"/>
          <w:sz w:val="24"/>
          <w:szCs w:val="24"/>
        </w:rPr>
        <w:t>suretyship</w:t>
      </w:r>
      <w:proofErr w:type="spellEnd"/>
      <w:r w:rsidR="00DF4A8E">
        <w:rPr>
          <w:rFonts w:ascii="Times New Roman" w:hAnsi="Times New Roman" w:cs="Times New Roman"/>
          <w:sz w:val="24"/>
          <w:szCs w:val="24"/>
        </w:rPr>
        <w:t xml:space="preserve"> signed on 28 July 2010.</w:t>
      </w:r>
    </w:p>
    <w:p w:rsidR="00753053" w:rsidRDefault="00DF4A8E" w:rsidP="00021F0D">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In terms </w:t>
      </w:r>
      <w:r w:rsidR="004D7233">
        <w:rPr>
          <w:rFonts w:ascii="Times New Roman" w:hAnsi="Times New Roman" w:cs="Times New Roman"/>
          <w:sz w:val="24"/>
          <w:szCs w:val="24"/>
        </w:rPr>
        <w:t>of</w:t>
      </w:r>
      <w:r>
        <w:rPr>
          <w:rFonts w:ascii="Times New Roman" w:hAnsi="Times New Roman" w:cs="Times New Roman"/>
          <w:sz w:val="24"/>
          <w:szCs w:val="24"/>
        </w:rPr>
        <w:t xml:space="preserve"> clause 3 of the deed of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the third defendant renounced the benefits of </w:t>
      </w:r>
      <w:proofErr w:type="spellStart"/>
      <w:r>
        <w:rPr>
          <w:rFonts w:ascii="Times New Roman" w:hAnsi="Times New Roman" w:cs="Times New Roman"/>
          <w:sz w:val="24"/>
          <w:szCs w:val="24"/>
        </w:rPr>
        <w:t>excussion</w:t>
      </w:r>
      <w:proofErr w:type="spellEnd"/>
      <w:r>
        <w:rPr>
          <w:rFonts w:ascii="Times New Roman" w:hAnsi="Times New Roman" w:cs="Times New Roman"/>
          <w:sz w:val="24"/>
          <w:szCs w:val="24"/>
        </w:rPr>
        <w:t xml:space="preserve"> and division, </w:t>
      </w:r>
      <w:r>
        <w:rPr>
          <w:rFonts w:ascii="Times New Roman" w:hAnsi="Times New Roman" w:cs="Times New Roman"/>
          <w:i/>
          <w:sz w:val="24"/>
          <w:szCs w:val="24"/>
        </w:rPr>
        <w:t xml:space="preserve">non </w:t>
      </w:r>
      <w:proofErr w:type="spellStart"/>
      <w:r>
        <w:rPr>
          <w:rFonts w:ascii="Times New Roman" w:hAnsi="Times New Roman" w:cs="Times New Roman"/>
          <w:i/>
          <w:sz w:val="24"/>
          <w:szCs w:val="24"/>
        </w:rPr>
        <w:t>causa</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debiti</w:t>
      </w:r>
      <w:proofErr w:type="spellEnd"/>
      <w:r>
        <w:rPr>
          <w:rFonts w:ascii="Times New Roman" w:hAnsi="Times New Roman" w:cs="Times New Roman"/>
          <w:i/>
          <w:sz w:val="24"/>
          <w:szCs w:val="24"/>
        </w:rPr>
        <w:t xml:space="preserve">, non </w:t>
      </w:r>
      <w:proofErr w:type="spellStart"/>
      <w:r>
        <w:rPr>
          <w:rFonts w:ascii="Times New Roman" w:hAnsi="Times New Roman" w:cs="Times New Roman"/>
          <w:i/>
          <w:sz w:val="24"/>
          <w:szCs w:val="24"/>
        </w:rPr>
        <w:t>numeratae</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pecuniae</w:t>
      </w:r>
      <w:proofErr w:type="spellEnd"/>
      <w:r w:rsidRPr="00DF4A8E">
        <w:rPr>
          <w:rFonts w:ascii="Times New Roman" w:hAnsi="Times New Roman" w:cs="Times New Roman"/>
          <w:sz w:val="24"/>
          <w:szCs w:val="24"/>
        </w:rPr>
        <w:t>,</w:t>
      </w:r>
      <w:r w:rsidR="00527D94">
        <w:rPr>
          <w:rFonts w:ascii="Times New Roman" w:hAnsi="Times New Roman" w:cs="Times New Roman"/>
          <w:sz w:val="24"/>
          <w:szCs w:val="24"/>
        </w:rPr>
        <w:t xml:space="preserve"> </w:t>
      </w:r>
      <w:r>
        <w:rPr>
          <w:rFonts w:ascii="Times New Roman" w:hAnsi="Times New Roman" w:cs="Times New Roman"/>
          <w:sz w:val="24"/>
          <w:szCs w:val="24"/>
        </w:rPr>
        <w:t xml:space="preserve">no value received, </w:t>
      </w:r>
      <w:proofErr w:type="spellStart"/>
      <w:r w:rsidRPr="00DF4A8E">
        <w:rPr>
          <w:rFonts w:ascii="Times New Roman" w:hAnsi="Times New Roman" w:cs="Times New Roman"/>
          <w:i/>
          <w:sz w:val="24"/>
          <w:szCs w:val="24"/>
        </w:rPr>
        <w:t>errore</w:t>
      </w:r>
      <w:proofErr w:type="spellEnd"/>
      <w:r w:rsidR="00521F15">
        <w:rPr>
          <w:rFonts w:ascii="Times New Roman" w:hAnsi="Times New Roman" w:cs="Times New Roman"/>
          <w:i/>
          <w:sz w:val="24"/>
          <w:szCs w:val="24"/>
        </w:rPr>
        <w:t xml:space="preserve"> calcu</w:t>
      </w:r>
      <w:r w:rsidRPr="00DF4A8E">
        <w:rPr>
          <w:rFonts w:ascii="Times New Roman" w:hAnsi="Times New Roman" w:cs="Times New Roman"/>
          <w:i/>
          <w:sz w:val="24"/>
          <w:szCs w:val="24"/>
        </w:rPr>
        <w:t>li</w:t>
      </w:r>
      <w:r w:rsidR="00521F15">
        <w:rPr>
          <w:rFonts w:ascii="Times New Roman" w:hAnsi="Times New Roman" w:cs="Times New Roman"/>
          <w:sz w:val="24"/>
          <w:szCs w:val="24"/>
        </w:rPr>
        <w:t xml:space="preserve">, </w:t>
      </w:r>
      <w:r>
        <w:rPr>
          <w:rFonts w:ascii="Times New Roman" w:hAnsi="Times New Roman" w:cs="Times New Roman"/>
          <w:sz w:val="24"/>
          <w:szCs w:val="24"/>
        </w:rPr>
        <w:t xml:space="preserve">revision of accounts and other exceptions. In terms of clause 4 he </w:t>
      </w:r>
      <w:r>
        <w:rPr>
          <w:rFonts w:ascii="Times New Roman" w:hAnsi="Times New Roman" w:cs="Times New Roman"/>
          <w:sz w:val="24"/>
          <w:szCs w:val="24"/>
        </w:rPr>
        <w:lastRenderedPageBreak/>
        <w:t xml:space="preserve">agreed that the plaintiff was entitled </w:t>
      </w:r>
      <w:r>
        <w:rPr>
          <w:rFonts w:ascii="Times New Roman" w:hAnsi="Times New Roman" w:cs="Times New Roman"/>
          <w:i/>
          <w:sz w:val="24"/>
          <w:szCs w:val="24"/>
        </w:rPr>
        <w:t>inter alia</w:t>
      </w:r>
      <w:r>
        <w:rPr>
          <w:rFonts w:ascii="Times New Roman" w:hAnsi="Times New Roman" w:cs="Times New Roman"/>
          <w:sz w:val="24"/>
          <w:szCs w:val="24"/>
        </w:rPr>
        <w:t xml:space="preserve">, to compound or compromise or make such other arrangements with the first and second defendants as it may deem fit. Clause 6 then provides: </w:t>
      </w:r>
      <w:r w:rsidR="00527D94">
        <w:rPr>
          <w:rFonts w:ascii="Times New Roman" w:hAnsi="Times New Roman" w:cs="Times New Roman"/>
          <w:sz w:val="24"/>
          <w:szCs w:val="24"/>
        </w:rPr>
        <w:t xml:space="preserve"> </w:t>
      </w:r>
    </w:p>
    <w:p w:rsidR="000B5F4C" w:rsidRDefault="00753053" w:rsidP="003B7DDE">
      <w:pPr>
        <w:spacing w:after="0" w:line="240" w:lineRule="auto"/>
        <w:ind w:left="720"/>
        <w:jc w:val="both"/>
        <w:rPr>
          <w:rFonts w:ascii="Times New Roman" w:hAnsi="Times New Roman" w:cs="Times New Roman"/>
        </w:rPr>
      </w:pPr>
      <w:r w:rsidRPr="00753053">
        <w:rPr>
          <w:rFonts w:ascii="Times New Roman" w:hAnsi="Times New Roman" w:cs="Times New Roman"/>
        </w:rPr>
        <w:t>“</w:t>
      </w:r>
      <w:r>
        <w:rPr>
          <w:rFonts w:ascii="Times New Roman" w:hAnsi="Times New Roman" w:cs="Times New Roman"/>
        </w:rPr>
        <w:t>I declare that all admissions and acknowledgments of indebtedness by G-Mobile (Private) L</w:t>
      </w:r>
      <w:r w:rsidR="000579BF">
        <w:rPr>
          <w:rFonts w:ascii="Times New Roman" w:hAnsi="Times New Roman" w:cs="Times New Roman"/>
        </w:rPr>
        <w:t>imited</w:t>
      </w:r>
      <w:r>
        <w:rPr>
          <w:rFonts w:ascii="Times New Roman" w:hAnsi="Times New Roman" w:cs="Times New Roman"/>
        </w:rPr>
        <w:t xml:space="preserve"> shall be binding on me and that in the event that the liquidation, insolvency, judicial management or assignment of G-Mobile (Private</w:t>
      </w:r>
      <w:r w:rsidR="000579BF">
        <w:rPr>
          <w:rFonts w:ascii="Times New Roman" w:hAnsi="Times New Roman" w:cs="Times New Roman"/>
        </w:rPr>
        <w:t xml:space="preserve">) </w:t>
      </w:r>
      <w:r>
        <w:rPr>
          <w:rFonts w:ascii="Times New Roman" w:hAnsi="Times New Roman" w:cs="Times New Roman"/>
        </w:rPr>
        <w:t xml:space="preserve">Limited or </w:t>
      </w:r>
      <w:r w:rsidR="00521F15">
        <w:rPr>
          <w:rFonts w:ascii="Times New Roman" w:hAnsi="Times New Roman" w:cs="Times New Roman"/>
        </w:rPr>
        <w:t>any</w:t>
      </w:r>
      <w:r>
        <w:rPr>
          <w:rFonts w:ascii="Times New Roman" w:hAnsi="Times New Roman" w:cs="Times New Roman"/>
        </w:rPr>
        <w:t xml:space="preserve"> other co-surety or co-principal debtor, the Lender shall not be compelled to prove any claim against the estate thereof, and that no dividends or payments which t</w:t>
      </w:r>
      <w:r w:rsidR="000579BF">
        <w:rPr>
          <w:rFonts w:ascii="Times New Roman" w:hAnsi="Times New Roman" w:cs="Times New Roman"/>
        </w:rPr>
        <w:t>he Lender may receive from such estate shall prejudice its rights to recover from me to the full extent provided in this Deed any amount which after the receipt of such dividends or payments may remain owing to the Lender under the Loan Facility. I also declare that I shall not lodge any claim against the estate of G-Mobile (Private) Limited in the event of its insolvency in the event that the lender decides to lo</w:t>
      </w:r>
      <w:r w:rsidR="00521F15">
        <w:rPr>
          <w:rFonts w:ascii="Times New Roman" w:hAnsi="Times New Roman" w:cs="Times New Roman"/>
        </w:rPr>
        <w:t>d</w:t>
      </w:r>
      <w:r w:rsidR="000579BF">
        <w:rPr>
          <w:rFonts w:ascii="Times New Roman" w:hAnsi="Times New Roman" w:cs="Times New Roman"/>
        </w:rPr>
        <w:t xml:space="preserve">ge a claim against such estate.” </w:t>
      </w:r>
    </w:p>
    <w:p w:rsidR="000B5F4C" w:rsidRDefault="000B5F4C" w:rsidP="000B5F4C">
      <w:pPr>
        <w:spacing w:after="0" w:line="240" w:lineRule="auto"/>
        <w:jc w:val="both"/>
        <w:rPr>
          <w:rFonts w:ascii="Times New Roman" w:hAnsi="Times New Roman" w:cs="Times New Roman"/>
        </w:rPr>
      </w:pPr>
    </w:p>
    <w:p w:rsidR="00BC60DE" w:rsidRPr="00F71E04" w:rsidRDefault="000B5F4C" w:rsidP="000B5F4C">
      <w:pPr>
        <w:spacing w:after="0" w:line="360" w:lineRule="auto"/>
        <w:jc w:val="both"/>
        <w:rPr>
          <w:rFonts w:ascii="Times New Roman" w:hAnsi="Times New Roman" w:cs="Times New Roman"/>
          <w:sz w:val="24"/>
          <w:szCs w:val="24"/>
        </w:rPr>
      </w:pPr>
      <w:r>
        <w:rPr>
          <w:rFonts w:ascii="Times New Roman" w:hAnsi="Times New Roman" w:cs="Times New Roman"/>
        </w:rPr>
        <w:tab/>
      </w:r>
      <w:r w:rsidR="00BC60DE" w:rsidRPr="00F71E04">
        <w:rPr>
          <w:rFonts w:ascii="Times New Roman" w:hAnsi="Times New Roman" w:cs="Times New Roman"/>
          <w:sz w:val="24"/>
          <w:szCs w:val="24"/>
        </w:rPr>
        <w:t xml:space="preserve">Clause 7 provides that the provisions of the Deed shall remain in full force and effect until all current and future obligations by </w:t>
      </w:r>
      <w:r w:rsidR="00521F15">
        <w:rPr>
          <w:rFonts w:ascii="Times New Roman" w:hAnsi="Times New Roman" w:cs="Times New Roman"/>
          <w:sz w:val="24"/>
          <w:szCs w:val="24"/>
        </w:rPr>
        <w:t xml:space="preserve">the </w:t>
      </w:r>
      <w:r w:rsidR="00BC60DE" w:rsidRPr="00F71E04">
        <w:rPr>
          <w:rFonts w:ascii="Times New Roman" w:hAnsi="Times New Roman" w:cs="Times New Roman"/>
          <w:sz w:val="24"/>
          <w:szCs w:val="24"/>
        </w:rPr>
        <w:t>first defendant to the plaintiff have been fulfilled and that the third defendant can only be released earlier by a written release signed by the plaintiff.</w:t>
      </w:r>
    </w:p>
    <w:p w:rsidR="00F71E04" w:rsidRPr="00F71E04" w:rsidRDefault="00BC60DE" w:rsidP="000B5F4C">
      <w:pPr>
        <w:spacing w:after="0" w:line="360" w:lineRule="auto"/>
        <w:jc w:val="both"/>
        <w:rPr>
          <w:rFonts w:ascii="Times New Roman" w:hAnsi="Times New Roman" w:cs="Times New Roman"/>
          <w:sz w:val="24"/>
          <w:szCs w:val="24"/>
        </w:rPr>
      </w:pPr>
      <w:r w:rsidRPr="00F71E04">
        <w:rPr>
          <w:rFonts w:ascii="Times New Roman" w:hAnsi="Times New Roman" w:cs="Times New Roman"/>
          <w:sz w:val="24"/>
          <w:szCs w:val="24"/>
        </w:rPr>
        <w:tab/>
        <w:t>The plaintiff averred that the first defendant defaulted on its obligations in terms of the loan agreement as a result of which all the defendants were given notice to pay the full amount owing together with interest and penalty interest of $42 018,96. Although the first defendant paid some money towards the debt in resp</w:t>
      </w:r>
      <w:r w:rsidR="00521F15">
        <w:rPr>
          <w:rFonts w:ascii="Times New Roman" w:hAnsi="Times New Roman" w:cs="Times New Roman"/>
          <w:sz w:val="24"/>
          <w:szCs w:val="24"/>
        </w:rPr>
        <w:t>onse to the notice, the capital</w:t>
      </w:r>
      <w:r w:rsidRPr="00F71E04">
        <w:rPr>
          <w:rFonts w:ascii="Times New Roman" w:hAnsi="Times New Roman" w:cs="Times New Roman"/>
          <w:sz w:val="24"/>
          <w:szCs w:val="24"/>
        </w:rPr>
        <w:t xml:space="preserve"> sum of $260 000-00 and interest of $43 849-96 rem</w:t>
      </w:r>
      <w:r w:rsidR="00F71E04" w:rsidRPr="00F71E04">
        <w:rPr>
          <w:rFonts w:ascii="Times New Roman" w:hAnsi="Times New Roman" w:cs="Times New Roman"/>
          <w:sz w:val="24"/>
          <w:szCs w:val="24"/>
        </w:rPr>
        <w:t>ained outstanding at the time the summons was issued which sums the plaintiff claimed.</w:t>
      </w:r>
    </w:p>
    <w:p w:rsidR="00F71E04" w:rsidRDefault="00F71E04" w:rsidP="000B5F4C">
      <w:pPr>
        <w:spacing w:after="0" w:line="360" w:lineRule="auto"/>
        <w:jc w:val="both"/>
        <w:rPr>
          <w:rFonts w:ascii="Times New Roman" w:hAnsi="Times New Roman" w:cs="Times New Roman"/>
          <w:sz w:val="24"/>
          <w:szCs w:val="24"/>
        </w:rPr>
      </w:pPr>
      <w:r w:rsidRPr="00F71E04">
        <w:rPr>
          <w:rFonts w:ascii="Times New Roman" w:hAnsi="Times New Roman" w:cs="Times New Roman"/>
          <w:sz w:val="24"/>
          <w:szCs w:val="24"/>
        </w:rPr>
        <w:tab/>
        <w:t xml:space="preserve">In his plea the third defendant challenged the interest rate charged. While admitting that he executed the deed of </w:t>
      </w:r>
      <w:proofErr w:type="spellStart"/>
      <w:r w:rsidRPr="00F71E04">
        <w:rPr>
          <w:rFonts w:ascii="Times New Roman" w:hAnsi="Times New Roman" w:cs="Times New Roman"/>
          <w:sz w:val="24"/>
          <w:szCs w:val="24"/>
        </w:rPr>
        <w:t>suretyship</w:t>
      </w:r>
      <w:proofErr w:type="spellEnd"/>
      <w:r w:rsidRPr="00F71E04">
        <w:rPr>
          <w:rFonts w:ascii="Times New Roman" w:hAnsi="Times New Roman" w:cs="Times New Roman"/>
          <w:sz w:val="24"/>
          <w:szCs w:val="24"/>
        </w:rPr>
        <w:t xml:space="preserve">, the third defendant averred that he had done so in his capacity as a shareholder and director of the first defendant. Having ceased to be such, one </w:t>
      </w:r>
      <w:proofErr w:type="spellStart"/>
      <w:r w:rsidRPr="00F71E04">
        <w:rPr>
          <w:rFonts w:ascii="Times New Roman" w:hAnsi="Times New Roman" w:cs="Times New Roman"/>
          <w:sz w:val="24"/>
          <w:szCs w:val="24"/>
        </w:rPr>
        <w:t>Masimba</w:t>
      </w:r>
      <w:proofErr w:type="spellEnd"/>
      <w:r w:rsidRPr="00F71E04">
        <w:rPr>
          <w:rFonts w:ascii="Times New Roman" w:hAnsi="Times New Roman" w:cs="Times New Roman"/>
          <w:sz w:val="24"/>
          <w:szCs w:val="24"/>
        </w:rPr>
        <w:t xml:space="preserve"> </w:t>
      </w:r>
      <w:proofErr w:type="spellStart"/>
      <w:r w:rsidRPr="00F71E04">
        <w:rPr>
          <w:rFonts w:ascii="Times New Roman" w:hAnsi="Times New Roman" w:cs="Times New Roman"/>
          <w:sz w:val="24"/>
          <w:szCs w:val="24"/>
        </w:rPr>
        <w:t>Ndoro</w:t>
      </w:r>
      <w:proofErr w:type="spellEnd"/>
      <w:r w:rsidRPr="00F71E04">
        <w:rPr>
          <w:rFonts w:ascii="Times New Roman" w:hAnsi="Times New Roman" w:cs="Times New Roman"/>
          <w:sz w:val="24"/>
          <w:szCs w:val="24"/>
        </w:rPr>
        <w:t xml:space="preserve"> who took over his position also took over all his liabilities under the deed of </w:t>
      </w:r>
      <w:proofErr w:type="spellStart"/>
      <w:r w:rsidRPr="00F71E04">
        <w:rPr>
          <w:rFonts w:ascii="Times New Roman" w:hAnsi="Times New Roman" w:cs="Times New Roman"/>
          <w:sz w:val="24"/>
          <w:szCs w:val="24"/>
        </w:rPr>
        <w:t>suretyship</w:t>
      </w:r>
      <w:proofErr w:type="spellEnd"/>
      <w:r w:rsidRPr="00F71E04">
        <w:rPr>
          <w:rFonts w:ascii="Times New Roman" w:hAnsi="Times New Roman" w:cs="Times New Roman"/>
          <w:sz w:val="24"/>
          <w:szCs w:val="24"/>
        </w:rPr>
        <w:t>. Further, the deed of settlement entered into between the plaintiff on the one hand and the first and second defendants</w:t>
      </w:r>
      <w:r w:rsidR="00521F15">
        <w:rPr>
          <w:rFonts w:ascii="Times New Roman" w:hAnsi="Times New Roman" w:cs="Times New Roman"/>
          <w:sz w:val="24"/>
          <w:szCs w:val="24"/>
        </w:rPr>
        <w:t xml:space="preserve"> on the other,</w:t>
      </w:r>
      <w:r w:rsidRPr="00F71E04">
        <w:rPr>
          <w:rFonts w:ascii="Times New Roman" w:hAnsi="Times New Roman" w:cs="Times New Roman"/>
          <w:sz w:val="24"/>
          <w:szCs w:val="24"/>
        </w:rPr>
        <w:t xml:space="preserve"> was a compromise arrangement whose effect was to release the third defendant from his obligations under the deed of </w:t>
      </w:r>
      <w:proofErr w:type="spellStart"/>
      <w:r w:rsidRPr="00F71E04">
        <w:rPr>
          <w:rFonts w:ascii="Times New Roman" w:hAnsi="Times New Roman" w:cs="Times New Roman"/>
          <w:sz w:val="24"/>
          <w:szCs w:val="24"/>
        </w:rPr>
        <w:t>suretyship</w:t>
      </w:r>
      <w:proofErr w:type="spellEnd"/>
      <w:r w:rsidRPr="00F71E04">
        <w:rPr>
          <w:rFonts w:ascii="Times New Roman" w:hAnsi="Times New Roman" w:cs="Times New Roman"/>
          <w:sz w:val="24"/>
          <w:szCs w:val="24"/>
        </w:rPr>
        <w:t>.</w:t>
      </w:r>
      <w:r>
        <w:rPr>
          <w:rFonts w:ascii="Times New Roman" w:hAnsi="Times New Roman" w:cs="Times New Roman"/>
          <w:sz w:val="24"/>
          <w:szCs w:val="24"/>
        </w:rPr>
        <w:t xml:space="preserve"> </w:t>
      </w:r>
    </w:p>
    <w:p w:rsidR="00923FC1" w:rsidRDefault="00F71E04" w:rsidP="000B5F4C">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defendant added that he is not only entitled to be indemnified by the first and second defendants and </w:t>
      </w:r>
      <w:proofErr w:type="spellStart"/>
      <w:r>
        <w:rPr>
          <w:rFonts w:ascii="Times New Roman" w:hAnsi="Times New Roman" w:cs="Times New Roman"/>
          <w:sz w:val="24"/>
          <w:szCs w:val="24"/>
        </w:rPr>
        <w:t>Masimba</w:t>
      </w:r>
      <w:proofErr w:type="spellEnd"/>
      <w:r>
        <w:rPr>
          <w:rFonts w:ascii="Times New Roman" w:hAnsi="Times New Roman" w:cs="Times New Roman"/>
          <w:sz w:val="24"/>
          <w:szCs w:val="24"/>
        </w:rPr>
        <w:t xml:space="preserve"> </w:t>
      </w:r>
      <w:proofErr w:type="spellStart"/>
      <w:r>
        <w:rPr>
          <w:rFonts w:ascii="Times New Roman" w:hAnsi="Times New Roman" w:cs="Times New Roman"/>
          <w:sz w:val="24"/>
          <w:szCs w:val="24"/>
        </w:rPr>
        <w:t>Ndoro</w:t>
      </w:r>
      <w:proofErr w:type="spellEnd"/>
      <w:r>
        <w:rPr>
          <w:rFonts w:ascii="Times New Roman" w:hAnsi="Times New Roman" w:cs="Times New Roman"/>
          <w:sz w:val="24"/>
          <w:szCs w:val="24"/>
        </w:rPr>
        <w:t xml:space="preserve"> from liability but also that the debt was secured by a financial guarantee from Expert Credit Guarantee Corporation of Zimbabwe (Pvt) Ltd in terms of which the plaintiff was required to proceed first against that guarantor before it could sue the third defendant. As the plaintiff has not sued that entity first, the claim against the third defendant is premature and should fail for that reason. </w:t>
      </w:r>
      <w:r w:rsidR="002E7A31">
        <w:rPr>
          <w:rFonts w:ascii="Times New Roman" w:hAnsi="Times New Roman" w:cs="Times New Roman"/>
          <w:sz w:val="24"/>
          <w:szCs w:val="24"/>
        </w:rPr>
        <w:t xml:space="preserve">For good measure, the third </w:t>
      </w:r>
      <w:r w:rsidR="002E7A31">
        <w:rPr>
          <w:rFonts w:ascii="Times New Roman" w:hAnsi="Times New Roman" w:cs="Times New Roman"/>
          <w:sz w:val="24"/>
          <w:szCs w:val="24"/>
        </w:rPr>
        <w:lastRenderedPageBreak/>
        <w:t xml:space="preserve">defendant alleged that the plaintiff was using the name of </w:t>
      </w:r>
      <w:proofErr w:type="spellStart"/>
      <w:r w:rsidR="002E7A31">
        <w:rPr>
          <w:rFonts w:ascii="Times New Roman" w:hAnsi="Times New Roman" w:cs="Times New Roman"/>
          <w:sz w:val="24"/>
          <w:szCs w:val="24"/>
        </w:rPr>
        <w:t>Micropal</w:t>
      </w:r>
      <w:proofErr w:type="spellEnd"/>
      <w:r w:rsidR="002E7A31">
        <w:rPr>
          <w:rFonts w:ascii="Times New Roman" w:hAnsi="Times New Roman" w:cs="Times New Roman"/>
          <w:sz w:val="24"/>
          <w:szCs w:val="24"/>
        </w:rPr>
        <w:t xml:space="preserve">, a registered money </w:t>
      </w:r>
      <w:r w:rsidR="00521F15">
        <w:rPr>
          <w:rFonts w:ascii="Times New Roman" w:hAnsi="Times New Roman" w:cs="Times New Roman"/>
          <w:sz w:val="24"/>
          <w:szCs w:val="24"/>
        </w:rPr>
        <w:t>l</w:t>
      </w:r>
      <w:r w:rsidR="002E7A31">
        <w:rPr>
          <w:rFonts w:ascii="Times New Roman" w:hAnsi="Times New Roman" w:cs="Times New Roman"/>
          <w:sz w:val="24"/>
          <w:szCs w:val="24"/>
        </w:rPr>
        <w:t xml:space="preserve">ender in Zimbabwe, in order to circumvent the laws of </w:t>
      </w:r>
      <w:r w:rsidR="007D5BC8">
        <w:rPr>
          <w:rFonts w:ascii="Times New Roman" w:hAnsi="Times New Roman" w:cs="Times New Roman"/>
          <w:sz w:val="24"/>
          <w:szCs w:val="24"/>
        </w:rPr>
        <w:t xml:space="preserve">Zimbabwe governing microfinance institutions and </w:t>
      </w:r>
      <w:r w:rsidR="00521F15">
        <w:rPr>
          <w:rFonts w:ascii="Times New Roman" w:hAnsi="Times New Roman" w:cs="Times New Roman"/>
          <w:sz w:val="24"/>
          <w:szCs w:val="24"/>
        </w:rPr>
        <w:t xml:space="preserve">put the plaintiff to the proof </w:t>
      </w:r>
      <w:r w:rsidR="007D5BC8">
        <w:rPr>
          <w:rFonts w:ascii="Times New Roman" w:hAnsi="Times New Roman" w:cs="Times New Roman"/>
          <w:sz w:val="24"/>
          <w:szCs w:val="24"/>
        </w:rPr>
        <w:t xml:space="preserve">that it is entitled to relief in terms of the laws of the British Virgin Islands. </w:t>
      </w:r>
    </w:p>
    <w:p w:rsidR="00923FC1" w:rsidRDefault="00923FC1" w:rsidP="00923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issues for determination at the trial </w:t>
      </w:r>
      <w:r w:rsidR="00521F15">
        <w:rPr>
          <w:rFonts w:ascii="Times New Roman" w:hAnsi="Times New Roman" w:cs="Times New Roman"/>
          <w:sz w:val="24"/>
          <w:szCs w:val="24"/>
        </w:rPr>
        <w:t>were initially agreed as:</w:t>
      </w:r>
    </w:p>
    <w:p w:rsidR="00923FC1" w:rsidRDefault="00923FC1" w:rsidP="003C53D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1.</w:t>
      </w:r>
      <w:r>
        <w:rPr>
          <w:rFonts w:ascii="Times New Roman" w:hAnsi="Times New Roman" w:cs="Times New Roman"/>
          <w:sz w:val="24"/>
          <w:szCs w:val="24"/>
        </w:rPr>
        <w:tab/>
        <w:t xml:space="preserve">Whether the third defendant is liable to the plaintiff in respect of the deed of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he </w:t>
      </w:r>
      <w:r>
        <w:rPr>
          <w:rFonts w:ascii="Times New Roman" w:hAnsi="Times New Roman" w:cs="Times New Roman"/>
          <w:sz w:val="24"/>
          <w:szCs w:val="24"/>
        </w:rPr>
        <w:tab/>
        <w:t>signed on 28 July 2010.</w:t>
      </w:r>
    </w:p>
    <w:p w:rsidR="00923FC1" w:rsidRDefault="00923FC1" w:rsidP="00923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2.</w:t>
      </w:r>
      <w:r>
        <w:rPr>
          <w:rFonts w:ascii="Times New Roman" w:hAnsi="Times New Roman" w:cs="Times New Roman"/>
          <w:sz w:val="24"/>
          <w:szCs w:val="24"/>
        </w:rPr>
        <w:tab/>
        <w:t xml:space="preserve">Whether the plaintiff is entitled to the relief sought in terms of the laws of the British </w:t>
      </w:r>
      <w:r>
        <w:rPr>
          <w:rFonts w:ascii="Times New Roman" w:hAnsi="Times New Roman" w:cs="Times New Roman"/>
          <w:sz w:val="24"/>
          <w:szCs w:val="24"/>
        </w:rPr>
        <w:tab/>
        <w:t>Virgin Islands or Mauritius.</w:t>
      </w:r>
    </w:p>
    <w:p w:rsidR="00923FC1" w:rsidRDefault="00923FC1" w:rsidP="003C53DA">
      <w:pPr>
        <w:spacing w:after="0" w:line="360" w:lineRule="auto"/>
        <w:ind w:left="720" w:hanging="720"/>
        <w:jc w:val="both"/>
        <w:rPr>
          <w:rFonts w:ascii="Times New Roman" w:hAnsi="Times New Roman" w:cs="Times New Roman"/>
          <w:sz w:val="24"/>
          <w:szCs w:val="24"/>
        </w:rPr>
      </w:pPr>
      <w:r>
        <w:rPr>
          <w:rFonts w:ascii="Times New Roman" w:hAnsi="Times New Roman" w:cs="Times New Roman"/>
          <w:sz w:val="24"/>
          <w:szCs w:val="24"/>
        </w:rPr>
        <w:t>3.</w:t>
      </w:r>
      <w:r>
        <w:rPr>
          <w:rFonts w:ascii="Times New Roman" w:hAnsi="Times New Roman" w:cs="Times New Roman"/>
          <w:sz w:val="24"/>
          <w:szCs w:val="24"/>
        </w:rPr>
        <w:tab/>
        <w:t xml:space="preserve">Whether the plaintiff is using the name of </w:t>
      </w:r>
      <w:proofErr w:type="spellStart"/>
      <w:r>
        <w:rPr>
          <w:rFonts w:ascii="Times New Roman" w:hAnsi="Times New Roman" w:cs="Times New Roman"/>
          <w:sz w:val="24"/>
          <w:szCs w:val="24"/>
        </w:rPr>
        <w:t>Micropal</w:t>
      </w:r>
      <w:proofErr w:type="spellEnd"/>
      <w:r>
        <w:rPr>
          <w:rFonts w:ascii="Times New Roman" w:hAnsi="Times New Roman" w:cs="Times New Roman"/>
          <w:sz w:val="24"/>
          <w:szCs w:val="24"/>
        </w:rPr>
        <w:t xml:space="preserve"> to circumvent the laws of </w:t>
      </w:r>
      <w:r w:rsidR="003C53DA">
        <w:rPr>
          <w:rFonts w:ascii="Times New Roman" w:hAnsi="Times New Roman" w:cs="Times New Roman"/>
          <w:sz w:val="24"/>
          <w:szCs w:val="24"/>
        </w:rPr>
        <w:t xml:space="preserve">Zimbabwe </w:t>
      </w:r>
      <w:r>
        <w:rPr>
          <w:rFonts w:ascii="Times New Roman" w:hAnsi="Times New Roman" w:cs="Times New Roman"/>
          <w:sz w:val="24"/>
          <w:szCs w:val="24"/>
        </w:rPr>
        <w:t>governing microfinance institutions.</w:t>
      </w:r>
    </w:p>
    <w:p w:rsidR="00923FC1" w:rsidRDefault="00923FC1" w:rsidP="00923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4.</w:t>
      </w:r>
      <w:r>
        <w:rPr>
          <w:rFonts w:ascii="Times New Roman" w:hAnsi="Times New Roman" w:cs="Times New Roman"/>
          <w:sz w:val="24"/>
          <w:szCs w:val="24"/>
        </w:rPr>
        <w:tab/>
        <w:t>The amount, if any, payable to the plaintiff.</w:t>
      </w:r>
    </w:p>
    <w:p w:rsidR="00923FC1" w:rsidRDefault="00923FC1" w:rsidP="00923FC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The parties have agreed that it is not necessary to lead evidence at all and have submitted a statement of agreed facts. They would therefore like the matter to be decided on the agreed facts which are:</w:t>
      </w:r>
    </w:p>
    <w:p w:rsidR="00923FC1" w:rsidRDefault="003C53DA" w:rsidP="003C53DA">
      <w:pPr>
        <w:spacing w:after="0" w:line="240" w:lineRule="auto"/>
        <w:ind w:left="1440" w:hanging="720"/>
        <w:jc w:val="both"/>
        <w:rPr>
          <w:rFonts w:ascii="Times New Roman" w:hAnsi="Times New Roman" w:cs="Times New Roman"/>
        </w:rPr>
      </w:pPr>
      <w:r>
        <w:rPr>
          <w:rFonts w:ascii="Times New Roman" w:hAnsi="Times New Roman" w:cs="Times New Roman"/>
        </w:rPr>
        <w:t>“1.</w:t>
      </w:r>
      <w:r>
        <w:rPr>
          <w:rFonts w:ascii="Times New Roman" w:hAnsi="Times New Roman" w:cs="Times New Roman"/>
        </w:rPr>
        <w:tab/>
        <w:t xml:space="preserve">The plaintiff, KHM </w:t>
      </w:r>
      <w:proofErr w:type="spellStart"/>
      <w:r>
        <w:rPr>
          <w:rFonts w:ascii="Times New Roman" w:hAnsi="Times New Roman" w:cs="Times New Roman"/>
        </w:rPr>
        <w:t>Societe</w:t>
      </w:r>
      <w:proofErr w:type="spellEnd"/>
      <w:r>
        <w:rPr>
          <w:rFonts w:ascii="Times New Roman" w:hAnsi="Times New Roman" w:cs="Times New Roman"/>
        </w:rPr>
        <w:t xml:space="preserve"> </w:t>
      </w:r>
      <w:proofErr w:type="spellStart"/>
      <w:r w:rsidR="00923FC1">
        <w:rPr>
          <w:rFonts w:ascii="Times New Roman" w:hAnsi="Times New Roman" w:cs="Times New Roman"/>
        </w:rPr>
        <w:t>Anonyme</w:t>
      </w:r>
      <w:proofErr w:type="spellEnd"/>
      <w:r w:rsidR="00923FC1">
        <w:rPr>
          <w:rFonts w:ascii="Times New Roman" w:hAnsi="Times New Roman" w:cs="Times New Roman"/>
        </w:rPr>
        <w:t xml:space="preserve">, a company registered in Mauritius, issued a </w:t>
      </w:r>
      <w:r>
        <w:rPr>
          <w:rFonts w:ascii="Times New Roman" w:hAnsi="Times New Roman" w:cs="Times New Roman"/>
        </w:rPr>
        <w:t>summons commencing</w:t>
      </w:r>
      <w:r w:rsidR="00923FC1">
        <w:rPr>
          <w:rFonts w:ascii="Times New Roman" w:hAnsi="Times New Roman" w:cs="Times New Roman"/>
        </w:rPr>
        <w:t xml:space="preserve"> action accompanied with a declaration claiming the payment against the three defendants jointly and severally the one paying the others to be absolved</w:t>
      </w:r>
      <w:r w:rsidR="00521F15">
        <w:rPr>
          <w:rFonts w:ascii="Times New Roman" w:hAnsi="Times New Roman" w:cs="Times New Roman"/>
        </w:rPr>
        <w:t xml:space="preserve"> of</w:t>
      </w:r>
      <w:r w:rsidR="00923FC1">
        <w:rPr>
          <w:rFonts w:ascii="Times New Roman" w:hAnsi="Times New Roman" w:cs="Times New Roman"/>
        </w:rPr>
        <w:t xml:space="preserve"> the sum of US303 849-96 together with penalty interest at the rate of 0.5% per day on</w:t>
      </w:r>
      <w:r>
        <w:rPr>
          <w:rFonts w:ascii="Times New Roman" w:hAnsi="Times New Roman" w:cs="Times New Roman"/>
        </w:rPr>
        <w:t xml:space="preserve"> </w:t>
      </w:r>
      <w:r w:rsidR="00923FC1">
        <w:rPr>
          <w:rFonts w:ascii="Times New Roman" w:hAnsi="Times New Roman" w:cs="Times New Roman"/>
        </w:rPr>
        <w:t xml:space="preserve">the sum of US$260 000-00 </w:t>
      </w:r>
      <w:r>
        <w:rPr>
          <w:rFonts w:ascii="Times New Roman" w:hAnsi="Times New Roman" w:cs="Times New Roman"/>
        </w:rPr>
        <w:t>with effect</w:t>
      </w:r>
      <w:r w:rsidR="00923FC1">
        <w:rPr>
          <w:rFonts w:ascii="Times New Roman" w:hAnsi="Times New Roman" w:cs="Times New Roman"/>
        </w:rPr>
        <w:t xml:space="preserve"> from 1 De</w:t>
      </w:r>
      <w:r>
        <w:rPr>
          <w:rFonts w:ascii="Times New Roman" w:hAnsi="Times New Roman" w:cs="Times New Roman"/>
        </w:rPr>
        <w:t xml:space="preserve">cember 2010 to the date of full </w:t>
      </w:r>
      <w:r w:rsidR="00923FC1">
        <w:rPr>
          <w:rFonts w:ascii="Times New Roman" w:hAnsi="Times New Roman" w:cs="Times New Roman"/>
        </w:rPr>
        <w:tab/>
        <w:t xml:space="preserve">payment. </w:t>
      </w:r>
      <w:proofErr w:type="gramStart"/>
      <w:r w:rsidR="00923FC1">
        <w:rPr>
          <w:rFonts w:ascii="Times New Roman" w:hAnsi="Times New Roman" w:cs="Times New Roman"/>
        </w:rPr>
        <w:t>Cost of suit were</w:t>
      </w:r>
      <w:proofErr w:type="gramEnd"/>
      <w:r w:rsidR="00923FC1">
        <w:rPr>
          <w:rFonts w:ascii="Times New Roman" w:hAnsi="Times New Roman" w:cs="Times New Roman"/>
        </w:rPr>
        <w:t xml:space="preserve"> sought on an </w:t>
      </w:r>
      <w:r>
        <w:rPr>
          <w:rFonts w:ascii="Times New Roman" w:hAnsi="Times New Roman" w:cs="Times New Roman"/>
        </w:rPr>
        <w:t>attorney and</w:t>
      </w:r>
      <w:r w:rsidR="00923FC1">
        <w:rPr>
          <w:rFonts w:ascii="Times New Roman" w:hAnsi="Times New Roman" w:cs="Times New Roman"/>
        </w:rPr>
        <w:t xml:space="preserve"> client scale.</w:t>
      </w:r>
    </w:p>
    <w:p w:rsidR="00923FC1" w:rsidRDefault="00923FC1" w:rsidP="00923FC1">
      <w:pPr>
        <w:spacing w:after="0" w:line="240" w:lineRule="auto"/>
        <w:jc w:val="both"/>
        <w:rPr>
          <w:rFonts w:ascii="Times New Roman" w:hAnsi="Times New Roman" w:cs="Times New Roman"/>
        </w:rPr>
      </w:pPr>
    </w:p>
    <w:p w:rsidR="00923FC1" w:rsidRDefault="003C53DA" w:rsidP="003C53DA">
      <w:pPr>
        <w:spacing w:after="0" w:line="240" w:lineRule="auto"/>
        <w:ind w:left="1440" w:hanging="720"/>
        <w:jc w:val="both"/>
        <w:rPr>
          <w:rFonts w:ascii="Times New Roman" w:hAnsi="Times New Roman" w:cs="Times New Roman"/>
        </w:rPr>
      </w:pPr>
      <w:r>
        <w:rPr>
          <w:rFonts w:ascii="Times New Roman" w:hAnsi="Times New Roman" w:cs="Times New Roman"/>
        </w:rPr>
        <w:t>2.</w:t>
      </w:r>
      <w:r>
        <w:rPr>
          <w:rFonts w:ascii="Times New Roman" w:hAnsi="Times New Roman" w:cs="Times New Roman"/>
        </w:rPr>
        <w:tab/>
      </w:r>
      <w:r w:rsidR="00923FC1">
        <w:rPr>
          <w:rFonts w:ascii="Times New Roman" w:hAnsi="Times New Roman" w:cs="Times New Roman"/>
        </w:rPr>
        <w:t xml:space="preserve">The Plaintiff’s declaration which is already part of the record set out the full </w:t>
      </w:r>
      <w:r w:rsidR="00521F15">
        <w:rPr>
          <w:rFonts w:ascii="Times New Roman" w:hAnsi="Times New Roman" w:cs="Times New Roman"/>
        </w:rPr>
        <w:t>cause</w:t>
      </w:r>
      <w:r w:rsidR="00923FC1">
        <w:rPr>
          <w:rFonts w:ascii="Times New Roman" w:hAnsi="Times New Roman" w:cs="Times New Roman"/>
        </w:rPr>
        <w:t xml:space="preserve"> of action. The facts in the summons are common cause. In summary, the Plaintiff’s claim was based upon a loan agreement for the sum of US$260 000-00 entered into between</w:t>
      </w:r>
      <w:r w:rsidR="00521F15">
        <w:rPr>
          <w:rFonts w:ascii="Times New Roman" w:hAnsi="Times New Roman" w:cs="Times New Roman"/>
        </w:rPr>
        <w:t xml:space="preserve"> it</w:t>
      </w:r>
      <w:r w:rsidR="00923FC1">
        <w:rPr>
          <w:rFonts w:ascii="Times New Roman" w:hAnsi="Times New Roman" w:cs="Times New Roman"/>
        </w:rPr>
        <w:t xml:space="preserve"> and the 1</w:t>
      </w:r>
      <w:r w:rsidR="00923FC1">
        <w:rPr>
          <w:rFonts w:ascii="Times New Roman" w:hAnsi="Times New Roman" w:cs="Times New Roman"/>
          <w:vertAlign w:val="superscript"/>
        </w:rPr>
        <w:t>st</w:t>
      </w:r>
      <w:r w:rsidR="00923FC1">
        <w:rPr>
          <w:rFonts w:ascii="Times New Roman" w:hAnsi="Times New Roman" w:cs="Times New Roman"/>
        </w:rPr>
        <w:t xml:space="preserve"> Defendant on 28 July 2010. This loan agreement is document No. 1 on the</w:t>
      </w:r>
      <w:r>
        <w:rPr>
          <w:rFonts w:ascii="Times New Roman" w:hAnsi="Times New Roman" w:cs="Times New Roman"/>
        </w:rPr>
        <w:t xml:space="preserve"> </w:t>
      </w:r>
      <w:r w:rsidR="00923FC1">
        <w:rPr>
          <w:rFonts w:ascii="Times New Roman" w:hAnsi="Times New Roman" w:cs="Times New Roman"/>
        </w:rPr>
        <w:t xml:space="preserve">Plaintiff’s bundle of documents submitted </w:t>
      </w:r>
      <w:r>
        <w:rPr>
          <w:rFonts w:ascii="Times New Roman" w:hAnsi="Times New Roman" w:cs="Times New Roman"/>
        </w:rPr>
        <w:t>before the</w:t>
      </w:r>
      <w:r w:rsidR="00923FC1">
        <w:rPr>
          <w:rFonts w:ascii="Times New Roman" w:hAnsi="Times New Roman" w:cs="Times New Roman"/>
        </w:rPr>
        <w:t xml:space="preserve"> Honourable court.</w:t>
      </w:r>
    </w:p>
    <w:p w:rsidR="00923FC1" w:rsidRDefault="00923FC1" w:rsidP="00923FC1">
      <w:pPr>
        <w:spacing w:after="0" w:line="240" w:lineRule="auto"/>
        <w:jc w:val="both"/>
        <w:rPr>
          <w:rFonts w:ascii="Times New Roman" w:hAnsi="Times New Roman" w:cs="Times New Roman"/>
        </w:rPr>
      </w:pPr>
    </w:p>
    <w:p w:rsidR="00923FC1" w:rsidRDefault="00923FC1" w:rsidP="003C53DA">
      <w:pPr>
        <w:spacing w:after="0" w:line="240" w:lineRule="auto"/>
        <w:ind w:left="1440" w:hanging="720"/>
        <w:jc w:val="both"/>
        <w:rPr>
          <w:rFonts w:ascii="Times New Roman" w:hAnsi="Times New Roman" w:cs="Times New Roman"/>
        </w:rPr>
      </w:pPr>
      <w:r>
        <w:rPr>
          <w:rFonts w:ascii="Times New Roman" w:hAnsi="Times New Roman" w:cs="Times New Roman"/>
        </w:rPr>
        <w:t>3.</w:t>
      </w:r>
      <w:r>
        <w:rPr>
          <w:rFonts w:ascii="Times New Roman" w:hAnsi="Times New Roman" w:cs="Times New Roman"/>
        </w:rPr>
        <w:tab/>
        <w:t>The 2</w:t>
      </w:r>
      <w:r>
        <w:rPr>
          <w:rFonts w:ascii="Times New Roman" w:hAnsi="Times New Roman" w:cs="Times New Roman"/>
          <w:vertAlign w:val="superscript"/>
        </w:rPr>
        <w:t>nd</w:t>
      </w:r>
      <w:r>
        <w:rPr>
          <w:rFonts w:ascii="Times New Roman" w:hAnsi="Times New Roman" w:cs="Times New Roman"/>
        </w:rPr>
        <w:t xml:space="preserve"> and 3</w:t>
      </w:r>
      <w:r>
        <w:rPr>
          <w:rFonts w:ascii="Times New Roman" w:hAnsi="Times New Roman" w:cs="Times New Roman"/>
          <w:vertAlign w:val="superscript"/>
        </w:rPr>
        <w:t>rd</w:t>
      </w:r>
      <w:r>
        <w:rPr>
          <w:rFonts w:ascii="Times New Roman" w:hAnsi="Times New Roman" w:cs="Times New Roman"/>
        </w:rPr>
        <w:t xml:space="preserve"> Defendants were sued in their capacity as sureties and co-principal </w:t>
      </w:r>
      <w:r w:rsidR="00521F15">
        <w:rPr>
          <w:rFonts w:ascii="Times New Roman" w:hAnsi="Times New Roman" w:cs="Times New Roman"/>
        </w:rPr>
        <w:t xml:space="preserve">debtors with the </w:t>
      </w:r>
      <w:proofErr w:type="gramStart"/>
      <w:r w:rsidR="00521F15">
        <w:rPr>
          <w:rFonts w:ascii="Times New Roman" w:hAnsi="Times New Roman" w:cs="Times New Roman"/>
        </w:rPr>
        <w:t>1</w:t>
      </w:r>
      <w:r w:rsidR="00521F15" w:rsidRPr="00521F15">
        <w:rPr>
          <w:rFonts w:ascii="Times New Roman" w:hAnsi="Times New Roman" w:cs="Times New Roman"/>
          <w:vertAlign w:val="superscript"/>
        </w:rPr>
        <w:t>st</w:t>
      </w:r>
      <w:r w:rsidR="00521F15">
        <w:rPr>
          <w:rFonts w:ascii="Times New Roman" w:hAnsi="Times New Roman" w:cs="Times New Roman"/>
        </w:rPr>
        <w:t xml:space="preserve"> </w:t>
      </w:r>
      <w:r>
        <w:rPr>
          <w:rFonts w:ascii="Times New Roman" w:hAnsi="Times New Roman" w:cs="Times New Roman"/>
        </w:rPr>
        <w:t xml:space="preserve"> Defendant</w:t>
      </w:r>
      <w:proofErr w:type="gramEnd"/>
      <w:r>
        <w:rPr>
          <w:rFonts w:ascii="Times New Roman" w:hAnsi="Times New Roman" w:cs="Times New Roman"/>
        </w:rPr>
        <w:t xml:space="preserve">. A copy of the deed of </w:t>
      </w:r>
      <w:proofErr w:type="spellStart"/>
      <w:r>
        <w:rPr>
          <w:rFonts w:ascii="Times New Roman" w:hAnsi="Times New Roman" w:cs="Times New Roman"/>
        </w:rPr>
        <w:t>suretyship</w:t>
      </w:r>
      <w:proofErr w:type="spellEnd"/>
      <w:r>
        <w:rPr>
          <w:rFonts w:ascii="Times New Roman" w:hAnsi="Times New Roman" w:cs="Times New Roman"/>
        </w:rPr>
        <w:t xml:space="preserve"> signed by the 3</w:t>
      </w:r>
      <w:r>
        <w:rPr>
          <w:rFonts w:ascii="Times New Roman" w:hAnsi="Times New Roman" w:cs="Times New Roman"/>
          <w:vertAlign w:val="superscript"/>
        </w:rPr>
        <w:t>rd</w:t>
      </w:r>
      <w:r w:rsidR="003C53DA">
        <w:rPr>
          <w:rFonts w:ascii="Times New Roman" w:hAnsi="Times New Roman" w:cs="Times New Roman"/>
          <w:vertAlign w:val="superscript"/>
        </w:rPr>
        <w:t xml:space="preserve"> </w:t>
      </w:r>
      <w:r>
        <w:rPr>
          <w:rFonts w:ascii="Times New Roman" w:hAnsi="Times New Roman" w:cs="Times New Roman"/>
        </w:rPr>
        <w:t xml:space="preserve">Defendant is at pages 37 to 41, item 6 of the Plaintiff’s bundle of documents. Clause 3 renounced the benefits of all legal exceptions including the benefit of </w:t>
      </w:r>
      <w:proofErr w:type="spellStart"/>
      <w:r w:rsidR="00521F15">
        <w:rPr>
          <w:rFonts w:ascii="Times New Roman" w:hAnsi="Times New Roman" w:cs="Times New Roman"/>
        </w:rPr>
        <w:t>excus</w:t>
      </w:r>
      <w:r w:rsidR="00BD68A8">
        <w:rPr>
          <w:rFonts w:ascii="Times New Roman" w:hAnsi="Times New Roman" w:cs="Times New Roman"/>
        </w:rPr>
        <w:t>s</w:t>
      </w:r>
      <w:r w:rsidR="00521F15">
        <w:rPr>
          <w:rFonts w:ascii="Times New Roman" w:hAnsi="Times New Roman" w:cs="Times New Roman"/>
        </w:rPr>
        <w:t>ion</w:t>
      </w:r>
      <w:proofErr w:type="spellEnd"/>
      <w:r>
        <w:rPr>
          <w:rFonts w:ascii="Times New Roman" w:hAnsi="Times New Roman" w:cs="Times New Roman"/>
        </w:rPr>
        <w:t>. Clause 4</w:t>
      </w:r>
      <w:r w:rsidR="003C53DA">
        <w:rPr>
          <w:rFonts w:ascii="Times New Roman" w:hAnsi="Times New Roman" w:cs="Times New Roman"/>
        </w:rPr>
        <w:t xml:space="preserve"> </w:t>
      </w:r>
      <w:r>
        <w:rPr>
          <w:rFonts w:ascii="Times New Roman" w:hAnsi="Times New Roman" w:cs="Times New Roman"/>
        </w:rPr>
        <w:t>also provided that the Plaintiff could compromise the debt or make such other</w:t>
      </w:r>
      <w:r w:rsidR="003C53DA">
        <w:rPr>
          <w:rFonts w:ascii="Times New Roman" w:hAnsi="Times New Roman" w:cs="Times New Roman"/>
        </w:rPr>
        <w:t xml:space="preserve"> </w:t>
      </w:r>
      <w:r>
        <w:rPr>
          <w:rFonts w:ascii="Times New Roman" w:hAnsi="Times New Roman" w:cs="Times New Roman"/>
        </w:rPr>
        <w:t>arrangements with the principal debtor as it could deem fit.</w:t>
      </w:r>
    </w:p>
    <w:p w:rsidR="00923FC1" w:rsidRDefault="00923FC1" w:rsidP="00923FC1">
      <w:pPr>
        <w:spacing w:after="0" w:line="240" w:lineRule="auto"/>
        <w:jc w:val="both"/>
        <w:rPr>
          <w:rFonts w:ascii="Times New Roman" w:hAnsi="Times New Roman" w:cs="Times New Roman"/>
        </w:rPr>
      </w:pPr>
    </w:p>
    <w:p w:rsidR="00923FC1" w:rsidRDefault="00923FC1" w:rsidP="003C53DA">
      <w:pPr>
        <w:spacing w:after="0" w:line="240" w:lineRule="auto"/>
        <w:ind w:left="1440" w:hanging="720"/>
        <w:jc w:val="both"/>
        <w:rPr>
          <w:rFonts w:ascii="Times New Roman" w:hAnsi="Times New Roman" w:cs="Times New Roman"/>
        </w:rPr>
      </w:pPr>
      <w:r>
        <w:rPr>
          <w:rFonts w:ascii="Times New Roman" w:hAnsi="Times New Roman" w:cs="Times New Roman"/>
        </w:rPr>
        <w:t>4.</w:t>
      </w:r>
      <w:r>
        <w:rPr>
          <w:rFonts w:ascii="Times New Roman" w:hAnsi="Times New Roman" w:cs="Times New Roman"/>
        </w:rPr>
        <w:tab/>
        <w:t>At the time that the 3</w:t>
      </w:r>
      <w:r>
        <w:rPr>
          <w:rFonts w:ascii="Times New Roman" w:hAnsi="Times New Roman" w:cs="Times New Roman"/>
          <w:vertAlign w:val="superscript"/>
        </w:rPr>
        <w:t>rd</w:t>
      </w:r>
      <w:r>
        <w:rPr>
          <w:rFonts w:ascii="Times New Roman" w:hAnsi="Times New Roman" w:cs="Times New Roman"/>
        </w:rPr>
        <w:t xml:space="preserve"> Defendant signed the deed of </w:t>
      </w:r>
      <w:proofErr w:type="spellStart"/>
      <w:r>
        <w:rPr>
          <w:rFonts w:ascii="Times New Roman" w:hAnsi="Times New Roman" w:cs="Times New Roman"/>
        </w:rPr>
        <w:t>suretyship</w:t>
      </w:r>
      <w:proofErr w:type="spellEnd"/>
      <w:r>
        <w:rPr>
          <w:rFonts w:ascii="Times New Roman" w:hAnsi="Times New Roman" w:cs="Times New Roman"/>
        </w:rPr>
        <w:t xml:space="preserve">, he was a shareholder </w:t>
      </w:r>
      <w:r w:rsidR="003C53DA">
        <w:rPr>
          <w:rFonts w:ascii="Times New Roman" w:hAnsi="Times New Roman" w:cs="Times New Roman"/>
        </w:rPr>
        <w:t xml:space="preserve">and </w:t>
      </w:r>
      <w:r>
        <w:rPr>
          <w:rFonts w:ascii="Times New Roman" w:hAnsi="Times New Roman" w:cs="Times New Roman"/>
        </w:rPr>
        <w:t>director in the 1</w:t>
      </w:r>
      <w:r>
        <w:rPr>
          <w:rFonts w:ascii="Times New Roman" w:hAnsi="Times New Roman" w:cs="Times New Roman"/>
          <w:vertAlign w:val="superscript"/>
        </w:rPr>
        <w:t>st</w:t>
      </w:r>
      <w:r>
        <w:rPr>
          <w:rFonts w:ascii="Times New Roman" w:hAnsi="Times New Roman" w:cs="Times New Roman"/>
        </w:rPr>
        <w:t xml:space="preserve"> Defendant. Subsequent thereto, he resigned from the directorship and</w:t>
      </w:r>
      <w:r w:rsidR="003C53DA">
        <w:rPr>
          <w:rFonts w:ascii="Times New Roman" w:hAnsi="Times New Roman" w:cs="Times New Roman"/>
        </w:rPr>
        <w:t xml:space="preserve"> </w:t>
      </w:r>
      <w:r>
        <w:rPr>
          <w:rFonts w:ascii="Times New Roman" w:hAnsi="Times New Roman" w:cs="Times New Roman"/>
        </w:rPr>
        <w:t xml:space="preserve">relinquished shareholding in the said company. In his place, one </w:t>
      </w:r>
      <w:proofErr w:type="spellStart"/>
      <w:r>
        <w:rPr>
          <w:rFonts w:ascii="Times New Roman" w:hAnsi="Times New Roman" w:cs="Times New Roman"/>
        </w:rPr>
        <w:t>Masimba</w:t>
      </w:r>
      <w:proofErr w:type="spellEnd"/>
      <w:r w:rsidR="00521F15">
        <w:rPr>
          <w:rFonts w:ascii="Times New Roman" w:hAnsi="Times New Roman" w:cs="Times New Roman"/>
        </w:rPr>
        <w:t xml:space="preserve"> </w:t>
      </w:r>
      <w:proofErr w:type="spellStart"/>
      <w:r>
        <w:rPr>
          <w:rFonts w:ascii="Times New Roman" w:hAnsi="Times New Roman" w:cs="Times New Roman"/>
        </w:rPr>
        <w:t>Ndoro</w:t>
      </w:r>
      <w:proofErr w:type="spellEnd"/>
      <w:r>
        <w:rPr>
          <w:rFonts w:ascii="Times New Roman" w:hAnsi="Times New Roman" w:cs="Times New Roman"/>
        </w:rPr>
        <w:t xml:space="preserve"> was</w:t>
      </w:r>
      <w:r w:rsidR="003C53DA">
        <w:rPr>
          <w:rFonts w:ascii="Times New Roman" w:hAnsi="Times New Roman" w:cs="Times New Roman"/>
        </w:rPr>
        <w:t xml:space="preserve"> </w:t>
      </w:r>
      <w:r>
        <w:rPr>
          <w:rFonts w:ascii="Times New Roman" w:hAnsi="Times New Roman" w:cs="Times New Roman"/>
        </w:rPr>
        <w:t>appointed.</w:t>
      </w:r>
    </w:p>
    <w:p w:rsidR="00923FC1" w:rsidRDefault="00923FC1" w:rsidP="00923FC1">
      <w:pPr>
        <w:spacing w:after="0" w:line="240" w:lineRule="auto"/>
        <w:jc w:val="both"/>
        <w:rPr>
          <w:rFonts w:ascii="Times New Roman" w:hAnsi="Times New Roman" w:cs="Times New Roman"/>
        </w:rPr>
      </w:pPr>
    </w:p>
    <w:p w:rsidR="00923FC1" w:rsidRDefault="00923FC1" w:rsidP="003C53DA">
      <w:pPr>
        <w:spacing w:after="0" w:line="240" w:lineRule="auto"/>
        <w:ind w:left="1440" w:hanging="720"/>
        <w:jc w:val="both"/>
        <w:rPr>
          <w:rFonts w:ascii="Times New Roman" w:hAnsi="Times New Roman" w:cs="Times New Roman"/>
        </w:rPr>
      </w:pPr>
      <w:r>
        <w:rPr>
          <w:rFonts w:ascii="Times New Roman" w:hAnsi="Times New Roman" w:cs="Times New Roman"/>
        </w:rPr>
        <w:t>5.</w:t>
      </w:r>
      <w:r>
        <w:rPr>
          <w:rFonts w:ascii="Times New Roman" w:hAnsi="Times New Roman" w:cs="Times New Roman"/>
        </w:rPr>
        <w:tab/>
        <w:t>In paragraph 7 of his plea, the 3</w:t>
      </w:r>
      <w:r>
        <w:rPr>
          <w:rFonts w:ascii="Times New Roman" w:hAnsi="Times New Roman" w:cs="Times New Roman"/>
          <w:vertAlign w:val="superscript"/>
        </w:rPr>
        <w:t>rd</w:t>
      </w:r>
      <w:r>
        <w:rPr>
          <w:rFonts w:ascii="Times New Roman" w:hAnsi="Times New Roman" w:cs="Times New Roman"/>
        </w:rPr>
        <w:t xml:space="preserve"> Defendant indicated that he would seek indemnity against the 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Defendants and </w:t>
      </w:r>
      <w:proofErr w:type="spellStart"/>
      <w:r>
        <w:rPr>
          <w:rFonts w:ascii="Times New Roman" w:hAnsi="Times New Roman" w:cs="Times New Roman"/>
        </w:rPr>
        <w:t>Masimba</w:t>
      </w:r>
      <w:proofErr w:type="spellEnd"/>
      <w:r w:rsidR="00521F15">
        <w:rPr>
          <w:rFonts w:ascii="Times New Roman" w:hAnsi="Times New Roman" w:cs="Times New Roman"/>
        </w:rPr>
        <w:t xml:space="preserve"> </w:t>
      </w:r>
      <w:proofErr w:type="spellStart"/>
      <w:r>
        <w:rPr>
          <w:rFonts w:ascii="Times New Roman" w:hAnsi="Times New Roman" w:cs="Times New Roman"/>
        </w:rPr>
        <w:t>Ndoro</w:t>
      </w:r>
      <w:proofErr w:type="spellEnd"/>
      <w:r>
        <w:rPr>
          <w:rFonts w:ascii="Times New Roman" w:hAnsi="Times New Roman" w:cs="Times New Roman"/>
        </w:rPr>
        <w:t xml:space="preserve"> and would institute proceedings in</w:t>
      </w:r>
      <w:r w:rsidR="003C53DA">
        <w:rPr>
          <w:rFonts w:ascii="Times New Roman" w:hAnsi="Times New Roman" w:cs="Times New Roman"/>
        </w:rPr>
        <w:t xml:space="preserve"> </w:t>
      </w:r>
      <w:r>
        <w:rPr>
          <w:rFonts w:ascii="Times New Roman" w:hAnsi="Times New Roman" w:cs="Times New Roman"/>
        </w:rPr>
        <w:tab/>
        <w:t>terms of Rule 93 of the High Court Rules. He did not however do so.</w:t>
      </w:r>
    </w:p>
    <w:p w:rsidR="00923FC1" w:rsidRDefault="00923FC1" w:rsidP="00923FC1">
      <w:pPr>
        <w:spacing w:after="0" w:line="240" w:lineRule="auto"/>
        <w:jc w:val="both"/>
        <w:rPr>
          <w:rFonts w:ascii="Times New Roman" w:hAnsi="Times New Roman" w:cs="Times New Roman"/>
        </w:rPr>
      </w:pPr>
    </w:p>
    <w:p w:rsidR="00923FC1" w:rsidRDefault="00923FC1" w:rsidP="003C53DA">
      <w:pPr>
        <w:spacing w:after="0" w:line="240" w:lineRule="auto"/>
        <w:ind w:left="1440" w:hanging="720"/>
        <w:jc w:val="both"/>
        <w:rPr>
          <w:rFonts w:ascii="Times New Roman" w:hAnsi="Times New Roman" w:cs="Times New Roman"/>
        </w:rPr>
      </w:pPr>
      <w:r>
        <w:rPr>
          <w:rFonts w:ascii="Times New Roman" w:hAnsi="Times New Roman" w:cs="Times New Roman"/>
        </w:rPr>
        <w:lastRenderedPageBreak/>
        <w:t>6.</w:t>
      </w:r>
      <w:r>
        <w:rPr>
          <w:rFonts w:ascii="Times New Roman" w:hAnsi="Times New Roman" w:cs="Times New Roman"/>
        </w:rPr>
        <w:tab/>
        <w:t>As will be apparent from items 4 and 5 of the Plaintiff’s bundle of documents, pages 34 to 36, the 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Defendants entered into a deed of settlement with the Plaintiff in</w:t>
      </w:r>
      <w:r w:rsidR="00712B2B">
        <w:rPr>
          <w:rFonts w:ascii="Times New Roman" w:hAnsi="Times New Roman" w:cs="Times New Roman"/>
        </w:rPr>
        <w:t xml:space="preserve"> </w:t>
      </w:r>
      <w:r>
        <w:rPr>
          <w:rFonts w:ascii="Times New Roman" w:hAnsi="Times New Roman" w:cs="Times New Roman"/>
        </w:rPr>
        <w:t>terms of which they accepted liability as at 31 March 2011 in the sum of US$288 849-96</w:t>
      </w:r>
      <w:r w:rsidR="00712B2B">
        <w:rPr>
          <w:rFonts w:ascii="Times New Roman" w:hAnsi="Times New Roman" w:cs="Times New Roman"/>
        </w:rPr>
        <w:t xml:space="preserve"> </w:t>
      </w:r>
      <w:r>
        <w:rPr>
          <w:rFonts w:ascii="Times New Roman" w:hAnsi="Times New Roman" w:cs="Times New Roman"/>
        </w:rPr>
        <w:tab/>
        <w:t>being the balance outstanding as at that date together with interest of US$33 948-86. The</w:t>
      </w:r>
      <w:r w:rsidR="00712B2B">
        <w:rPr>
          <w:rFonts w:ascii="Times New Roman" w:hAnsi="Times New Roman" w:cs="Times New Roman"/>
        </w:rPr>
        <w:t xml:space="preserve"> </w:t>
      </w:r>
      <w:r>
        <w:rPr>
          <w:rFonts w:ascii="Times New Roman" w:hAnsi="Times New Roman" w:cs="Times New Roman"/>
        </w:rPr>
        <w:t>amount on certain terms set out on page 34 of the Plaintiff’s bundle of documents. It was</w:t>
      </w:r>
      <w:r w:rsidR="00712B2B">
        <w:rPr>
          <w:rFonts w:ascii="Times New Roman" w:hAnsi="Times New Roman" w:cs="Times New Roman"/>
        </w:rPr>
        <w:t xml:space="preserve"> </w:t>
      </w:r>
      <w:r>
        <w:rPr>
          <w:rFonts w:ascii="Times New Roman" w:hAnsi="Times New Roman" w:cs="Times New Roman"/>
        </w:rPr>
        <w:t>specifically provided that in the event of default by the 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Defendants, the </w:t>
      </w:r>
      <w:r>
        <w:rPr>
          <w:rFonts w:ascii="Times New Roman" w:hAnsi="Times New Roman" w:cs="Times New Roman"/>
        </w:rPr>
        <w:tab/>
        <w:t>Plaintiff would be entitled to apply for judgment in respect of any balance outstanding without further notice to the said Defendants.</w:t>
      </w:r>
    </w:p>
    <w:p w:rsidR="00923FC1" w:rsidRDefault="00923FC1" w:rsidP="00923FC1">
      <w:pPr>
        <w:spacing w:after="0" w:line="240" w:lineRule="auto"/>
        <w:jc w:val="both"/>
        <w:rPr>
          <w:rFonts w:ascii="Times New Roman" w:hAnsi="Times New Roman" w:cs="Times New Roman"/>
        </w:rPr>
      </w:pPr>
    </w:p>
    <w:p w:rsidR="00923FC1" w:rsidRDefault="00923FC1" w:rsidP="003C53DA">
      <w:pPr>
        <w:spacing w:after="0" w:line="240" w:lineRule="auto"/>
        <w:ind w:left="1440" w:hanging="720"/>
        <w:jc w:val="both"/>
        <w:rPr>
          <w:rFonts w:ascii="Times New Roman" w:hAnsi="Times New Roman" w:cs="Times New Roman"/>
        </w:rPr>
      </w:pPr>
      <w:r>
        <w:rPr>
          <w:rFonts w:ascii="Times New Roman" w:hAnsi="Times New Roman" w:cs="Times New Roman"/>
        </w:rPr>
        <w:t>7.</w:t>
      </w:r>
      <w:r>
        <w:rPr>
          <w:rFonts w:ascii="Times New Roman" w:hAnsi="Times New Roman" w:cs="Times New Roman"/>
        </w:rPr>
        <w:tab/>
        <w:t>Consequent upon the default of the 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Defendants, on 21 October 2011, judgment was entered by this Honourable Court against the 1</w:t>
      </w:r>
      <w:r>
        <w:rPr>
          <w:rFonts w:ascii="Times New Roman" w:hAnsi="Times New Roman" w:cs="Times New Roman"/>
          <w:vertAlign w:val="superscript"/>
        </w:rPr>
        <w:t>st</w:t>
      </w:r>
      <w:r>
        <w:rPr>
          <w:rFonts w:ascii="Times New Roman" w:hAnsi="Times New Roman" w:cs="Times New Roman"/>
        </w:rPr>
        <w:t xml:space="preserve"> and 2</w:t>
      </w:r>
      <w:r>
        <w:rPr>
          <w:rFonts w:ascii="Times New Roman" w:hAnsi="Times New Roman" w:cs="Times New Roman"/>
          <w:vertAlign w:val="superscript"/>
        </w:rPr>
        <w:t>nd</w:t>
      </w:r>
      <w:r>
        <w:rPr>
          <w:rFonts w:ascii="Times New Roman" w:hAnsi="Times New Roman" w:cs="Times New Roman"/>
        </w:rPr>
        <w:t xml:space="preserve"> Defendants pursuant to an</w:t>
      </w:r>
      <w:r w:rsidR="001504E7">
        <w:rPr>
          <w:rFonts w:ascii="Times New Roman" w:hAnsi="Times New Roman" w:cs="Times New Roman"/>
        </w:rPr>
        <w:t xml:space="preserve"> </w:t>
      </w:r>
      <w:r>
        <w:rPr>
          <w:rFonts w:ascii="Times New Roman" w:hAnsi="Times New Roman" w:cs="Times New Roman"/>
        </w:rPr>
        <w:t>application by the Plaintiff. By then, the balance outstanding in respect of which judgment was entered had been reduced to US$241 793-82. Interest was granted at the rate of 5% per annum together with costs of suit.</w:t>
      </w:r>
    </w:p>
    <w:p w:rsidR="00923FC1" w:rsidRDefault="00923FC1" w:rsidP="00923FC1">
      <w:pPr>
        <w:spacing w:after="0" w:line="240" w:lineRule="auto"/>
        <w:jc w:val="both"/>
        <w:rPr>
          <w:rFonts w:ascii="Times New Roman" w:hAnsi="Times New Roman" w:cs="Times New Roman"/>
        </w:rPr>
      </w:pPr>
    </w:p>
    <w:p w:rsidR="00923FC1" w:rsidRDefault="00923FC1" w:rsidP="003C53DA">
      <w:pPr>
        <w:spacing w:after="0" w:line="240" w:lineRule="auto"/>
        <w:ind w:left="1440" w:hanging="720"/>
        <w:jc w:val="both"/>
        <w:rPr>
          <w:rFonts w:ascii="Times New Roman" w:hAnsi="Times New Roman" w:cs="Times New Roman"/>
        </w:rPr>
      </w:pPr>
      <w:r>
        <w:rPr>
          <w:rFonts w:ascii="Times New Roman" w:hAnsi="Times New Roman" w:cs="Times New Roman"/>
        </w:rPr>
        <w:t>8.</w:t>
      </w:r>
      <w:r>
        <w:rPr>
          <w:rFonts w:ascii="Times New Roman" w:hAnsi="Times New Roman" w:cs="Times New Roman"/>
        </w:rPr>
        <w:tab/>
        <w:t>On the 3</w:t>
      </w:r>
      <w:r>
        <w:rPr>
          <w:rFonts w:ascii="Times New Roman" w:hAnsi="Times New Roman" w:cs="Times New Roman"/>
          <w:vertAlign w:val="superscript"/>
        </w:rPr>
        <w:t>rd</w:t>
      </w:r>
      <w:r>
        <w:rPr>
          <w:rFonts w:ascii="Times New Roman" w:hAnsi="Times New Roman" w:cs="Times New Roman"/>
        </w:rPr>
        <w:t xml:space="preserve"> of July 2015, the Plaintiff issued a certificate of balance which is item number</w:t>
      </w:r>
      <w:r w:rsidR="001504E7">
        <w:rPr>
          <w:rFonts w:ascii="Times New Roman" w:hAnsi="Times New Roman" w:cs="Times New Roman"/>
        </w:rPr>
        <w:t xml:space="preserve"> </w:t>
      </w:r>
      <w:r>
        <w:rPr>
          <w:rFonts w:ascii="Times New Roman" w:hAnsi="Times New Roman" w:cs="Times New Roman"/>
        </w:rPr>
        <w:t>7, page 42 on the Plaintiff’s bundle of documents. In terms of the said certificate, the balance outstanding and due by the principal debtor, the 1</w:t>
      </w:r>
      <w:r>
        <w:rPr>
          <w:rFonts w:ascii="Times New Roman" w:hAnsi="Times New Roman" w:cs="Times New Roman"/>
          <w:vertAlign w:val="superscript"/>
        </w:rPr>
        <w:t>st</w:t>
      </w:r>
      <w:r>
        <w:rPr>
          <w:rFonts w:ascii="Times New Roman" w:hAnsi="Times New Roman" w:cs="Times New Roman"/>
        </w:rPr>
        <w:t xml:space="preserve"> Defendant as at the 3</w:t>
      </w:r>
      <w:r>
        <w:rPr>
          <w:rFonts w:ascii="Times New Roman" w:hAnsi="Times New Roman" w:cs="Times New Roman"/>
          <w:vertAlign w:val="superscript"/>
        </w:rPr>
        <w:t>rd</w:t>
      </w:r>
      <w:r>
        <w:rPr>
          <w:rFonts w:ascii="Times New Roman" w:hAnsi="Times New Roman" w:cs="Times New Roman"/>
        </w:rPr>
        <w:t xml:space="preserve"> of July</w:t>
      </w:r>
      <w:r w:rsidR="001504E7">
        <w:rPr>
          <w:rFonts w:ascii="Times New Roman" w:hAnsi="Times New Roman" w:cs="Times New Roman"/>
        </w:rPr>
        <w:t xml:space="preserve"> </w:t>
      </w:r>
      <w:r>
        <w:rPr>
          <w:rFonts w:ascii="Times New Roman" w:hAnsi="Times New Roman" w:cs="Times New Roman"/>
        </w:rPr>
        <w:t>2015 was the sum of US$236 315-00 together with interest at the rate of 5% per annum from the 3</w:t>
      </w:r>
      <w:r>
        <w:rPr>
          <w:rFonts w:ascii="Times New Roman" w:hAnsi="Times New Roman" w:cs="Times New Roman"/>
          <w:vertAlign w:val="superscript"/>
        </w:rPr>
        <w:t>rd</w:t>
      </w:r>
      <w:r>
        <w:rPr>
          <w:rFonts w:ascii="Times New Roman" w:hAnsi="Times New Roman" w:cs="Times New Roman"/>
        </w:rPr>
        <w:t xml:space="preserve"> of July 2015 to the date of full payment.</w:t>
      </w:r>
    </w:p>
    <w:p w:rsidR="00923FC1" w:rsidRDefault="00923FC1" w:rsidP="00923FC1">
      <w:pPr>
        <w:spacing w:after="0" w:line="240" w:lineRule="auto"/>
        <w:jc w:val="both"/>
        <w:rPr>
          <w:rFonts w:ascii="Times New Roman" w:hAnsi="Times New Roman" w:cs="Times New Roman"/>
        </w:rPr>
      </w:pPr>
    </w:p>
    <w:p w:rsidR="00923FC1" w:rsidRDefault="00923FC1" w:rsidP="003C53DA">
      <w:pPr>
        <w:spacing w:after="0" w:line="240" w:lineRule="auto"/>
        <w:ind w:left="1440" w:hanging="720"/>
        <w:jc w:val="both"/>
        <w:rPr>
          <w:rFonts w:ascii="Times New Roman" w:hAnsi="Times New Roman" w:cs="Times New Roman"/>
        </w:rPr>
      </w:pPr>
      <w:r>
        <w:rPr>
          <w:rFonts w:ascii="Times New Roman" w:hAnsi="Times New Roman" w:cs="Times New Roman"/>
        </w:rPr>
        <w:t>9.</w:t>
      </w:r>
      <w:r>
        <w:rPr>
          <w:rFonts w:ascii="Times New Roman" w:hAnsi="Times New Roman" w:cs="Times New Roman"/>
        </w:rPr>
        <w:tab/>
        <w:t>From the above agreed facts, the sole question for determination is whether the 3</w:t>
      </w:r>
      <w:r>
        <w:rPr>
          <w:rFonts w:ascii="Times New Roman" w:hAnsi="Times New Roman" w:cs="Times New Roman"/>
          <w:vertAlign w:val="superscript"/>
        </w:rPr>
        <w:t>rd</w:t>
      </w:r>
      <w:r w:rsidR="001504E7">
        <w:rPr>
          <w:rFonts w:ascii="Times New Roman" w:hAnsi="Times New Roman" w:cs="Times New Roman"/>
          <w:vertAlign w:val="superscript"/>
        </w:rPr>
        <w:t xml:space="preserve"> </w:t>
      </w:r>
      <w:r>
        <w:rPr>
          <w:rFonts w:ascii="Times New Roman" w:hAnsi="Times New Roman" w:cs="Times New Roman"/>
        </w:rPr>
        <w:t xml:space="preserve">Defendant is liable in terms of the deed of </w:t>
      </w:r>
      <w:proofErr w:type="spellStart"/>
      <w:r>
        <w:rPr>
          <w:rFonts w:ascii="Times New Roman" w:hAnsi="Times New Roman" w:cs="Times New Roman"/>
        </w:rPr>
        <w:t>suretyship</w:t>
      </w:r>
      <w:proofErr w:type="spellEnd"/>
      <w:r>
        <w:rPr>
          <w:rFonts w:ascii="Times New Roman" w:hAnsi="Times New Roman" w:cs="Times New Roman"/>
        </w:rPr>
        <w:t>. The parties therefore place this issue before the Honourable Court for determination.”</w:t>
      </w:r>
    </w:p>
    <w:p w:rsidR="00923FC1" w:rsidRDefault="00923FC1" w:rsidP="00923FC1">
      <w:pPr>
        <w:spacing w:after="0" w:line="240" w:lineRule="auto"/>
        <w:jc w:val="both"/>
        <w:rPr>
          <w:rFonts w:ascii="Times New Roman" w:hAnsi="Times New Roman" w:cs="Times New Roman"/>
        </w:rPr>
      </w:pPr>
    </w:p>
    <w:p w:rsidR="00042361" w:rsidRDefault="00923FC1" w:rsidP="00192C58">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Hashiti</w:t>
      </w:r>
      <w:proofErr w:type="spellEnd"/>
      <w:r>
        <w:rPr>
          <w:rFonts w:ascii="Times New Roman" w:hAnsi="Times New Roman" w:cs="Times New Roman"/>
          <w:i/>
          <w:sz w:val="24"/>
          <w:szCs w:val="24"/>
        </w:rPr>
        <w:t xml:space="preserve"> </w:t>
      </w:r>
      <w:r>
        <w:rPr>
          <w:rFonts w:ascii="Times New Roman" w:hAnsi="Times New Roman" w:cs="Times New Roman"/>
          <w:sz w:val="24"/>
          <w:szCs w:val="24"/>
        </w:rPr>
        <w:t>for the</w:t>
      </w:r>
      <w:r w:rsidR="00521F15">
        <w:rPr>
          <w:rFonts w:ascii="Times New Roman" w:hAnsi="Times New Roman" w:cs="Times New Roman"/>
          <w:sz w:val="24"/>
          <w:szCs w:val="24"/>
        </w:rPr>
        <w:t xml:space="preserve"> third </w:t>
      </w:r>
      <w:r>
        <w:rPr>
          <w:rFonts w:ascii="Times New Roman" w:hAnsi="Times New Roman" w:cs="Times New Roman"/>
          <w:sz w:val="24"/>
          <w:szCs w:val="24"/>
        </w:rPr>
        <w:t xml:space="preserve">defendant submitted that the plaintiff does not have a cause of action against the third defendant because the latter signed the deed of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in his capacity as a director of the first defendant. He has since retired from that position as a result of which the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has expired. He submitted further that upon retiring, the third defendant had made a proposal to the plaintiff that a person who was taking over directorship from him be substituted as surety in his place and stead. In fact a notice to that effect was given to the plaintiff, </w:t>
      </w:r>
      <w:r w:rsidR="00521F15">
        <w:rPr>
          <w:rFonts w:ascii="Times New Roman" w:hAnsi="Times New Roman" w:cs="Times New Roman"/>
          <w:sz w:val="24"/>
          <w:szCs w:val="24"/>
        </w:rPr>
        <w:t>which was asked in correspondence</w:t>
      </w:r>
      <w:r>
        <w:rPr>
          <w:rFonts w:ascii="Times New Roman" w:hAnsi="Times New Roman" w:cs="Times New Roman"/>
          <w:sz w:val="24"/>
          <w:szCs w:val="24"/>
        </w:rPr>
        <w:t xml:space="preserve"> sent by the third defendant’s legal practitioners to sign a deed of cancellation. The plaintiff did not respond to such correspondence and therefore by its silence, it acquiesced to the release of the third defendant as surety.</w:t>
      </w:r>
    </w:p>
    <w:p w:rsidR="00042361" w:rsidRDefault="00042361" w:rsidP="00042361">
      <w:pPr>
        <w:spacing w:line="360" w:lineRule="auto"/>
        <w:jc w:val="both"/>
        <w:rPr>
          <w:rFonts w:ascii="Times New Roman" w:hAnsi="Times New Roman" w:cs="Times New Roman"/>
          <w:sz w:val="24"/>
          <w:szCs w:val="24"/>
        </w:rPr>
      </w:pPr>
      <w:r>
        <w:rPr>
          <w:rFonts w:ascii="Times New Roman" w:hAnsi="Times New Roman" w:cs="Times New Roman"/>
          <w:sz w:val="24"/>
          <w:szCs w:val="24"/>
        </w:rPr>
        <w:tab/>
        <w:t xml:space="preserve">Reliance was then placed on authorities dealing with the doctrine of quasi mutual assent.  In my view reliance on that doctrine is misplaced because, as stated by the learned author R.H. Christie, </w:t>
      </w:r>
      <w:r>
        <w:rPr>
          <w:rFonts w:ascii="Times New Roman" w:hAnsi="Times New Roman" w:cs="Times New Roman"/>
          <w:i/>
          <w:sz w:val="24"/>
          <w:szCs w:val="24"/>
        </w:rPr>
        <w:t>Business Law in Zimbabwe</w:t>
      </w:r>
      <w:r>
        <w:rPr>
          <w:rFonts w:ascii="Times New Roman" w:hAnsi="Times New Roman" w:cs="Times New Roman"/>
          <w:sz w:val="24"/>
          <w:szCs w:val="24"/>
        </w:rPr>
        <w:t>,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ed,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&amp; Co Ltd at </w:t>
      </w:r>
      <w:proofErr w:type="spellStart"/>
      <w:r>
        <w:rPr>
          <w:rFonts w:ascii="Times New Roman" w:hAnsi="Times New Roman" w:cs="Times New Roman"/>
          <w:sz w:val="24"/>
          <w:szCs w:val="24"/>
        </w:rPr>
        <w:t>pp</w:t>
      </w:r>
      <w:proofErr w:type="spellEnd"/>
      <w:r>
        <w:rPr>
          <w:rFonts w:ascii="Times New Roman" w:hAnsi="Times New Roman" w:cs="Times New Roman"/>
          <w:sz w:val="24"/>
          <w:szCs w:val="24"/>
        </w:rPr>
        <w:t xml:space="preserve"> 31-2:</w:t>
      </w:r>
    </w:p>
    <w:p w:rsidR="00042361" w:rsidRDefault="00042361" w:rsidP="00AB5AD9">
      <w:pPr>
        <w:spacing w:after="0" w:line="240" w:lineRule="auto"/>
        <w:ind w:left="720"/>
        <w:jc w:val="both"/>
        <w:rPr>
          <w:rFonts w:ascii="Times New Roman" w:hAnsi="Times New Roman" w:cs="Times New Roman"/>
        </w:rPr>
      </w:pPr>
      <w:r w:rsidRPr="00521F15">
        <w:rPr>
          <w:rFonts w:ascii="Times New Roman" w:hAnsi="Times New Roman" w:cs="Times New Roman"/>
        </w:rPr>
        <w:t xml:space="preserve">“This doctrine is simply a recognition of the fact that a party to contractual </w:t>
      </w:r>
      <w:r w:rsidRPr="00521F15">
        <w:rPr>
          <w:rFonts w:ascii="Times New Roman" w:hAnsi="Times New Roman" w:cs="Times New Roman"/>
        </w:rPr>
        <w:tab/>
        <w:t xml:space="preserve">negotiations is no better equipped than the court to plumb the mind of the other party, </w:t>
      </w:r>
      <w:r w:rsidRPr="00521F15">
        <w:rPr>
          <w:rFonts w:ascii="Times New Roman" w:hAnsi="Times New Roman" w:cs="Times New Roman"/>
        </w:rPr>
        <w:tab/>
        <w:t>so</w:t>
      </w:r>
      <w:r w:rsidR="00AB5AD9">
        <w:rPr>
          <w:rFonts w:ascii="Times New Roman" w:hAnsi="Times New Roman" w:cs="Times New Roman"/>
        </w:rPr>
        <w:t xml:space="preserve"> </w:t>
      </w:r>
      <w:r w:rsidRPr="00521F15">
        <w:rPr>
          <w:rFonts w:ascii="Times New Roman" w:hAnsi="Times New Roman" w:cs="Times New Roman"/>
        </w:rPr>
        <w:t>if the other party’s words or actions gave him reasonably to</w:t>
      </w:r>
      <w:r w:rsidR="00521F15">
        <w:rPr>
          <w:rFonts w:ascii="Times New Roman" w:hAnsi="Times New Roman" w:cs="Times New Roman"/>
        </w:rPr>
        <w:t xml:space="preserve"> understand that their minds had met, then </w:t>
      </w:r>
      <w:r w:rsidRPr="00521F15">
        <w:rPr>
          <w:rFonts w:ascii="Times New Roman" w:hAnsi="Times New Roman" w:cs="Times New Roman"/>
        </w:rPr>
        <w:t xml:space="preserve">there was a contract even if, in truth, </w:t>
      </w:r>
      <w:r w:rsidR="008C2EC8" w:rsidRPr="00521F15">
        <w:rPr>
          <w:rFonts w:ascii="Times New Roman" w:hAnsi="Times New Roman" w:cs="Times New Roman"/>
        </w:rPr>
        <w:t>their minds</w:t>
      </w:r>
      <w:r w:rsidRPr="00521F15">
        <w:rPr>
          <w:rFonts w:ascii="Times New Roman" w:hAnsi="Times New Roman" w:cs="Times New Roman"/>
        </w:rPr>
        <w:t xml:space="preserve"> did not meet.  The doctrine stems from Blackburn J’s words (in </w:t>
      </w:r>
      <w:r w:rsidRPr="00521F15">
        <w:rPr>
          <w:rFonts w:ascii="Times New Roman" w:hAnsi="Times New Roman" w:cs="Times New Roman"/>
          <w:i/>
        </w:rPr>
        <w:t>Smith</w:t>
      </w:r>
      <w:r w:rsidRPr="00521F15">
        <w:rPr>
          <w:rFonts w:ascii="Times New Roman" w:hAnsi="Times New Roman" w:cs="Times New Roman"/>
        </w:rPr>
        <w:t xml:space="preserve"> v </w:t>
      </w:r>
      <w:r w:rsidRPr="00521F15">
        <w:rPr>
          <w:rFonts w:ascii="Times New Roman" w:hAnsi="Times New Roman" w:cs="Times New Roman"/>
          <w:i/>
        </w:rPr>
        <w:t>Hughes</w:t>
      </w:r>
      <w:r w:rsidRPr="00521F15">
        <w:rPr>
          <w:rFonts w:ascii="Times New Roman" w:hAnsi="Times New Roman" w:cs="Times New Roman"/>
        </w:rPr>
        <w:t xml:space="preserve"> (1871) LR 6 QB 597 607 restating the </w:t>
      </w:r>
      <w:r w:rsidRPr="00521F15">
        <w:rPr>
          <w:rFonts w:ascii="Times New Roman" w:hAnsi="Times New Roman" w:cs="Times New Roman"/>
        </w:rPr>
        <w:tab/>
        <w:t>rule</w:t>
      </w:r>
      <w:r w:rsidR="00AB5AD9">
        <w:rPr>
          <w:rFonts w:ascii="Times New Roman" w:hAnsi="Times New Roman" w:cs="Times New Roman"/>
        </w:rPr>
        <w:t xml:space="preserve"> </w:t>
      </w:r>
      <w:r w:rsidRPr="00521F15">
        <w:rPr>
          <w:rFonts w:ascii="Times New Roman" w:hAnsi="Times New Roman" w:cs="Times New Roman"/>
        </w:rPr>
        <w:t xml:space="preserve">in </w:t>
      </w:r>
      <w:r w:rsidRPr="00521F15">
        <w:rPr>
          <w:rFonts w:ascii="Times New Roman" w:hAnsi="Times New Roman" w:cs="Times New Roman"/>
          <w:i/>
        </w:rPr>
        <w:t>Freeman</w:t>
      </w:r>
      <w:r w:rsidRPr="00521F15">
        <w:rPr>
          <w:rFonts w:ascii="Times New Roman" w:hAnsi="Times New Roman" w:cs="Times New Roman"/>
        </w:rPr>
        <w:t xml:space="preserve"> v</w:t>
      </w:r>
      <w:r w:rsidRPr="00521F15">
        <w:rPr>
          <w:rFonts w:ascii="Times New Roman" w:hAnsi="Times New Roman" w:cs="Times New Roman"/>
          <w:i/>
        </w:rPr>
        <w:t xml:space="preserve"> Cooke</w:t>
      </w:r>
      <w:r w:rsidRPr="00521F15">
        <w:rPr>
          <w:rFonts w:ascii="Times New Roman" w:hAnsi="Times New Roman" w:cs="Times New Roman"/>
        </w:rPr>
        <w:t xml:space="preserve"> (1848) 2 Ex 654 663) adopted in Zimbabwean law in </w:t>
      </w:r>
      <w:r w:rsidRPr="00521F15">
        <w:rPr>
          <w:rFonts w:ascii="Times New Roman" w:hAnsi="Times New Roman" w:cs="Times New Roman"/>
        </w:rPr>
        <w:tab/>
      </w:r>
      <w:r w:rsidRPr="00521F15">
        <w:rPr>
          <w:rFonts w:ascii="Times New Roman" w:hAnsi="Times New Roman" w:cs="Times New Roman"/>
          <w:i/>
        </w:rPr>
        <w:t>Diamond</w:t>
      </w:r>
      <w:r w:rsidR="008C2EC8">
        <w:rPr>
          <w:rFonts w:ascii="Times New Roman" w:hAnsi="Times New Roman" w:cs="Times New Roman"/>
          <w:i/>
        </w:rPr>
        <w:t xml:space="preserve"> </w:t>
      </w:r>
      <w:r w:rsidRPr="00521F15">
        <w:rPr>
          <w:rFonts w:ascii="Times New Roman" w:hAnsi="Times New Roman" w:cs="Times New Roman"/>
        </w:rPr>
        <w:t>v</w:t>
      </w:r>
      <w:r w:rsidR="008C2EC8">
        <w:rPr>
          <w:rFonts w:ascii="Times New Roman" w:hAnsi="Times New Roman" w:cs="Times New Roman"/>
        </w:rPr>
        <w:t xml:space="preserve"> </w:t>
      </w:r>
      <w:proofErr w:type="spellStart"/>
      <w:r w:rsidRPr="00521F15">
        <w:rPr>
          <w:rFonts w:ascii="Times New Roman" w:hAnsi="Times New Roman" w:cs="Times New Roman"/>
          <w:i/>
        </w:rPr>
        <w:t>Kernick</w:t>
      </w:r>
      <w:proofErr w:type="spellEnd"/>
      <w:r w:rsidR="008C2EC8">
        <w:rPr>
          <w:rFonts w:ascii="Times New Roman" w:hAnsi="Times New Roman" w:cs="Times New Roman"/>
          <w:i/>
        </w:rPr>
        <w:t xml:space="preserve"> </w:t>
      </w:r>
      <w:r w:rsidRPr="00521F15">
        <w:rPr>
          <w:rFonts w:ascii="Times New Roman" w:hAnsi="Times New Roman" w:cs="Times New Roman"/>
        </w:rPr>
        <w:t>1947 (3) SA 69 (A) 83;</w:t>
      </w:r>
      <w:r w:rsidRPr="00521F15">
        <w:rPr>
          <w:rFonts w:ascii="Times New Roman" w:hAnsi="Times New Roman" w:cs="Times New Roman"/>
          <w:i/>
        </w:rPr>
        <w:t xml:space="preserve"> Levy </w:t>
      </w:r>
      <w:r w:rsidRPr="00521F15">
        <w:rPr>
          <w:rFonts w:ascii="Times New Roman" w:hAnsi="Times New Roman" w:cs="Times New Roman"/>
        </w:rPr>
        <w:t>above at 562A; (</w:t>
      </w:r>
      <w:r w:rsidRPr="00521F15">
        <w:rPr>
          <w:rFonts w:ascii="Times New Roman" w:hAnsi="Times New Roman" w:cs="Times New Roman"/>
          <w:i/>
        </w:rPr>
        <w:t>Levy</w:t>
      </w:r>
      <w:r w:rsidRPr="00521F15">
        <w:rPr>
          <w:rFonts w:ascii="Times New Roman" w:hAnsi="Times New Roman" w:cs="Times New Roman"/>
        </w:rPr>
        <w:t xml:space="preserve"> v </w:t>
      </w:r>
      <w:r w:rsidRPr="00521F15">
        <w:rPr>
          <w:rFonts w:ascii="Times New Roman" w:hAnsi="Times New Roman" w:cs="Times New Roman"/>
          <w:i/>
        </w:rPr>
        <w:t xml:space="preserve">Banker </w:t>
      </w:r>
      <w:r w:rsidRPr="00521F15">
        <w:rPr>
          <w:rFonts w:ascii="Times New Roman" w:hAnsi="Times New Roman" w:cs="Times New Roman"/>
          <w:i/>
        </w:rPr>
        <w:tab/>
        <w:t>Holdings (Pvt) Ltd</w:t>
      </w:r>
      <w:r w:rsidRPr="00521F15">
        <w:rPr>
          <w:rFonts w:ascii="Times New Roman" w:hAnsi="Times New Roman" w:cs="Times New Roman"/>
        </w:rPr>
        <w:t xml:space="preserve"> 1956 </w:t>
      </w:r>
      <w:r w:rsidRPr="00521F15">
        <w:rPr>
          <w:rFonts w:ascii="Times New Roman" w:hAnsi="Times New Roman" w:cs="Times New Roman"/>
        </w:rPr>
        <w:lastRenderedPageBreak/>
        <w:t xml:space="preserve">R&amp;N 98 (FS); </w:t>
      </w:r>
      <w:r w:rsidRPr="00521F15">
        <w:rPr>
          <w:rFonts w:ascii="Times New Roman" w:hAnsi="Times New Roman" w:cs="Times New Roman"/>
          <w:i/>
        </w:rPr>
        <w:t>Springvale</w:t>
      </w:r>
      <w:r w:rsidRPr="00521F15">
        <w:rPr>
          <w:rFonts w:ascii="Times New Roman" w:hAnsi="Times New Roman" w:cs="Times New Roman"/>
        </w:rPr>
        <w:t xml:space="preserve"> above at 148, 9, 469-70 (</w:t>
      </w:r>
      <w:r w:rsidRPr="00521F15">
        <w:rPr>
          <w:rFonts w:ascii="Times New Roman" w:hAnsi="Times New Roman" w:cs="Times New Roman"/>
          <w:i/>
        </w:rPr>
        <w:t>Springvale Ltd</w:t>
      </w:r>
      <w:r w:rsidRPr="00521F15">
        <w:rPr>
          <w:rFonts w:ascii="Times New Roman" w:hAnsi="Times New Roman" w:cs="Times New Roman"/>
        </w:rPr>
        <w:t xml:space="preserve"> v</w:t>
      </w:r>
      <w:r w:rsidRPr="00521F15">
        <w:rPr>
          <w:rFonts w:ascii="Times New Roman" w:hAnsi="Times New Roman" w:cs="Times New Roman"/>
          <w:i/>
        </w:rPr>
        <w:t xml:space="preserve"> Edwards </w:t>
      </w:r>
      <w:r w:rsidRPr="00521F15">
        <w:rPr>
          <w:rFonts w:ascii="Times New Roman" w:hAnsi="Times New Roman" w:cs="Times New Roman"/>
        </w:rPr>
        <w:t>1968 (2) RLR 141 (A) 148-9’ 1969 (1) SA 464 469-</w:t>
      </w:r>
      <w:r w:rsidRPr="00521F15">
        <w:rPr>
          <w:rFonts w:ascii="Times New Roman" w:hAnsi="Times New Roman" w:cs="Times New Roman"/>
        </w:rPr>
        <w:tab/>
        <w:t>70):</w:t>
      </w:r>
    </w:p>
    <w:p w:rsidR="00521F15" w:rsidRPr="00521F15" w:rsidRDefault="00521F15" w:rsidP="00521F15">
      <w:pPr>
        <w:spacing w:after="0" w:line="240" w:lineRule="auto"/>
        <w:ind w:left="720"/>
        <w:jc w:val="both"/>
        <w:rPr>
          <w:rFonts w:ascii="Times New Roman" w:hAnsi="Times New Roman" w:cs="Times New Roman"/>
        </w:rPr>
      </w:pPr>
    </w:p>
    <w:p w:rsidR="00042361" w:rsidRPr="00521F15" w:rsidRDefault="00042361" w:rsidP="00521F15">
      <w:pPr>
        <w:spacing w:after="0" w:line="240" w:lineRule="auto"/>
        <w:ind w:left="1440"/>
        <w:jc w:val="both"/>
        <w:rPr>
          <w:rFonts w:ascii="Times New Roman" w:hAnsi="Times New Roman" w:cs="Times New Roman"/>
        </w:rPr>
      </w:pPr>
      <w:r w:rsidRPr="00521F15">
        <w:rPr>
          <w:rFonts w:ascii="Times New Roman" w:hAnsi="Times New Roman" w:cs="Times New Roman"/>
        </w:rPr>
        <w:t>‘If, whatever a man’s real intention may be,</w:t>
      </w:r>
      <w:r w:rsidR="00521F15">
        <w:rPr>
          <w:rFonts w:ascii="Times New Roman" w:hAnsi="Times New Roman" w:cs="Times New Roman"/>
        </w:rPr>
        <w:t xml:space="preserve"> he so conducts himself that a </w:t>
      </w:r>
      <w:r w:rsidR="00BE55C6" w:rsidRPr="00521F15">
        <w:rPr>
          <w:rFonts w:ascii="Times New Roman" w:hAnsi="Times New Roman" w:cs="Times New Roman"/>
        </w:rPr>
        <w:t>reasonable</w:t>
      </w:r>
      <w:r w:rsidR="00BE55C6">
        <w:rPr>
          <w:rFonts w:ascii="Times New Roman" w:hAnsi="Times New Roman" w:cs="Times New Roman"/>
        </w:rPr>
        <w:t xml:space="preserve"> </w:t>
      </w:r>
      <w:r w:rsidR="00BE55C6" w:rsidRPr="00521F15">
        <w:rPr>
          <w:rFonts w:ascii="Times New Roman" w:hAnsi="Times New Roman" w:cs="Times New Roman"/>
        </w:rPr>
        <w:t>man</w:t>
      </w:r>
      <w:r w:rsidRPr="00521F15">
        <w:rPr>
          <w:rFonts w:ascii="Times New Roman" w:hAnsi="Times New Roman" w:cs="Times New Roman"/>
        </w:rPr>
        <w:t xml:space="preserve"> would believe that he was assenting to the terms proposed by the other party, and that other party upon that belief enters into the contract with him, the man thus conducting himself would be</w:t>
      </w:r>
      <w:r w:rsidR="00521F15">
        <w:rPr>
          <w:rFonts w:ascii="Times New Roman" w:hAnsi="Times New Roman" w:cs="Times New Roman"/>
        </w:rPr>
        <w:t xml:space="preserve"> </w:t>
      </w:r>
      <w:r w:rsidRPr="00521F15">
        <w:rPr>
          <w:rFonts w:ascii="Times New Roman" w:hAnsi="Times New Roman" w:cs="Times New Roman"/>
        </w:rPr>
        <w:t>equally bound as if he had intended to agree to the other party’s terms’.”</w:t>
      </w:r>
    </w:p>
    <w:p w:rsidR="00042361" w:rsidRPr="00521F15" w:rsidRDefault="00042361" w:rsidP="00042361">
      <w:pPr>
        <w:spacing w:after="0" w:line="240" w:lineRule="auto"/>
        <w:jc w:val="both"/>
        <w:rPr>
          <w:rFonts w:ascii="Times New Roman" w:hAnsi="Times New Roman" w:cs="Times New Roman"/>
        </w:rPr>
      </w:pP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agree with Mr </w:t>
      </w:r>
      <w:proofErr w:type="spellStart"/>
      <w:r>
        <w:rPr>
          <w:rFonts w:ascii="Times New Roman" w:hAnsi="Times New Roman" w:cs="Times New Roman"/>
          <w:i/>
          <w:sz w:val="24"/>
          <w:szCs w:val="24"/>
        </w:rPr>
        <w:t>Magwaliba</w:t>
      </w:r>
      <w:proofErr w:type="spellEnd"/>
      <w:r>
        <w:rPr>
          <w:rFonts w:ascii="Times New Roman" w:hAnsi="Times New Roman" w:cs="Times New Roman"/>
          <w:sz w:val="24"/>
          <w:szCs w:val="24"/>
        </w:rPr>
        <w:t xml:space="preserve"> for the plaintiff that quasi mutual assent would not set in simply because the parties did not enter into a new agreement. A creditor holding on to the security of a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does not lose that security merely because the surety, in a desperate effort to be released, sends a proposal, complete with a deed of cancellation of the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demanding his release and the substitution of a third party not approved by the creditor, which the creditor does not respond to.  It is a celebrated principle of our law that existing rights cannot be waived by implication but by express terms.</w:t>
      </w: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It is important to note that the liability of the third defendant as surety and co-principal debtor was premised, not on his position as director of the first defendant, but upon the deed of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that he signed.  It is that written document which became the true memorial of the relationship between the parties and not some other issues, ima</w:t>
      </w:r>
      <w:r w:rsidR="001639DB">
        <w:rPr>
          <w:rFonts w:ascii="Times New Roman" w:hAnsi="Times New Roman" w:cs="Times New Roman"/>
          <w:sz w:val="24"/>
          <w:szCs w:val="24"/>
        </w:rPr>
        <w:t>gined or real</w:t>
      </w:r>
      <w:r>
        <w:rPr>
          <w:rFonts w:ascii="Times New Roman" w:hAnsi="Times New Roman" w:cs="Times New Roman"/>
          <w:sz w:val="24"/>
          <w:szCs w:val="24"/>
        </w:rPr>
        <w:t xml:space="preserve"> not recorded therein.</w:t>
      </w: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Mr </w:t>
      </w:r>
      <w:proofErr w:type="spellStart"/>
      <w:r>
        <w:rPr>
          <w:rFonts w:ascii="Times New Roman" w:hAnsi="Times New Roman" w:cs="Times New Roman"/>
          <w:i/>
          <w:sz w:val="24"/>
          <w:szCs w:val="24"/>
        </w:rPr>
        <w:t>Hashiti</w:t>
      </w:r>
      <w:proofErr w:type="spellEnd"/>
      <w:r>
        <w:rPr>
          <w:rFonts w:ascii="Times New Roman" w:hAnsi="Times New Roman" w:cs="Times New Roman"/>
          <w:sz w:val="24"/>
          <w:szCs w:val="24"/>
        </w:rPr>
        <w:t xml:space="preserve"> then took the fight to the realm of the law relating to compromises. He submitted that the third defendant was released as surety the moment the plaintiff entered into a compromise with the first and second defendants, that is when a deed of settlement was signed between them on 31 March 2011 which made no reference to the third defendant and led to a court order being entered against the first and second defendant</w:t>
      </w:r>
      <w:r w:rsidR="00521F15">
        <w:rPr>
          <w:rFonts w:ascii="Times New Roman" w:hAnsi="Times New Roman" w:cs="Times New Roman"/>
          <w:sz w:val="24"/>
          <w:szCs w:val="24"/>
        </w:rPr>
        <w:t>s</w:t>
      </w:r>
      <w:r>
        <w:rPr>
          <w:rFonts w:ascii="Times New Roman" w:hAnsi="Times New Roman" w:cs="Times New Roman"/>
          <w:sz w:val="24"/>
          <w:szCs w:val="24"/>
        </w:rPr>
        <w:t xml:space="preserve"> on 21 October 2011.  By entering into a new agreement with the other defendants, the plaintiff automatically released the surety from his liabilities in terms of the deed of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I do not agree with that proposition.</w:t>
      </w: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A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is a separate agreement between the surety and the creditor. It is a stand-alone agreement binding the surety to the creditor: </w:t>
      </w:r>
      <w:r>
        <w:rPr>
          <w:rFonts w:ascii="Times New Roman" w:hAnsi="Times New Roman" w:cs="Times New Roman"/>
          <w:i/>
          <w:sz w:val="24"/>
          <w:szCs w:val="24"/>
        </w:rPr>
        <w:t>Trinity Engineering (Pvt) Ltd</w:t>
      </w:r>
      <w:r>
        <w:rPr>
          <w:rFonts w:ascii="Times New Roman" w:hAnsi="Times New Roman" w:cs="Times New Roman"/>
          <w:sz w:val="24"/>
          <w:szCs w:val="24"/>
        </w:rPr>
        <w:t xml:space="preserve"> v </w:t>
      </w:r>
      <w:proofErr w:type="spellStart"/>
      <w:r>
        <w:rPr>
          <w:rFonts w:ascii="Times New Roman" w:hAnsi="Times New Roman" w:cs="Times New Roman"/>
          <w:i/>
          <w:sz w:val="24"/>
          <w:szCs w:val="24"/>
        </w:rPr>
        <w:t>Karimazondo</w:t>
      </w:r>
      <w:proofErr w:type="spellEnd"/>
      <w:r>
        <w:rPr>
          <w:rFonts w:ascii="Times New Roman" w:hAnsi="Times New Roman" w:cs="Times New Roman"/>
          <w:i/>
          <w:sz w:val="24"/>
          <w:szCs w:val="24"/>
        </w:rPr>
        <w:t xml:space="preserve"> &amp; </w:t>
      </w:r>
      <w:proofErr w:type="spellStart"/>
      <w:r>
        <w:rPr>
          <w:rFonts w:ascii="Times New Roman" w:hAnsi="Times New Roman" w:cs="Times New Roman"/>
          <w:i/>
          <w:sz w:val="24"/>
          <w:szCs w:val="24"/>
        </w:rPr>
        <w:t>Ors</w:t>
      </w:r>
      <w:proofErr w:type="spellEnd"/>
      <w:r>
        <w:rPr>
          <w:rFonts w:ascii="Times New Roman" w:hAnsi="Times New Roman" w:cs="Times New Roman"/>
          <w:sz w:val="24"/>
          <w:szCs w:val="24"/>
        </w:rPr>
        <w:t xml:space="preserve"> HH 672/15.  That poi</w:t>
      </w:r>
      <w:r w:rsidR="00521F15">
        <w:rPr>
          <w:rFonts w:ascii="Times New Roman" w:hAnsi="Times New Roman" w:cs="Times New Roman"/>
          <w:sz w:val="24"/>
          <w:szCs w:val="24"/>
        </w:rPr>
        <w:t>nt was made emphatically by th</w:t>
      </w:r>
      <w:r>
        <w:rPr>
          <w:rFonts w:ascii="Times New Roman" w:hAnsi="Times New Roman" w:cs="Times New Roman"/>
          <w:sz w:val="24"/>
          <w:szCs w:val="24"/>
        </w:rPr>
        <w:t xml:space="preserve">e learned authors </w:t>
      </w:r>
      <w:r>
        <w:rPr>
          <w:rFonts w:ascii="Times New Roman" w:hAnsi="Times New Roman" w:cs="Times New Roman"/>
          <w:i/>
          <w:sz w:val="24"/>
          <w:szCs w:val="24"/>
        </w:rPr>
        <w:t xml:space="preserve">C.F. </w:t>
      </w:r>
      <w:proofErr w:type="spellStart"/>
      <w:r>
        <w:rPr>
          <w:rFonts w:ascii="Times New Roman" w:hAnsi="Times New Roman" w:cs="Times New Roman"/>
          <w:i/>
          <w:sz w:val="24"/>
          <w:szCs w:val="24"/>
        </w:rPr>
        <w:t>Forstyth</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&amp; </w:t>
      </w:r>
      <w:r>
        <w:rPr>
          <w:rFonts w:ascii="Times New Roman" w:hAnsi="Times New Roman" w:cs="Times New Roman"/>
          <w:i/>
          <w:sz w:val="24"/>
          <w:szCs w:val="24"/>
        </w:rPr>
        <w:t xml:space="preserve">J T </w:t>
      </w:r>
      <w:proofErr w:type="spellStart"/>
      <w:r>
        <w:rPr>
          <w:rFonts w:ascii="Times New Roman" w:hAnsi="Times New Roman" w:cs="Times New Roman"/>
          <w:i/>
          <w:sz w:val="24"/>
          <w:szCs w:val="24"/>
        </w:rPr>
        <w:t>Pretorious</w:t>
      </w:r>
      <w:proofErr w:type="spellEnd"/>
      <w:r>
        <w:rPr>
          <w:rFonts w:ascii="Times New Roman" w:hAnsi="Times New Roman" w:cs="Times New Roman"/>
          <w:sz w:val="24"/>
          <w:szCs w:val="24"/>
        </w:rPr>
        <w:t xml:space="preserve"> in </w:t>
      </w:r>
      <w:r>
        <w:rPr>
          <w:rFonts w:ascii="Times New Roman" w:hAnsi="Times New Roman" w:cs="Times New Roman"/>
          <w:i/>
          <w:sz w:val="24"/>
          <w:szCs w:val="24"/>
        </w:rPr>
        <w:t xml:space="preserve">Caney’s The Law of </w:t>
      </w:r>
      <w:proofErr w:type="spellStart"/>
      <w:r>
        <w:rPr>
          <w:rFonts w:ascii="Times New Roman" w:hAnsi="Times New Roman" w:cs="Times New Roman"/>
          <w:i/>
          <w:sz w:val="24"/>
          <w:szCs w:val="24"/>
        </w:rPr>
        <w:t>Suretyship</w:t>
      </w:r>
      <w:proofErr w:type="spellEnd"/>
      <w:r>
        <w:rPr>
          <w:rFonts w:ascii="Times New Roman" w:hAnsi="Times New Roman" w:cs="Times New Roman"/>
          <w:sz w:val="24"/>
          <w:szCs w:val="24"/>
        </w:rPr>
        <w:t>, 6</w:t>
      </w:r>
      <w:r>
        <w:rPr>
          <w:rFonts w:ascii="Times New Roman" w:hAnsi="Times New Roman" w:cs="Times New Roman"/>
          <w:sz w:val="24"/>
          <w:szCs w:val="24"/>
          <w:vertAlign w:val="superscript"/>
        </w:rPr>
        <w:t>th</w:t>
      </w:r>
      <w:r>
        <w:rPr>
          <w:rFonts w:ascii="Times New Roman" w:hAnsi="Times New Roman" w:cs="Times New Roman"/>
          <w:sz w:val="24"/>
          <w:szCs w:val="24"/>
        </w:rPr>
        <w:t xml:space="preserve">ed, </w:t>
      </w:r>
      <w:proofErr w:type="spellStart"/>
      <w:r>
        <w:rPr>
          <w:rFonts w:ascii="Times New Roman" w:hAnsi="Times New Roman" w:cs="Times New Roman"/>
          <w:sz w:val="24"/>
          <w:szCs w:val="24"/>
        </w:rPr>
        <w:t>Juta</w:t>
      </w:r>
      <w:proofErr w:type="spellEnd"/>
      <w:r>
        <w:rPr>
          <w:rFonts w:ascii="Times New Roman" w:hAnsi="Times New Roman" w:cs="Times New Roman"/>
          <w:sz w:val="24"/>
          <w:szCs w:val="24"/>
        </w:rPr>
        <w:t xml:space="preserve"> at p 30 where it is stated:</w:t>
      </w:r>
    </w:p>
    <w:p w:rsidR="00042361" w:rsidRDefault="00042361" w:rsidP="00042361">
      <w:pPr>
        <w:spacing w:after="0" w:line="240" w:lineRule="auto"/>
        <w:jc w:val="both"/>
        <w:rPr>
          <w:rFonts w:ascii="Times New Roman" w:hAnsi="Times New Roman" w:cs="Times New Roman"/>
        </w:rPr>
      </w:pPr>
      <w:r>
        <w:rPr>
          <w:rFonts w:ascii="Times New Roman" w:hAnsi="Times New Roman" w:cs="Times New Roman"/>
          <w:sz w:val="24"/>
          <w:szCs w:val="24"/>
        </w:rPr>
        <w:tab/>
      </w:r>
      <w:r>
        <w:rPr>
          <w:rFonts w:ascii="Times New Roman" w:hAnsi="Times New Roman" w:cs="Times New Roman"/>
        </w:rPr>
        <w:t xml:space="preserve">“Although there are three parties involved, there is not necessarily a tripartite agreement </w:t>
      </w:r>
      <w:r>
        <w:rPr>
          <w:rFonts w:ascii="Times New Roman" w:hAnsi="Times New Roman" w:cs="Times New Roman"/>
        </w:rPr>
        <w:tab/>
        <w:t xml:space="preserve">or </w:t>
      </w:r>
      <w:r>
        <w:rPr>
          <w:rFonts w:ascii="Times New Roman" w:hAnsi="Times New Roman" w:cs="Times New Roman"/>
        </w:rPr>
        <w:tab/>
        <w:t xml:space="preserve">contract; indeed, in practice there seldom is. There is the transaction, as a result of </w:t>
      </w:r>
      <w:r>
        <w:rPr>
          <w:rFonts w:ascii="Times New Roman" w:hAnsi="Times New Roman" w:cs="Times New Roman"/>
        </w:rPr>
        <w:tab/>
        <w:t xml:space="preserve">which the principal debtor is bound to the creditor, and there is a contract between </w:t>
      </w:r>
      <w:r>
        <w:rPr>
          <w:rFonts w:ascii="Times New Roman" w:hAnsi="Times New Roman" w:cs="Times New Roman"/>
        </w:rPr>
        <w:tab/>
        <w:t xml:space="preserve">creditor and surety by which each is bound to the other.  Thus the principal debtor is bound to </w:t>
      </w:r>
      <w:r>
        <w:rPr>
          <w:rFonts w:ascii="Times New Roman" w:hAnsi="Times New Roman" w:cs="Times New Roman"/>
        </w:rPr>
        <w:lastRenderedPageBreak/>
        <w:tab/>
        <w:t xml:space="preserve">the creditor, and there is a contract between creditor and surety by which each is bound to the </w:t>
      </w:r>
      <w:r>
        <w:rPr>
          <w:rFonts w:ascii="Times New Roman" w:hAnsi="Times New Roman" w:cs="Times New Roman"/>
        </w:rPr>
        <w:tab/>
        <w:t xml:space="preserve">other.  Thus the principal debtor is not necessarily a party to the contract between the surety </w:t>
      </w:r>
      <w:r>
        <w:rPr>
          <w:rFonts w:ascii="Times New Roman" w:hAnsi="Times New Roman" w:cs="Times New Roman"/>
        </w:rPr>
        <w:tab/>
        <w:t xml:space="preserve">and the creditor, but nonetheless, there comes into existence the obligation of the principal </w:t>
      </w:r>
      <w:r>
        <w:rPr>
          <w:rFonts w:ascii="Times New Roman" w:hAnsi="Times New Roman" w:cs="Times New Roman"/>
        </w:rPr>
        <w:tab/>
        <w:t xml:space="preserve">debtor to reimburse the surety what he pays to </w:t>
      </w:r>
      <w:r>
        <w:rPr>
          <w:rFonts w:ascii="Times New Roman" w:hAnsi="Times New Roman" w:cs="Times New Roman"/>
        </w:rPr>
        <w:tab/>
        <w:t xml:space="preserve">the creditor…… </w:t>
      </w:r>
      <w:r>
        <w:rPr>
          <w:rFonts w:ascii="Times New Roman" w:hAnsi="Times New Roman" w:cs="Times New Roman"/>
          <w:u w:val="single"/>
        </w:rPr>
        <w:t xml:space="preserve">The surety’s </w:t>
      </w:r>
      <w:proofErr w:type="gramStart"/>
      <w:r>
        <w:rPr>
          <w:rFonts w:ascii="Times New Roman" w:hAnsi="Times New Roman" w:cs="Times New Roman"/>
          <w:u w:val="single"/>
        </w:rPr>
        <w:t xml:space="preserve">obligation </w:t>
      </w:r>
      <w:r>
        <w:rPr>
          <w:rFonts w:ascii="Times New Roman" w:hAnsi="Times New Roman" w:cs="Times New Roman"/>
        </w:rPr>
        <w:tab/>
      </w:r>
      <w:r>
        <w:rPr>
          <w:rFonts w:ascii="Times New Roman" w:hAnsi="Times New Roman" w:cs="Times New Roman"/>
          <w:u w:val="single"/>
        </w:rPr>
        <w:t>arise</w:t>
      </w:r>
      <w:proofErr w:type="gramEnd"/>
      <w:r>
        <w:rPr>
          <w:rFonts w:ascii="Times New Roman" w:hAnsi="Times New Roman" w:cs="Times New Roman"/>
          <w:u w:val="single"/>
        </w:rPr>
        <w:t xml:space="preserve"> from the making of the contract of </w:t>
      </w:r>
      <w:r>
        <w:rPr>
          <w:rFonts w:ascii="Times New Roman" w:hAnsi="Times New Roman" w:cs="Times New Roman"/>
          <w:u w:val="single"/>
        </w:rPr>
        <w:tab/>
      </w:r>
      <w:proofErr w:type="spellStart"/>
      <w:r>
        <w:rPr>
          <w:rFonts w:ascii="Times New Roman" w:hAnsi="Times New Roman" w:cs="Times New Roman"/>
          <w:u w:val="single"/>
        </w:rPr>
        <w:t>suretyship</w:t>
      </w:r>
      <w:proofErr w:type="spellEnd"/>
      <w:r w:rsidR="00521F15">
        <w:rPr>
          <w:rFonts w:ascii="Times New Roman" w:hAnsi="Times New Roman" w:cs="Times New Roman"/>
          <w:u w:val="single"/>
        </w:rPr>
        <w:t xml:space="preserve">, </w:t>
      </w:r>
      <w:r>
        <w:rPr>
          <w:rFonts w:ascii="Times New Roman" w:hAnsi="Times New Roman" w:cs="Times New Roman"/>
          <w:u w:val="single"/>
        </w:rPr>
        <w:t xml:space="preserve">from then he becomes bound to the </w:t>
      </w:r>
      <w:r>
        <w:rPr>
          <w:rFonts w:ascii="Times New Roman" w:hAnsi="Times New Roman" w:cs="Times New Roman"/>
        </w:rPr>
        <w:tab/>
      </w:r>
      <w:r>
        <w:rPr>
          <w:rFonts w:ascii="Times New Roman" w:hAnsi="Times New Roman" w:cs="Times New Roman"/>
          <w:u w:val="single"/>
        </w:rPr>
        <w:t>creditor</w:t>
      </w:r>
      <w:r>
        <w:rPr>
          <w:rFonts w:ascii="Times New Roman" w:hAnsi="Times New Roman" w:cs="Times New Roman"/>
        </w:rPr>
        <w:t xml:space="preserve"> and from then he becomes a conditional creditor to the principal debtor in relation </w:t>
      </w:r>
      <w:r>
        <w:rPr>
          <w:rFonts w:ascii="Times New Roman" w:hAnsi="Times New Roman" w:cs="Times New Roman"/>
        </w:rPr>
        <w:tab/>
        <w:t xml:space="preserve">to his right of recourse against </w:t>
      </w:r>
      <w:r>
        <w:rPr>
          <w:rFonts w:ascii="Times New Roman" w:hAnsi="Times New Roman" w:cs="Times New Roman"/>
        </w:rPr>
        <w:tab/>
        <w:t>the latter.” (</w:t>
      </w:r>
      <w:proofErr w:type="gramStart"/>
      <w:r>
        <w:rPr>
          <w:rFonts w:ascii="Times New Roman" w:hAnsi="Times New Roman" w:cs="Times New Roman"/>
        </w:rPr>
        <w:t>the</w:t>
      </w:r>
      <w:proofErr w:type="gramEnd"/>
      <w:r>
        <w:rPr>
          <w:rFonts w:ascii="Times New Roman" w:hAnsi="Times New Roman" w:cs="Times New Roman"/>
        </w:rPr>
        <w:t xml:space="preserve"> underlining is mine).</w:t>
      </w:r>
    </w:p>
    <w:p w:rsidR="00042361" w:rsidRDefault="00042361" w:rsidP="00042361">
      <w:pPr>
        <w:spacing w:after="0" w:line="240" w:lineRule="auto"/>
        <w:jc w:val="both"/>
        <w:rPr>
          <w:rFonts w:ascii="Times New Roman" w:hAnsi="Times New Roman" w:cs="Times New Roman"/>
        </w:rPr>
      </w:pP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The third defendant relies on the deed of settlement concluded by the plaintiff and the co-principal debtor in order to hedge from liability on the basis that it constitutes a compromise which released him from his obligations under the deed of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and yet the authorities relied upon by Mr </w:t>
      </w:r>
      <w:proofErr w:type="spellStart"/>
      <w:r w:rsidRPr="00042361">
        <w:rPr>
          <w:rFonts w:ascii="Times New Roman" w:hAnsi="Times New Roman" w:cs="Times New Roman"/>
          <w:i/>
          <w:sz w:val="24"/>
          <w:szCs w:val="24"/>
        </w:rPr>
        <w:t>Hashiti</w:t>
      </w:r>
      <w:proofErr w:type="spellEnd"/>
      <w:r>
        <w:rPr>
          <w:rFonts w:ascii="Times New Roman" w:hAnsi="Times New Roman" w:cs="Times New Roman"/>
          <w:sz w:val="24"/>
          <w:szCs w:val="24"/>
        </w:rPr>
        <w:t xml:space="preserve"> relate to situations where the creditor releases the principal debtor completely. The issue is succinctly addressed by C.F. </w:t>
      </w:r>
      <w:proofErr w:type="spellStart"/>
      <w:r>
        <w:rPr>
          <w:rFonts w:ascii="Times New Roman" w:hAnsi="Times New Roman" w:cs="Times New Roman"/>
          <w:sz w:val="24"/>
          <w:szCs w:val="24"/>
        </w:rPr>
        <w:t>Forstyth</w:t>
      </w:r>
      <w:proofErr w:type="spellEnd"/>
      <w:r>
        <w:rPr>
          <w:rFonts w:ascii="Times New Roman" w:hAnsi="Times New Roman" w:cs="Times New Roman"/>
          <w:sz w:val="24"/>
          <w:szCs w:val="24"/>
        </w:rPr>
        <w:t xml:space="preserve"> and JT </w:t>
      </w:r>
      <w:proofErr w:type="spellStart"/>
      <w:r>
        <w:rPr>
          <w:rFonts w:ascii="Times New Roman" w:hAnsi="Times New Roman" w:cs="Times New Roman"/>
          <w:sz w:val="24"/>
          <w:szCs w:val="24"/>
        </w:rPr>
        <w:t>Pretorious</w:t>
      </w:r>
      <w:proofErr w:type="spellEnd"/>
      <w:r>
        <w:rPr>
          <w:rFonts w:ascii="Times New Roman" w:hAnsi="Times New Roman" w:cs="Times New Roman"/>
          <w:sz w:val="24"/>
          <w:szCs w:val="24"/>
        </w:rPr>
        <w:t xml:space="preserve">, </w:t>
      </w:r>
      <w:r>
        <w:rPr>
          <w:rFonts w:ascii="Times New Roman" w:hAnsi="Times New Roman" w:cs="Times New Roman"/>
          <w:i/>
          <w:sz w:val="24"/>
          <w:szCs w:val="24"/>
        </w:rPr>
        <w:t>ibid,</w:t>
      </w:r>
      <w:r>
        <w:rPr>
          <w:rFonts w:ascii="Times New Roman" w:hAnsi="Times New Roman" w:cs="Times New Roman"/>
          <w:sz w:val="24"/>
          <w:szCs w:val="24"/>
        </w:rPr>
        <w:t xml:space="preserve"> at p 208, where the learned authors state:</w:t>
      </w:r>
    </w:p>
    <w:p w:rsidR="00042361" w:rsidRDefault="00042361" w:rsidP="00042361">
      <w:pPr>
        <w:spacing w:after="0" w:line="240" w:lineRule="auto"/>
        <w:ind w:left="720"/>
        <w:jc w:val="both"/>
        <w:rPr>
          <w:rFonts w:ascii="Times New Roman" w:hAnsi="Times New Roman" w:cs="Times New Roman"/>
        </w:rPr>
      </w:pPr>
      <w:r>
        <w:rPr>
          <w:rFonts w:ascii="Times New Roman" w:hAnsi="Times New Roman" w:cs="Times New Roman"/>
          <w:sz w:val="24"/>
          <w:szCs w:val="24"/>
        </w:rPr>
        <w:t>“</w:t>
      </w:r>
      <w:r>
        <w:rPr>
          <w:rFonts w:ascii="Times New Roman" w:hAnsi="Times New Roman" w:cs="Times New Roman"/>
        </w:rPr>
        <w:t>Although the old authorities are not entir</w:t>
      </w:r>
      <w:r w:rsidR="00521F15">
        <w:rPr>
          <w:rFonts w:ascii="Times New Roman" w:hAnsi="Times New Roman" w:cs="Times New Roman"/>
        </w:rPr>
        <w:t>ely harmonious on the question</w:t>
      </w:r>
      <w:r>
        <w:rPr>
          <w:rFonts w:ascii="Times New Roman" w:hAnsi="Times New Roman" w:cs="Times New Roman"/>
        </w:rPr>
        <w:t xml:space="preserve"> of the effect of an extension of time, the law was laid down by the Appellate Division in </w:t>
      </w:r>
      <w:r>
        <w:rPr>
          <w:rFonts w:ascii="Times New Roman" w:hAnsi="Times New Roman" w:cs="Times New Roman"/>
          <w:i/>
        </w:rPr>
        <w:t>Estate Liebenberg v Standard Bank of South Africa Ltd</w:t>
      </w:r>
      <w:r>
        <w:rPr>
          <w:rFonts w:ascii="Times New Roman" w:hAnsi="Times New Roman" w:cs="Times New Roman"/>
        </w:rPr>
        <w:t xml:space="preserve"> (1927 AD 502 at 520ff). </w:t>
      </w:r>
      <w:r>
        <w:rPr>
          <w:rFonts w:ascii="Times New Roman" w:hAnsi="Times New Roman" w:cs="Times New Roman"/>
          <w:u w:val="single"/>
        </w:rPr>
        <w:t xml:space="preserve">The central rule is that where the creditor gives the debtor more time in which to pay before the debt falls due, and time is of the essence, that amounts to a material alteration and releases the surety. Unlike in English Law, should the grant be made after the debtor is </w:t>
      </w:r>
      <w:r>
        <w:rPr>
          <w:rFonts w:ascii="Times New Roman" w:hAnsi="Times New Roman" w:cs="Times New Roman"/>
          <w:i/>
          <w:u w:val="single"/>
        </w:rPr>
        <w:t xml:space="preserve">in </w:t>
      </w:r>
      <w:proofErr w:type="spellStart"/>
      <w:r>
        <w:rPr>
          <w:rFonts w:ascii="Times New Roman" w:hAnsi="Times New Roman" w:cs="Times New Roman"/>
          <w:i/>
          <w:u w:val="single"/>
        </w:rPr>
        <w:t>mora</w:t>
      </w:r>
      <w:proofErr w:type="spellEnd"/>
      <w:r>
        <w:rPr>
          <w:rFonts w:ascii="Times New Roman" w:hAnsi="Times New Roman" w:cs="Times New Roman"/>
          <w:u w:val="single"/>
        </w:rPr>
        <w:t>, the surety is not released. This is because the surety can avoid any prejudice in such circumstances by pay</w:t>
      </w:r>
      <w:r w:rsidR="00521F15">
        <w:rPr>
          <w:rFonts w:ascii="Times New Roman" w:hAnsi="Times New Roman" w:cs="Times New Roman"/>
          <w:u w:val="single"/>
        </w:rPr>
        <w:t>ing</w:t>
      </w:r>
      <w:r>
        <w:rPr>
          <w:rFonts w:ascii="Times New Roman" w:hAnsi="Times New Roman" w:cs="Times New Roman"/>
          <w:u w:val="single"/>
        </w:rPr>
        <w:t xml:space="preserve"> the debt when it falls due and exercising his right of recourse against the debtor (</w:t>
      </w:r>
      <w:r>
        <w:rPr>
          <w:rFonts w:ascii="Times New Roman" w:hAnsi="Times New Roman" w:cs="Times New Roman"/>
        </w:rPr>
        <w:t>the underlining is mine).</w:t>
      </w:r>
    </w:p>
    <w:p w:rsidR="00042361" w:rsidRDefault="00042361" w:rsidP="00042361">
      <w:pPr>
        <w:spacing w:after="0" w:line="240" w:lineRule="auto"/>
        <w:jc w:val="both"/>
        <w:rPr>
          <w:rFonts w:ascii="Times New Roman" w:hAnsi="Times New Roman" w:cs="Times New Roman"/>
        </w:rPr>
      </w:pP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In this matter, when the letter of demand was written to the defendants on 11 October 2010, “no single payment (had) been made” to the creditor meaning that the principal debtor was already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mora</w:t>
      </w:r>
      <w:proofErr w:type="spellEnd"/>
      <w:r>
        <w:rPr>
          <w:rFonts w:ascii="Times New Roman" w:hAnsi="Times New Roman" w:cs="Times New Roman"/>
          <w:i/>
          <w:sz w:val="24"/>
          <w:szCs w:val="24"/>
        </w:rPr>
        <w:t xml:space="preserve"> </w:t>
      </w:r>
      <w:r>
        <w:rPr>
          <w:rFonts w:ascii="Times New Roman" w:hAnsi="Times New Roman" w:cs="Times New Roman"/>
          <w:sz w:val="24"/>
          <w:szCs w:val="24"/>
        </w:rPr>
        <w:t xml:space="preserve">by then. The summons was issued on 14 December 2010 and the deed of settlement relied upon by the third defendant to seek release from the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was only signed on 31 March 2011.</w:t>
      </w: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What this means therefore is that the compromise was made after the debt had fallen due and summons issued for the recovery of the whole amount. The debtor was already </w:t>
      </w:r>
      <w:r>
        <w:rPr>
          <w:rFonts w:ascii="Times New Roman" w:hAnsi="Times New Roman" w:cs="Times New Roman"/>
          <w:i/>
          <w:sz w:val="24"/>
          <w:szCs w:val="24"/>
        </w:rPr>
        <w:t xml:space="preserve">in </w:t>
      </w:r>
      <w:proofErr w:type="spellStart"/>
      <w:r>
        <w:rPr>
          <w:rFonts w:ascii="Times New Roman" w:hAnsi="Times New Roman" w:cs="Times New Roman"/>
          <w:i/>
          <w:sz w:val="24"/>
          <w:szCs w:val="24"/>
        </w:rPr>
        <w:t>mora</w:t>
      </w:r>
      <w:proofErr w:type="spellEnd"/>
      <w:r>
        <w:rPr>
          <w:rFonts w:ascii="Times New Roman" w:hAnsi="Times New Roman" w:cs="Times New Roman"/>
          <w:sz w:val="24"/>
          <w:szCs w:val="24"/>
        </w:rPr>
        <w:t xml:space="preserve"> and therefore the compromise did not release the surety who remained firmly bound by the agreement between himself and the creditor.</w:t>
      </w: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Even if I were wrong in that conclusion, I would still not countenance the release of the third defendant for another reason. In terms of the provisions</w:t>
      </w:r>
      <w:r w:rsidR="00521F15">
        <w:rPr>
          <w:rFonts w:ascii="Times New Roman" w:hAnsi="Times New Roman" w:cs="Times New Roman"/>
          <w:sz w:val="24"/>
          <w:szCs w:val="24"/>
        </w:rPr>
        <w:t xml:space="preserve"> of</w:t>
      </w:r>
      <w:r>
        <w:rPr>
          <w:rFonts w:ascii="Times New Roman" w:hAnsi="Times New Roman" w:cs="Times New Roman"/>
          <w:sz w:val="24"/>
          <w:szCs w:val="24"/>
        </w:rPr>
        <w:t xml:space="preserve"> the contract between the parties I have cited above, the creditor was at liberty to compromise or compound or make any arrangements with the principal debtor without prejudice to its rights contained in the deed of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That is what the third defendant signed to and it binds the parties. He cannot seek now to rely on legal niceties which he contracted out of.</w:t>
      </w: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 xml:space="preserve">I can do no better than recite the remarks of JESSEL, M.R in </w:t>
      </w:r>
      <w:r>
        <w:rPr>
          <w:rFonts w:ascii="Times New Roman" w:hAnsi="Times New Roman" w:cs="Times New Roman"/>
          <w:i/>
          <w:sz w:val="24"/>
          <w:szCs w:val="24"/>
        </w:rPr>
        <w:t xml:space="preserve">Printing Registering Co </w:t>
      </w:r>
      <w:r>
        <w:rPr>
          <w:rFonts w:ascii="Times New Roman" w:hAnsi="Times New Roman" w:cs="Times New Roman"/>
          <w:sz w:val="24"/>
          <w:szCs w:val="24"/>
        </w:rPr>
        <w:t xml:space="preserve">v </w:t>
      </w:r>
      <w:r>
        <w:rPr>
          <w:rFonts w:ascii="Times New Roman" w:hAnsi="Times New Roman" w:cs="Times New Roman"/>
          <w:i/>
          <w:sz w:val="24"/>
          <w:szCs w:val="24"/>
        </w:rPr>
        <w:t>Sampson</w:t>
      </w:r>
      <w:r>
        <w:rPr>
          <w:rFonts w:ascii="Times New Roman" w:hAnsi="Times New Roman" w:cs="Times New Roman"/>
          <w:sz w:val="24"/>
          <w:szCs w:val="24"/>
        </w:rPr>
        <w:t xml:space="preserve"> 19 </w:t>
      </w:r>
      <w:proofErr w:type="spellStart"/>
      <w:r>
        <w:rPr>
          <w:rFonts w:ascii="Times New Roman" w:hAnsi="Times New Roman" w:cs="Times New Roman"/>
          <w:sz w:val="24"/>
          <w:szCs w:val="24"/>
        </w:rPr>
        <w:t>Fq</w:t>
      </w:r>
      <w:proofErr w:type="spellEnd"/>
      <w:r>
        <w:rPr>
          <w:rFonts w:ascii="Times New Roman" w:hAnsi="Times New Roman" w:cs="Times New Roman"/>
          <w:sz w:val="24"/>
          <w:szCs w:val="24"/>
        </w:rPr>
        <w:t xml:space="preserve"> 462 at 465 that:</w:t>
      </w:r>
    </w:p>
    <w:p w:rsidR="00042361" w:rsidRDefault="00042361" w:rsidP="00042361">
      <w:pPr>
        <w:spacing w:after="0" w:line="240" w:lineRule="auto"/>
        <w:ind w:left="720"/>
        <w:jc w:val="both"/>
        <w:rPr>
          <w:rFonts w:ascii="Times New Roman" w:hAnsi="Times New Roman" w:cs="Times New Roman"/>
        </w:rPr>
      </w:pPr>
      <w:r>
        <w:rPr>
          <w:rFonts w:ascii="Times New Roman" w:hAnsi="Times New Roman" w:cs="Times New Roman"/>
          <w:sz w:val="24"/>
          <w:szCs w:val="24"/>
        </w:rPr>
        <w:lastRenderedPageBreak/>
        <w:t>“</w:t>
      </w:r>
      <w:r>
        <w:rPr>
          <w:rFonts w:ascii="Times New Roman" w:hAnsi="Times New Roman" w:cs="Times New Roman"/>
        </w:rPr>
        <w:t>If there is one thing which more than any other public policy requires, it is that men of full age and competent understanding shall have the utmost liberty of contracting, and that their contracts when entered into freely and voluntarily shall be held sacred and shall be enforced by courts of justice. Therefore you have this paramount public policy to consider – that you are not lightly to interfere with this freedom of contract”.</w:t>
      </w:r>
    </w:p>
    <w:p w:rsidR="00042361" w:rsidRDefault="00042361" w:rsidP="00042361">
      <w:pPr>
        <w:spacing w:after="0" w:line="240" w:lineRule="auto"/>
        <w:jc w:val="both"/>
        <w:rPr>
          <w:rFonts w:ascii="Times New Roman" w:hAnsi="Times New Roman" w:cs="Times New Roman"/>
        </w:rPr>
      </w:pP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rPr>
        <w:tab/>
      </w:r>
      <w:r>
        <w:rPr>
          <w:rFonts w:ascii="Times New Roman" w:hAnsi="Times New Roman" w:cs="Times New Roman"/>
          <w:sz w:val="24"/>
          <w:szCs w:val="24"/>
        </w:rPr>
        <w:t xml:space="preserve">The third defendant freely and voluntarily tied himself to a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agreement, in terms of which he bound himself to cover the debt of the first defendant. He agreed that even if the plaintiff compromised with the first defendant that would not prejudice the latter’s rights under the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Whatever the circumstances the court cannot lightly interfere with the parties’ freedom of contract. By the same token, the court will not make another contract for the parties but will hold sacred that which they crafted for themselves expressing their free will.</w:t>
      </w: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 conclude therefore, in respect of the “sole que</w:t>
      </w:r>
      <w:r w:rsidR="00521F15">
        <w:rPr>
          <w:rFonts w:ascii="Times New Roman" w:hAnsi="Times New Roman" w:cs="Times New Roman"/>
          <w:sz w:val="24"/>
          <w:szCs w:val="24"/>
        </w:rPr>
        <w:t>stion” for determination placed</w:t>
      </w:r>
      <w:r>
        <w:rPr>
          <w:rFonts w:ascii="Times New Roman" w:hAnsi="Times New Roman" w:cs="Times New Roman"/>
          <w:sz w:val="24"/>
          <w:szCs w:val="24"/>
        </w:rPr>
        <w:t xml:space="preserve"> before me by the parties in their statement of agreed facts that the third defendant is indeed liable to the plaintiff in respect of the deed of </w:t>
      </w:r>
      <w:proofErr w:type="spellStart"/>
      <w:r>
        <w:rPr>
          <w:rFonts w:ascii="Times New Roman" w:hAnsi="Times New Roman" w:cs="Times New Roman"/>
          <w:sz w:val="24"/>
          <w:szCs w:val="24"/>
        </w:rPr>
        <w:t>suretyship</w:t>
      </w:r>
      <w:proofErr w:type="spellEnd"/>
      <w:r>
        <w:rPr>
          <w:rFonts w:ascii="Times New Roman" w:hAnsi="Times New Roman" w:cs="Times New Roman"/>
          <w:sz w:val="24"/>
          <w:szCs w:val="24"/>
        </w:rPr>
        <w:t xml:space="preserve"> that he signed on 28 July 2010.</w:t>
      </w: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Looking at all the instruments of debt and the circumstances of the matter, the third defendant should have capitulated a long time ago and consented to judgment like the other two defendants. There was absolutely no merit in his defence and in pursuing it, he has not only managed to delay the conclusion of the matter by almost 5 years, but has also impoverished the plaintiff unnecessarily by way of legal costs. He must therefore bear the costs on an admonitory scale.</w:t>
      </w:r>
    </w:p>
    <w:p w:rsidR="00042361" w:rsidRDefault="00042361" w:rsidP="00042361">
      <w:pPr>
        <w:spacing w:after="0" w:line="360" w:lineRule="auto"/>
        <w:jc w:val="both"/>
        <w:rPr>
          <w:rFonts w:ascii="Times New Roman" w:hAnsi="Times New Roman" w:cs="Times New Roman"/>
          <w:sz w:val="24"/>
          <w:szCs w:val="24"/>
        </w:rPr>
      </w:pPr>
      <w:r>
        <w:rPr>
          <w:rFonts w:ascii="Times New Roman" w:hAnsi="Times New Roman" w:cs="Times New Roman"/>
          <w:sz w:val="24"/>
          <w:szCs w:val="24"/>
        </w:rPr>
        <w:tab/>
        <w:t>In the result, it is ordered that:</w:t>
      </w:r>
    </w:p>
    <w:p w:rsidR="00042361" w:rsidRDefault="00042361" w:rsidP="00042361">
      <w:pPr>
        <w:pStyle w:val="ListParagraph"/>
        <w:numPr>
          <w:ilvl w:val="0"/>
          <w:numId w:val="1"/>
        </w:numPr>
        <w:spacing w:after="0" w:line="360" w:lineRule="auto"/>
        <w:jc w:val="both"/>
        <w:rPr>
          <w:rFonts w:ascii="Times New Roman" w:hAnsi="Times New Roman" w:cs="Times New Roman"/>
          <w:sz w:val="24"/>
          <w:szCs w:val="24"/>
          <w:u w:val="single"/>
        </w:rPr>
      </w:pPr>
      <w:r>
        <w:rPr>
          <w:rFonts w:ascii="Times New Roman" w:hAnsi="Times New Roman" w:cs="Times New Roman"/>
          <w:sz w:val="24"/>
          <w:szCs w:val="24"/>
        </w:rPr>
        <w:t>Judgment be and is hereby entered against the third defendant, whose liability is joint and several with that of the 1</w:t>
      </w:r>
      <w:r>
        <w:rPr>
          <w:rFonts w:ascii="Times New Roman" w:hAnsi="Times New Roman" w:cs="Times New Roman"/>
          <w:sz w:val="24"/>
          <w:szCs w:val="24"/>
          <w:vertAlign w:val="superscript"/>
        </w:rPr>
        <w:t>st</w:t>
      </w:r>
      <w:r>
        <w:rPr>
          <w:rFonts w:ascii="Times New Roman" w:hAnsi="Times New Roman" w:cs="Times New Roman"/>
          <w:sz w:val="24"/>
          <w:szCs w:val="24"/>
        </w:rPr>
        <w:t xml:space="preserve"> and 2</w:t>
      </w:r>
      <w:r>
        <w:rPr>
          <w:rFonts w:ascii="Times New Roman" w:hAnsi="Times New Roman" w:cs="Times New Roman"/>
          <w:sz w:val="24"/>
          <w:szCs w:val="24"/>
          <w:vertAlign w:val="superscript"/>
        </w:rPr>
        <w:t>nd</w:t>
      </w:r>
      <w:r>
        <w:rPr>
          <w:rFonts w:ascii="Times New Roman" w:hAnsi="Times New Roman" w:cs="Times New Roman"/>
          <w:sz w:val="24"/>
          <w:szCs w:val="24"/>
        </w:rPr>
        <w:t xml:space="preserve"> defendants</w:t>
      </w:r>
      <w:r w:rsidR="00521F15">
        <w:rPr>
          <w:rFonts w:ascii="Times New Roman" w:hAnsi="Times New Roman" w:cs="Times New Roman"/>
          <w:sz w:val="24"/>
          <w:szCs w:val="24"/>
        </w:rPr>
        <w:t>,</w:t>
      </w:r>
      <w:r>
        <w:rPr>
          <w:rFonts w:ascii="Times New Roman" w:hAnsi="Times New Roman" w:cs="Times New Roman"/>
          <w:sz w:val="24"/>
          <w:szCs w:val="24"/>
        </w:rPr>
        <w:t xml:space="preserve"> judgment having already been entered against them on 21 October 2011, in the sum of $236 315-00 together with interest on the capital sum of $192 026-00 at the rate of 5% per annum from 22 November 2013 to date of payment. </w:t>
      </w:r>
    </w:p>
    <w:p w:rsidR="00B045F6" w:rsidRDefault="00042361" w:rsidP="00192C58">
      <w:pPr>
        <w:pStyle w:val="ListParagraph"/>
        <w:numPr>
          <w:ilvl w:val="0"/>
          <w:numId w:val="1"/>
        </w:numPr>
        <w:spacing w:after="0" w:line="360" w:lineRule="auto"/>
        <w:jc w:val="both"/>
        <w:rPr>
          <w:rFonts w:ascii="Times New Roman" w:hAnsi="Times New Roman" w:cs="Times New Roman"/>
          <w:sz w:val="24"/>
          <w:szCs w:val="24"/>
        </w:rPr>
      </w:pPr>
      <w:r w:rsidRPr="00042361">
        <w:rPr>
          <w:rFonts w:ascii="Times New Roman" w:hAnsi="Times New Roman" w:cs="Times New Roman"/>
          <w:sz w:val="24"/>
          <w:szCs w:val="24"/>
        </w:rPr>
        <w:t>Costs of suit on the scale of legal practitioner and client.</w:t>
      </w:r>
    </w:p>
    <w:p w:rsidR="00042361" w:rsidRDefault="00042361" w:rsidP="00042361">
      <w:pPr>
        <w:spacing w:after="0" w:line="360" w:lineRule="auto"/>
        <w:jc w:val="both"/>
        <w:rPr>
          <w:rFonts w:ascii="Times New Roman" w:hAnsi="Times New Roman" w:cs="Times New Roman"/>
          <w:sz w:val="24"/>
          <w:szCs w:val="24"/>
        </w:rPr>
      </w:pPr>
    </w:p>
    <w:p w:rsidR="001F1427" w:rsidRDefault="001F1427" w:rsidP="00042361">
      <w:pPr>
        <w:spacing w:after="0" w:line="360" w:lineRule="auto"/>
        <w:jc w:val="both"/>
        <w:rPr>
          <w:rFonts w:ascii="Times New Roman" w:hAnsi="Times New Roman" w:cs="Times New Roman"/>
          <w:sz w:val="24"/>
          <w:szCs w:val="24"/>
        </w:rPr>
      </w:pPr>
    </w:p>
    <w:p w:rsidR="001F1427" w:rsidRDefault="001F1427" w:rsidP="00042361">
      <w:pPr>
        <w:spacing w:after="0" w:line="360" w:lineRule="auto"/>
        <w:jc w:val="both"/>
        <w:rPr>
          <w:rFonts w:ascii="Times New Roman" w:hAnsi="Times New Roman" w:cs="Times New Roman"/>
          <w:sz w:val="24"/>
          <w:szCs w:val="24"/>
        </w:rPr>
      </w:pPr>
    </w:p>
    <w:p w:rsidR="00042361" w:rsidRDefault="001F1427" w:rsidP="00042361">
      <w:pPr>
        <w:spacing w:after="0" w:line="240" w:lineRule="auto"/>
        <w:jc w:val="both"/>
        <w:rPr>
          <w:rFonts w:ascii="Times New Roman" w:hAnsi="Times New Roman" w:cs="Times New Roman"/>
          <w:sz w:val="24"/>
          <w:szCs w:val="24"/>
        </w:rPr>
      </w:pPr>
      <w:proofErr w:type="spellStart"/>
      <w:r>
        <w:rPr>
          <w:rFonts w:ascii="Times New Roman" w:hAnsi="Times New Roman" w:cs="Times New Roman"/>
          <w:i/>
          <w:sz w:val="24"/>
          <w:szCs w:val="24"/>
        </w:rPr>
        <w:t>Messers</w:t>
      </w:r>
      <w:proofErr w:type="spellEnd"/>
      <w:r>
        <w:rPr>
          <w:rFonts w:ascii="Times New Roman" w:hAnsi="Times New Roman" w:cs="Times New Roman"/>
          <w:i/>
          <w:sz w:val="24"/>
          <w:szCs w:val="24"/>
        </w:rPr>
        <w:t xml:space="preserve"> </w:t>
      </w:r>
      <w:proofErr w:type="spellStart"/>
      <w:r>
        <w:rPr>
          <w:rFonts w:ascii="Times New Roman" w:hAnsi="Times New Roman" w:cs="Times New Roman"/>
          <w:i/>
          <w:sz w:val="24"/>
          <w:szCs w:val="24"/>
        </w:rPr>
        <w:t>Wintertons</w:t>
      </w:r>
      <w:proofErr w:type="spellEnd"/>
      <w:r>
        <w:rPr>
          <w:rFonts w:ascii="Times New Roman" w:hAnsi="Times New Roman" w:cs="Times New Roman"/>
          <w:i/>
          <w:sz w:val="24"/>
          <w:szCs w:val="24"/>
        </w:rPr>
        <w:t xml:space="preserve">, </w:t>
      </w:r>
      <w:r w:rsidRPr="001F1427">
        <w:rPr>
          <w:rFonts w:ascii="Times New Roman" w:hAnsi="Times New Roman" w:cs="Times New Roman"/>
          <w:sz w:val="24"/>
          <w:szCs w:val="24"/>
        </w:rPr>
        <w:t>plaintiff’s legal practitioners</w:t>
      </w:r>
    </w:p>
    <w:p w:rsidR="00042361" w:rsidRPr="00042361" w:rsidRDefault="001F1427" w:rsidP="00042361">
      <w:pPr>
        <w:spacing w:after="0" w:line="240" w:lineRule="auto"/>
        <w:jc w:val="both"/>
        <w:rPr>
          <w:rFonts w:ascii="Times New Roman" w:hAnsi="Times New Roman" w:cs="Times New Roman"/>
          <w:sz w:val="24"/>
          <w:szCs w:val="24"/>
        </w:rPr>
      </w:pPr>
      <w:r>
        <w:rPr>
          <w:rFonts w:ascii="Times New Roman" w:hAnsi="Times New Roman" w:cs="Times New Roman"/>
          <w:i/>
          <w:sz w:val="24"/>
          <w:szCs w:val="24"/>
        </w:rPr>
        <w:t xml:space="preserve">Messrs G.N. </w:t>
      </w:r>
      <w:proofErr w:type="spellStart"/>
      <w:r>
        <w:rPr>
          <w:rFonts w:ascii="Times New Roman" w:hAnsi="Times New Roman" w:cs="Times New Roman"/>
          <w:i/>
          <w:sz w:val="24"/>
          <w:szCs w:val="24"/>
        </w:rPr>
        <w:t>Mlotshwa</w:t>
      </w:r>
      <w:proofErr w:type="spellEnd"/>
      <w:r>
        <w:rPr>
          <w:rFonts w:ascii="Times New Roman" w:hAnsi="Times New Roman" w:cs="Times New Roman"/>
          <w:i/>
          <w:sz w:val="24"/>
          <w:szCs w:val="24"/>
        </w:rPr>
        <w:t xml:space="preserve"> &amp; Co,</w:t>
      </w:r>
      <w:r w:rsidR="00042361">
        <w:rPr>
          <w:rFonts w:ascii="Times New Roman" w:hAnsi="Times New Roman" w:cs="Times New Roman"/>
          <w:sz w:val="24"/>
          <w:szCs w:val="24"/>
        </w:rPr>
        <w:t xml:space="preserve"> defendants’ legal practitioners</w:t>
      </w:r>
    </w:p>
    <w:p w:rsidR="00042361" w:rsidRPr="00042361" w:rsidRDefault="00042361" w:rsidP="00042361">
      <w:pPr>
        <w:spacing w:after="0" w:line="360" w:lineRule="auto"/>
        <w:jc w:val="both"/>
        <w:rPr>
          <w:rFonts w:ascii="Times New Roman" w:hAnsi="Times New Roman" w:cs="Times New Roman"/>
          <w:sz w:val="24"/>
          <w:szCs w:val="24"/>
        </w:rPr>
      </w:pPr>
    </w:p>
    <w:sectPr w:rsidR="00042361" w:rsidRPr="00042361" w:rsidSect="00042361">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26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7EB3" w:rsidRDefault="007F7EB3" w:rsidP="003715CE">
      <w:pPr>
        <w:spacing w:after="0" w:line="240" w:lineRule="auto"/>
      </w:pPr>
      <w:r>
        <w:separator/>
      </w:r>
    </w:p>
  </w:endnote>
  <w:endnote w:type="continuationSeparator" w:id="0">
    <w:p w:rsidR="007F7EB3" w:rsidRDefault="007F7EB3" w:rsidP="003715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49" w:rsidRDefault="00291F4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49" w:rsidRDefault="00291F4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49" w:rsidRDefault="00291F4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7EB3" w:rsidRDefault="007F7EB3" w:rsidP="003715CE">
      <w:pPr>
        <w:spacing w:after="0" w:line="240" w:lineRule="auto"/>
      </w:pPr>
      <w:r>
        <w:separator/>
      </w:r>
    </w:p>
  </w:footnote>
  <w:footnote w:type="continuationSeparator" w:id="0">
    <w:p w:rsidR="007F7EB3" w:rsidRDefault="007F7EB3" w:rsidP="003715C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49" w:rsidRDefault="00291F4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877740"/>
      <w:docPartObj>
        <w:docPartGallery w:val="Page Numbers (Top of Page)"/>
        <w:docPartUnique/>
      </w:docPartObj>
    </w:sdtPr>
    <w:sdtEndPr/>
    <w:sdtContent>
      <w:p w:rsidR="002E7A31" w:rsidRDefault="007F7EB3">
        <w:pPr>
          <w:pStyle w:val="Header"/>
          <w:jc w:val="right"/>
        </w:pPr>
        <w:r>
          <w:fldChar w:fldCharType="begin"/>
        </w:r>
        <w:r>
          <w:instrText xml:space="preserve"> PAGE   \* MERGEFORMAT </w:instrText>
        </w:r>
        <w:r>
          <w:fldChar w:fldCharType="separate"/>
        </w:r>
        <w:r w:rsidR="00DB57B5">
          <w:rPr>
            <w:noProof/>
          </w:rPr>
          <w:t>1</w:t>
        </w:r>
        <w:r>
          <w:rPr>
            <w:noProof/>
          </w:rPr>
          <w:fldChar w:fldCharType="end"/>
        </w:r>
      </w:p>
      <w:p w:rsidR="002E7A31" w:rsidRDefault="002E7A31">
        <w:pPr>
          <w:pStyle w:val="Header"/>
          <w:jc w:val="right"/>
        </w:pPr>
        <w:r>
          <w:t>HH</w:t>
        </w:r>
        <w:r w:rsidR="00291F49">
          <w:t xml:space="preserve"> 785-15</w:t>
        </w:r>
      </w:p>
      <w:p w:rsidR="002E7A31" w:rsidRDefault="002E7A31">
        <w:pPr>
          <w:pStyle w:val="Header"/>
          <w:jc w:val="right"/>
        </w:pPr>
        <w:r>
          <w:t>HC 9248/10</w:t>
        </w:r>
      </w:p>
    </w:sdtContent>
  </w:sdt>
  <w:p w:rsidR="002E7A31" w:rsidRDefault="002E7A31">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91F49" w:rsidRDefault="00291F4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89527F2"/>
    <w:multiLevelType w:val="hybridMultilevel"/>
    <w:tmpl w:val="D40A2192"/>
    <w:lvl w:ilvl="0" w:tplc="038A408E">
      <w:start w:val="1"/>
      <w:numFmt w:val="decimal"/>
      <w:lvlText w:val="%1."/>
      <w:lvlJc w:val="left"/>
      <w:pPr>
        <w:ind w:left="1080" w:hanging="360"/>
      </w:pPr>
      <w:rPr>
        <w:strike w:val="0"/>
        <w:dstrike w:val="0"/>
        <w:u w:val="none"/>
        <w:effect w:val="none"/>
      </w:rPr>
    </w:lvl>
    <w:lvl w:ilvl="1" w:tplc="30090019">
      <w:start w:val="1"/>
      <w:numFmt w:val="decimal"/>
      <w:lvlText w:val="%2."/>
      <w:lvlJc w:val="left"/>
      <w:pPr>
        <w:tabs>
          <w:tab w:val="num" w:pos="1440"/>
        </w:tabs>
        <w:ind w:left="1440" w:hanging="360"/>
      </w:pPr>
    </w:lvl>
    <w:lvl w:ilvl="2" w:tplc="3009001B">
      <w:start w:val="1"/>
      <w:numFmt w:val="decimal"/>
      <w:lvlText w:val="%3."/>
      <w:lvlJc w:val="left"/>
      <w:pPr>
        <w:tabs>
          <w:tab w:val="num" w:pos="2160"/>
        </w:tabs>
        <w:ind w:left="2160" w:hanging="360"/>
      </w:pPr>
    </w:lvl>
    <w:lvl w:ilvl="3" w:tplc="3009000F">
      <w:start w:val="1"/>
      <w:numFmt w:val="decimal"/>
      <w:lvlText w:val="%4."/>
      <w:lvlJc w:val="left"/>
      <w:pPr>
        <w:tabs>
          <w:tab w:val="num" w:pos="2880"/>
        </w:tabs>
        <w:ind w:left="2880" w:hanging="360"/>
      </w:pPr>
    </w:lvl>
    <w:lvl w:ilvl="4" w:tplc="30090019">
      <w:start w:val="1"/>
      <w:numFmt w:val="decimal"/>
      <w:lvlText w:val="%5."/>
      <w:lvlJc w:val="left"/>
      <w:pPr>
        <w:tabs>
          <w:tab w:val="num" w:pos="3600"/>
        </w:tabs>
        <w:ind w:left="3600" w:hanging="360"/>
      </w:pPr>
    </w:lvl>
    <w:lvl w:ilvl="5" w:tplc="3009001B">
      <w:start w:val="1"/>
      <w:numFmt w:val="decimal"/>
      <w:lvlText w:val="%6."/>
      <w:lvlJc w:val="left"/>
      <w:pPr>
        <w:tabs>
          <w:tab w:val="num" w:pos="4320"/>
        </w:tabs>
        <w:ind w:left="4320" w:hanging="360"/>
      </w:pPr>
    </w:lvl>
    <w:lvl w:ilvl="6" w:tplc="3009000F">
      <w:start w:val="1"/>
      <w:numFmt w:val="decimal"/>
      <w:lvlText w:val="%7."/>
      <w:lvlJc w:val="left"/>
      <w:pPr>
        <w:tabs>
          <w:tab w:val="num" w:pos="5040"/>
        </w:tabs>
        <w:ind w:left="5040" w:hanging="360"/>
      </w:pPr>
    </w:lvl>
    <w:lvl w:ilvl="7" w:tplc="30090019">
      <w:start w:val="1"/>
      <w:numFmt w:val="decimal"/>
      <w:lvlText w:val="%8."/>
      <w:lvlJc w:val="left"/>
      <w:pPr>
        <w:tabs>
          <w:tab w:val="num" w:pos="5760"/>
        </w:tabs>
        <w:ind w:left="5760" w:hanging="360"/>
      </w:pPr>
    </w:lvl>
    <w:lvl w:ilvl="8" w:tplc="3009001B">
      <w:start w:val="1"/>
      <w:numFmt w:val="decimal"/>
      <w:lvlText w:val="%9."/>
      <w:lvlJc w:val="left"/>
      <w:pPr>
        <w:tabs>
          <w:tab w:val="num" w:pos="6480"/>
        </w:tabs>
        <w:ind w:left="6480" w:hanging="3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2"/>
  </w:compat>
  <w:rsids>
    <w:rsidRoot w:val="003715CE"/>
    <w:rsid w:val="00021F0D"/>
    <w:rsid w:val="00022733"/>
    <w:rsid w:val="00042361"/>
    <w:rsid w:val="000579BF"/>
    <w:rsid w:val="000B5F4C"/>
    <w:rsid w:val="001504E7"/>
    <w:rsid w:val="001639DB"/>
    <w:rsid w:val="00192C58"/>
    <w:rsid w:val="001F1427"/>
    <w:rsid w:val="00291F49"/>
    <w:rsid w:val="00297FC6"/>
    <w:rsid w:val="002E4353"/>
    <w:rsid w:val="002E7A31"/>
    <w:rsid w:val="0031014D"/>
    <w:rsid w:val="003715CE"/>
    <w:rsid w:val="003B7DDE"/>
    <w:rsid w:val="003C53DA"/>
    <w:rsid w:val="003C5B8D"/>
    <w:rsid w:val="003E2FD2"/>
    <w:rsid w:val="00453529"/>
    <w:rsid w:val="004D7233"/>
    <w:rsid w:val="00521F15"/>
    <w:rsid w:val="00527D94"/>
    <w:rsid w:val="006F7868"/>
    <w:rsid w:val="00712B2B"/>
    <w:rsid w:val="00753053"/>
    <w:rsid w:val="007A6B23"/>
    <w:rsid w:val="007D5BC8"/>
    <w:rsid w:val="007F7EB3"/>
    <w:rsid w:val="008C2EC8"/>
    <w:rsid w:val="00923FC1"/>
    <w:rsid w:val="00942C27"/>
    <w:rsid w:val="009A6D25"/>
    <w:rsid w:val="00A94707"/>
    <w:rsid w:val="00A94F67"/>
    <w:rsid w:val="00AB5AD9"/>
    <w:rsid w:val="00B045F6"/>
    <w:rsid w:val="00BB7117"/>
    <w:rsid w:val="00BC60DE"/>
    <w:rsid w:val="00BD68A8"/>
    <w:rsid w:val="00BE55C6"/>
    <w:rsid w:val="00DB57B5"/>
    <w:rsid w:val="00DF4A8E"/>
    <w:rsid w:val="00F41FBF"/>
    <w:rsid w:val="00F71E04"/>
    <w:rsid w:val="00FD4F03"/>
    <w:rsid w:val="00FD6416"/>
  </w:rsids>
  <m:mathPr>
    <m:mathFont m:val="Cambria Math"/>
    <m:brkBin m:val="before"/>
    <m:brkBinSub m:val="--"/>
    <m:smallFrac m:val="0"/>
    <m:dispDef/>
    <m:lMargin m:val="0"/>
    <m:rMargin m:val="0"/>
    <m:defJc m:val="centerGroup"/>
    <m:wrapIndent m:val="1440"/>
    <m:intLim m:val="subSup"/>
    <m:naryLim m:val="undOvr"/>
  </m:mathPr>
  <w:themeFontLang w:val="en-ZW"/>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ZW"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94F6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715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15CE"/>
  </w:style>
  <w:style w:type="paragraph" w:styleId="Footer">
    <w:name w:val="footer"/>
    <w:basedOn w:val="Normal"/>
    <w:link w:val="FooterChar"/>
    <w:uiPriority w:val="99"/>
    <w:semiHidden/>
    <w:unhideWhenUsed/>
    <w:rsid w:val="003715CE"/>
    <w:pPr>
      <w:tabs>
        <w:tab w:val="center" w:pos="4513"/>
        <w:tab w:val="right" w:pos="9026"/>
      </w:tabs>
      <w:spacing w:after="0" w:line="240" w:lineRule="auto"/>
    </w:pPr>
  </w:style>
  <w:style w:type="character" w:customStyle="1" w:styleId="FooterChar">
    <w:name w:val="Footer Char"/>
    <w:basedOn w:val="DefaultParagraphFont"/>
    <w:link w:val="Footer"/>
    <w:uiPriority w:val="99"/>
    <w:semiHidden/>
    <w:rsid w:val="003715CE"/>
  </w:style>
  <w:style w:type="paragraph" w:styleId="ListParagraph">
    <w:name w:val="List Paragraph"/>
    <w:basedOn w:val="Normal"/>
    <w:uiPriority w:val="34"/>
    <w:qFormat/>
    <w:rsid w:val="000423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ZW" w:eastAsia="en-ZW"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26079726">
      <w:bodyDiv w:val="1"/>
      <w:marLeft w:val="0"/>
      <w:marRight w:val="0"/>
      <w:marTop w:val="0"/>
      <w:marBottom w:val="0"/>
      <w:divBdr>
        <w:top w:val="none" w:sz="0" w:space="0" w:color="auto"/>
        <w:left w:val="none" w:sz="0" w:space="0" w:color="auto"/>
        <w:bottom w:val="none" w:sz="0" w:space="0" w:color="auto"/>
        <w:right w:val="none" w:sz="0" w:space="0" w:color="auto"/>
      </w:divBdr>
    </w:div>
    <w:div w:id="16939172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7</Pages>
  <Words>2926</Words>
  <Characters>16680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19567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Judges' Secretary</dc:creator>
  <cp:lastModifiedBy>user</cp:lastModifiedBy>
  <cp:revision>2</cp:revision>
  <dcterms:created xsi:type="dcterms:W3CDTF">2015-10-09T13:30:00Z</dcterms:created>
  <dcterms:modified xsi:type="dcterms:W3CDTF">2015-10-09T13:30:00Z</dcterms:modified>
</cp:coreProperties>
</file>