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F6709E" w:rsidP="00DF693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KS TRUST</w:t>
      </w:r>
    </w:p>
    <w:p w:rsidR="00F6709E" w:rsidRDefault="00DF693D" w:rsidP="00DF6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F6709E" w:rsidRDefault="00F6709E" w:rsidP="00DF6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AFRASIA BANK ZIMBABWE</w:t>
      </w:r>
    </w:p>
    <w:p w:rsidR="00F6709E" w:rsidRDefault="00DF693D" w:rsidP="00DF6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6709E" w:rsidRDefault="00F6709E" w:rsidP="00DF6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MASTER OF THE HIGH COURT</w:t>
      </w:r>
    </w:p>
    <w:p w:rsidR="00F6709E" w:rsidRDefault="00F6709E" w:rsidP="00F6709E">
      <w:pPr>
        <w:spacing w:after="0" w:line="360" w:lineRule="auto"/>
        <w:jc w:val="both"/>
        <w:rPr>
          <w:rFonts w:ascii="Times New Roman" w:hAnsi="Times New Roman" w:cs="Times New Roman"/>
          <w:sz w:val="24"/>
          <w:szCs w:val="24"/>
        </w:rPr>
      </w:pPr>
    </w:p>
    <w:p w:rsidR="00F6709E" w:rsidRDefault="00F6709E" w:rsidP="00F6709E">
      <w:pPr>
        <w:spacing w:after="0" w:line="360" w:lineRule="auto"/>
        <w:jc w:val="both"/>
        <w:rPr>
          <w:rFonts w:ascii="Times New Roman" w:hAnsi="Times New Roman" w:cs="Times New Roman"/>
          <w:sz w:val="24"/>
          <w:szCs w:val="24"/>
        </w:rPr>
      </w:pPr>
    </w:p>
    <w:p w:rsidR="00F6709E" w:rsidRDefault="00E24A60" w:rsidP="00DF6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E24A60" w:rsidRDefault="00E24A60" w:rsidP="00DF6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MANGOTA J</w:t>
      </w:r>
    </w:p>
    <w:p w:rsidR="00E24A60" w:rsidRDefault="00E24A60" w:rsidP="00DF6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14 </w:t>
      </w:r>
      <w:r w:rsidR="006E7AAF">
        <w:rPr>
          <w:rFonts w:ascii="Times New Roman" w:hAnsi="Times New Roman" w:cs="Times New Roman"/>
          <w:sz w:val="24"/>
          <w:szCs w:val="24"/>
        </w:rPr>
        <w:t xml:space="preserve">and 30 </w:t>
      </w:r>
      <w:r>
        <w:rPr>
          <w:rFonts w:ascii="Times New Roman" w:hAnsi="Times New Roman" w:cs="Times New Roman"/>
          <w:sz w:val="24"/>
          <w:szCs w:val="24"/>
        </w:rPr>
        <w:t>September, 2016</w:t>
      </w:r>
    </w:p>
    <w:p w:rsidR="00E24A60" w:rsidRDefault="00E24A60" w:rsidP="00E24A60">
      <w:pPr>
        <w:spacing w:after="0" w:line="360" w:lineRule="auto"/>
        <w:jc w:val="both"/>
        <w:rPr>
          <w:rFonts w:ascii="Times New Roman" w:hAnsi="Times New Roman" w:cs="Times New Roman"/>
          <w:sz w:val="24"/>
          <w:szCs w:val="24"/>
        </w:rPr>
      </w:pPr>
    </w:p>
    <w:p w:rsidR="00DF693D" w:rsidRDefault="00DF693D" w:rsidP="00E24A60">
      <w:pPr>
        <w:spacing w:after="0" w:line="360" w:lineRule="auto"/>
        <w:jc w:val="both"/>
        <w:rPr>
          <w:rFonts w:ascii="Times New Roman" w:hAnsi="Times New Roman" w:cs="Times New Roman"/>
          <w:sz w:val="24"/>
          <w:szCs w:val="24"/>
        </w:rPr>
      </w:pPr>
    </w:p>
    <w:p w:rsidR="00E24A60" w:rsidRPr="00DF693D" w:rsidRDefault="00BC1772" w:rsidP="00E24A6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Opposed matter</w:t>
      </w:r>
    </w:p>
    <w:p w:rsidR="00E24A60" w:rsidRDefault="00E24A60" w:rsidP="00E24A60">
      <w:pPr>
        <w:spacing w:after="0" w:line="360" w:lineRule="auto"/>
        <w:jc w:val="both"/>
        <w:rPr>
          <w:rFonts w:ascii="Times New Roman" w:hAnsi="Times New Roman" w:cs="Times New Roman"/>
          <w:sz w:val="24"/>
          <w:szCs w:val="24"/>
        </w:rPr>
      </w:pPr>
    </w:p>
    <w:p w:rsidR="00E24A60" w:rsidRDefault="00BC1772" w:rsidP="00095DB8">
      <w:pPr>
        <w:spacing w:after="0" w:line="240" w:lineRule="auto"/>
        <w:jc w:val="both"/>
        <w:rPr>
          <w:rFonts w:ascii="Times New Roman" w:hAnsi="Times New Roman" w:cs="Times New Roman"/>
          <w:sz w:val="24"/>
          <w:szCs w:val="24"/>
        </w:rPr>
      </w:pPr>
      <w:r w:rsidRPr="00BC1772">
        <w:rPr>
          <w:rFonts w:ascii="Times New Roman" w:hAnsi="Times New Roman" w:cs="Times New Roman"/>
          <w:i/>
          <w:sz w:val="24"/>
          <w:szCs w:val="24"/>
        </w:rPr>
        <w:t>S Ushewokunze</w:t>
      </w:r>
      <w:r w:rsidR="00E24A60">
        <w:rPr>
          <w:rFonts w:ascii="Times New Roman" w:hAnsi="Times New Roman" w:cs="Times New Roman"/>
          <w:sz w:val="24"/>
          <w:szCs w:val="24"/>
        </w:rPr>
        <w:t>,</w:t>
      </w:r>
      <w:r w:rsidR="00095DB8">
        <w:rPr>
          <w:rFonts w:ascii="Times New Roman" w:hAnsi="Times New Roman" w:cs="Times New Roman"/>
          <w:sz w:val="24"/>
          <w:szCs w:val="24"/>
        </w:rPr>
        <w:t xml:space="preserve"> for the applicant</w:t>
      </w:r>
    </w:p>
    <w:p w:rsidR="00DF693D" w:rsidRDefault="00BC1772" w:rsidP="00095DB8">
      <w:pPr>
        <w:spacing w:after="0" w:line="240" w:lineRule="auto"/>
        <w:jc w:val="both"/>
        <w:rPr>
          <w:rFonts w:ascii="Times New Roman" w:hAnsi="Times New Roman" w:cs="Times New Roman"/>
          <w:sz w:val="24"/>
          <w:szCs w:val="24"/>
        </w:rPr>
      </w:pPr>
      <w:r w:rsidRPr="00BC1772">
        <w:rPr>
          <w:rFonts w:ascii="Times New Roman" w:hAnsi="Times New Roman" w:cs="Times New Roman"/>
          <w:i/>
          <w:sz w:val="24"/>
          <w:szCs w:val="24"/>
        </w:rPr>
        <w:t>G Madzoka</w:t>
      </w:r>
      <w:r w:rsidR="00095DB8">
        <w:rPr>
          <w:rFonts w:ascii="Times New Roman" w:hAnsi="Times New Roman" w:cs="Times New Roman"/>
          <w:sz w:val="24"/>
          <w:szCs w:val="24"/>
        </w:rPr>
        <w:t>,</w:t>
      </w:r>
      <w:r w:rsidR="001D7614">
        <w:rPr>
          <w:rFonts w:ascii="Times New Roman" w:hAnsi="Times New Roman" w:cs="Times New Roman"/>
          <w:sz w:val="24"/>
          <w:szCs w:val="24"/>
        </w:rPr>
        <w:t xml:space="preserve"> </w:t>
      </w:r>
      <w:r w:rsidR="00095DB8">
        <w:rPr>
          <w:rFonts w:ascii="Times New Roman" w:hAnsi="Times New Roman" w:cs="Times New Roman"/>
          <w:sz w:val="24"/>
          <w:szCs w:val="24"/>
        </w:rPr>
        <w:t>for the respondents</w:t>
      </w:r>
    </w:p>
    <w:p w:rsidR="00DF693D" w:rsidRDefault="00DF693D" w:rsidP="00E24A60">
      <w:pPr>
        <w:spacing w:after="0" w:line="360" w:lineRule="auto"/>
        <w:jc w:val="both"/>
        <w:rPr>
          <w:rFonts w:ascii="Times New Roman" w:hAnsi="Times New Roman" w:cs="Times New Roman"/>
          <w:sz w:val="24"/>
          <w:szCs w:val="24"/>
        </w:rPr>
      </w:pPr>
    </w:p>
    <w:p w:rsidR="00DF693D" w:rsidRDefault="00DF693D" w:rsidP="00E24A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MANGOTA J: On 18 February 2015, K.S. </w:t>
      </w:r>
      <w:r w:rsidR="00BD29DE">
        <w:rPr>
          <w:rFonts w:ascii="Times New Roman" w:hAnsi="Times New Roman" w:cs="Times New Roman"/>
          <w:sz w:val="24"/>
          <w:szCs w:val="24"/>
        </w:rPr>
        <w:t>Trust [“the t</w:t>
      </w:r>
      <w:r>
        <w:rPr>
          <w:rFonts w:ascii="Times New Roman" w:hAnsi="Times New Roman" w:cs="Times New Roman"/>
          <w:sz w:val="24"/>
          <w:szCs w:val="24"/>
        </w:rPr>
        <w:t>rust”] co</w:t>
      </w:r>
      <w:r w:rsidR="007D7510">
        <w:rPr>
          <w:rFonts w:ascii="Times New Roman" w:hAnsi="Times New Roman" w:cs="Times New Roman"/>
          <w:sz w:val="24"/>
          <w:szCs w:val="24"/>
        </w:rPr>
        <w:t xml:space="preserve">ncluded </w:t>
      </w:r>
      <w:r>
        <w:rPr>
          <w:rFonts w:ascii="Times New Roman" w:hAnsi="Times New Roman" w:cs="Times New Roman"/>
          <w:sz w:val="24"/>
          <w:szCs w:val="24"/>
        </w:rPr>
        <w:t>an agreement of sale with Afrasia Bank Zimbabwe Limited [“the bank’]. The trust purchased from the bank a certain piece of land</w:t>
      </w:r>
      <w:r w:rsidR="00BD29DE">
        <w:rPr>
          <w:rFonts w:ascii="Times New Roman" w:hAnsi="Times New Roman" w:cs="Times New Roman"/>
          <w:sz w:val="24"/>
          <w:szCs w:val="24"/>
        </w:rPr>
        <w:t xml:space="preserve"> [“the property”]</w:t>
      </w:r>
      <w:r>
        <w:rPr>
          <w:rFonts w:ascii="Times New Roman" w:hAnsi="Times New Roman" w:cs="Times New Roman"/>
          <w:sz w:val="24"/>
          <w:szCs w:val="24"/>
        </w:rPr>
        <w:t xml:space="preserve"> situated in the district of Salisbury. The property</w:t>
      </w:r>
      <w:r w:rsidR="007D7510">
        <w:rPr>
          <w:rFonts w:ascii="Times New Roman" w:hAnsi="Times New Roman" w:cs="Times New Roman"/>
          <w:sz w:val="24"/>
          <w:szCs w:val="24"/>
        </w:rPr>
        <w:t>,</w:t>
      </w:r>
      <w:r>
        <w:rPr>
          <w:rFonts w:ascii="Times New Roman" w:hAnsi="Times New Roman" w:cs="Times New Roman"/>
          <w:sz w:val="24"/>
          <w:szCs w:val="24"/>
        </w:rPr>
        <w:t xml:space="preserve"> Lot 2 of Lot 19 Block C of Avondale, is 1982 square metres in extent. It is held under deed of transfer 657/2015. Its selling price was $176 000.</w:t>
      </w:r>
    </w:p>
    <w:p w:rsidR="00DF693D" w:rsidRDefault="00DF693D" w:rsidP="00E24A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line with </w:t>
      </w:r>
      <w:r w:rsidR="006E7AAF">
        <w:rPr>
          <w:rFonts w:ascii="Times New Roman" w:hAnsi="Times New Roman" w:cs="Times New Roman"/>
          <w:sz w:val="24"/>
          <w:szCs w:val="24"/>
        </w:rPr>
        <w:t xml:space="preserve">the </w:t>
      </w:r>
      <w:r w:rsidR="007D7510">
        <w:rPr>
          <w:rFonts w:ascii="Times New Roman" w:hAnsi="Times New Roman" w:cs="Times New Roman"/>
          <w:sz w:val="24"/>
          <w:szCs w:val="24"/>
        </w:rPr>
        <w:t xml:space="preserve">parties’ </w:t>
      </w:r>
      <w:r w:rsidR="00F46F72">
        <w:rPr>
          <w:rFonts w:ascii="Times New Roman" w:hAnsi="Times New Roman" w:cs="Times New Roman"/>
          <w:sz w:val="24"/>
          <w:szCs w:val="24"/>
        </w:rPr>
        <w:t>contract, the trust paid a deposit of $35 905.81. It, on 27 February</w:t>
      </w:r>
      <w:r w:rsidR="00CE4ED7">
        <w:rPr>
          <w:rFonts w:ascii="Times New Roman" w:hAnsi="Times New Roman" w:cs="Times New Roman"/>
          <w:sz w:val="24"/>
          <w:szCs w:val="24"/>
        </w:rPr>
        <w:t xml:space="preserve"> 2015, deposited the balance of $140 000 into </w:t>
      </w:r>
      <w:r w:rsidR="007D7510">
        <w:rPr>
          <w:rFonts w:ascii="Times New Roman" w:hAnsi="Times New Roman" w:cs="Times New Roman"/>
          <w:sz w:val="24"/>
          <w:szCs w:val="24"/>
        </w:rPr>
        <w:t>its</w:t>
      </w:r>
      <w:r w:rsidR="00CE4ED7">
        <w:rPr>
          <w:rFonts w:ascii="Times New Roman" w:hAnsi="Times New Roman" w:cs="Times New Roman"/>
          <w:sz w:val="24"/>
          <w:szCs w:val="24"/>
        </w:rPr>
        <w:t xml:space="preserve"> conveyancers’ trust account.</w:t>
      </w:r>
    </w:p>
    <w:p w:rsidR="00CE4ED7" w:rsidRDefault="00CE4ED7" w:rsidP="00E24A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an effort to move the process which related to the implementation of the contract forward, the bank’s general manager one Hashmon M</w:t>
      </w:r>
      <w:r w:rsidR="007D7510">
        <w:rPr>
          <w:rFonts w:ascii="Times New Roman" w:hAnsi="Times New Roman" w:cs="Times New Roman"/>
          <w:sz w:val="24"/>
          <w:szCs w:val="24"/>
        </w:rPr>
        <w:t>a</w:t>
      </w:r>
      <w:r>
        <w:rPr>
          <w:rFonts w:ascii="Times New Roman" w:hAnsi="Times New Roman" w:cs="Times New Roman"/>
          <w:sz w:val="24"/>
          <w:szCs w:val="24"/>
        </w:rPr>
        <w:t>tem</w:t>
      </w:r>
      <w:r w:rsidR="00DA758E">
        <w:rPr>
          <w:rFonts w:ascii="Times New Roman" w:hAnsi="Times New Roman" w:cs="Times New Roman"/>
          <w:sz w:val="24"/>
          <w:szCs w:val="24"/>
        </w:rPr>
        <w:t>er</w:t>
      </w:r>
      <w:r>
        <w:rPr>
          <w:rFonts w:ascii="Times New Roman" w:hAnsi="Times New Roman" w:cs="Times New Roman"/>
          <w:sz w:val="24"/>
          <w:szCs w:val="24"/>
        </w:rPr>
        <w:t xml:space="preserve">a did, on 24 February 2015, sign </w:t>
      </w:r>
      <w:r w:rsidR="006E7AAF">
        <w:rPr>
          <w:rFonts w:ascii="Times New Roman" w:hAnsi="Times New Roman" w:cs="Times New Roman"/>
          <w:sz w:val="24"/>
          <w:szCs w:val="24"/>
        </w:rPr>
        <w:t>a</w:t>
      </w:r>
      <w:r>
        <w:rPr>
          <w:rFonts w:ascii="Times New Roman" w:hAnsi="Times New Roman" w:cs="Times New Roman"/>
          <w:sz w:val="24"/>
          <w:szCs w:val="24"/>
        </w:rPr>
        <w:t xml:space="preserve"> power of attorney to pass transfer and the seller’s declaration. On </w:t>
      </w:r>
      <w:r w:rsidR="00DA758E">
        <w:rPr>
          <w:rFonts w:ascii="Times New Roman" w:hAnsi="Times New Roman" w:cs="Times New Roman"/>
          <w:sz w:val="24"/>
          <w:szCs w:val="24"/>
        </w:rPr>
        <w:t>23 March, 201</w:t>
      </w:r>
      <w:r>
        <w:rPr>
          <w:rFonts w:ascii="Times New Roman" w:hAnsi="Times New Roman" w:cs="Times New Roman"/>
          <w:sz w:val="24"/>
          <w:szCs w:val="24"/>
        </w:rPr>
        <w:t>5 th</w:t>
      </w:r>
      <w:r w:rsidR="007D7510">
        <w:rPr>
          <w:rFonts w:ascii="Times New Roman" w:hAnsi="Times New Roman" w:cs="Times New Roman"/>
          <w:sz w:val="24"/>
          <w:szCs w:val="24"/>
        </w:rPr>
        <w:t>e conveyancers secured the rates</w:t>
      </w:r>
      <w:r>
        <w:rPr>
          <w:rFonts w:ascii="Times New Roman" w:hAnsi="Times New Roman" w:cs="Times New Roman"/>
          <w:sz w:val="24"/>
          <w:szCs w:val="24"/>
        </w:rPr>
        <w:t xml:space="preserve"> assessment from the City of Harare. On 26 March, 2015 the Zimbabwe Revenue Authority assessed tax and furnished the conveyancers with the same.</w:t>
      </w:r>
    </w:p>
    <w:p w:rsidR="00CE4ED7" w:rsidRDefault="00CE4ED7" w:rsidP="00E24A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Whilst the abovementioned process</w:t>
      </w:r>
      <w:r w:rsidR="00DA758E">
        <w:rPr>
          <w:rFonts w:ascii="Times New Roman" w:hAnsi="Times New Roman" w:cs="Times New Roman"/>
          <w:sz w:val="24"/>
          <w:szCs w:val="24"/>
        </w:rPr>
        <w:t>es</w:t>
      </w:r>
      <w:r w:rsidR="004A5300">
        <w:rPr>
          <w:rFonts w:ascii="Times New Roman" w:hAnsi="Times New Roman" w:cs="Times New Roman"/>
          <w:sz w:val="24"/>
          <w:szCs w:val="24"/>
        </w:rPr>
        <w:t xml:space="preserve"> </w:t>
      </w:r>
      <w:r>
        <w:rPr>
          <w:rFonts w:ascii="Times New Roman" w:hAnsi="Times New Roman" w:cs="Times New Roman"/>
          <w:sz w:val="24"/>
          <w:szCs w:val="24"/>
        </w:rPr>
        <w:t xml:space="preserve">were in progress, the conveyancers received information to the effect that the bank was, on 18 March 2015, placed under provisional liquidation. These addressed a letter to the liquidator. They did so on 7 April, 2015. They, in the letter, sought the liquidator’s opinion on whether or not they could proceed to pay tax in anticipation of the transfer. The liquidator advised them to wait a bit as he wanted to verify facts before they paid the tax. In June 2015, he advised them to wait for the first creditors’ meeting. On 23 October, 2015 he emailed and advised the conveyancers that their client’s </w:t>
      </w:r>
      <w:r>
        <w:rPr>
          <w:rFonts w:ascii="Times New Roman" w:hAnsi="Times New Roman" w:cs="Times New Roman"/>
          <w:sz w:val="24"/>
          <w:szCs w:val="24"/>
        </w:rPr>
        <w:lastRenderedPageBreak/>
        <w:t>matte</w:t>
      </w:r>
      <w:r w:rsidR="00DA758E">
        <w:rPr>
          <w:rFonts w:ascii="Times New Roman" w:hAnsi="Times New Roman" w:cs="Times New Roman"/>
          <w:sz w:val="24"/>
          <w:szCs w:val="24"/>
        </w:rPr>
        <w:t>r</w:t>
      </w:r>
      <w:r>
        <w:rPr>
          <w:rFonts w:ascii="Times New Roman" w:hAnsi="Times New Roman" w:cs="Times New Roman"/>
          <w:sz w:val="24"/>
          <w:szCs w:val="24"/>
        </w:rPr>
        <w:t xml:space="preserve"> was still under review. They were eventually referred to the liquidator’s agent one Alex Dera whom they said exchanged several corresponde</w:t>
      </w:r>
      <w:r w:rsidR="006E7AAF">
        <w:rPr>
          <w:rFonts w:ascii="Times New Roman" w:hAnsi="Times New Roman" w:cs="Times New Roman"/>
          <w:sz w:val="24"/>
          <w:szCs w:val="24"/>
        </w:rPr>
        <w:t>nces</w:t>
      </w:r>
      <w:r>
        <w:rPr>
          <w:rFonts w:ascii="Times New Roman" w:hAnsi="Times New Roman" w:cs="Times New Roman"/>
          <w:sz w:val="24"/>
          <w:szCs w:val="24"/>
        </w:rPr>
        <w:t xml:space="preserve"> with them on the matter. It was only on 24 November, 2015 that Mr Dera wrote advising the co</w:t>
      </w:r>
      <w:r w:rsidR="00AB4EDD">
        <w:rPr>
          <w:rFonts w:ascii="Times New Roman" w:hAnsi="Times New Roman" w:cs="Times New Roman"/>
          <w:sz w:val="24"/>
          <w:szCs w:val="24"/>
        </w:rPr>
        <w:t>nvey</w:t>
      </w:r>
      <w:r>
        <w:rPr>
          <w:rFonts w:ascii="Times New Roman" w:hAnsi="Times New Roman" w:cs="Times New Roman"/>
          <w:sz w:val="24"/>
          <w:szCs w:val="24"/>
        </w:rPr>
        <w:t>a</w:t>
      </w:r>
      <w:r w:rsidR="00AB4EDD">
        <w:rPr>
          <w:rFonts w:ascii="Times New Roman" w:hAnsi="Times New Roman" w:cs="Times New Roman"/>
          <w:sz w:val="24"/>
          <w:szCs w:val="24"/>
        </w:rPr>
        <w:t>n</w:t>
      </w:r>
      <w:r>
        <w:rPr>
          <w:rFonts w:ascii="Times New Roman" w:hAnsi="Times New Roman" w:cs="Times New Roman"/>
          <w:sz w:val="24"/>
          <w:szCs w:val="24"/>
        </w:rPr>
        <w:t>cers that the liquidator was not sanctioning the sale. He gave reasons which, according to him, persuaded the liquidator to take the position which he took</w:t>
      </w:r>
      <w:r w:rsidR="00104F66">
        <w:rPr>
          <w:rFonts w:ascii="Times New Roman" w:hAnsi="Times New Roman" w:cs="Times New Roman"/>
          <w:sz w:val="24"/>
          <w:szCs w:val="24"/>
        </w:rPr>
        <w:t>.</w:t>
      </w:r>
    </w:p>
    <w:p w:rsidR="00104F66" w:rsidRDefault="00104F66" w:rsidP="00E24A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concerns of the trust and its conveyancers were that:</w:t>
      </w:r>
    </w:p>
    <w:p w:rsidR="00104F66" w:rsidRDefault="00DA758E" w:rsidP="00104F6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104F66">
        <w:rPr>
          <w:rFonts w:ascii="Times New Roman" w:hAnsi="Times New Roman" w:cs="Times New Roman"/>
          <w:sz w:val="24"/>
          <w:szCs w:val="24"/>
        </w:rPr>
        <w:t>he liquidator’s agent conveyed to them the impression that the sale was being considered and a response would be furnished to them;</w:t>
      </w:r>
    </w:p>
    <w:p w:rsidR="00104F66" w:rsidRDefault="00DA758E" w:rsidP="00104F6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104F66">
        <w:rPr>
          <w:rFonts w:ascii="Times New Roman" w:hAnsi="Times New Roman" w:cs="Times New Roman"/>
          <w:sz w:val="24"/>
          <w:szCs w:val="24"/>
        </w:rPr>
        <w:t xml:space="preserve">he liquidator’s agent, Mr Dera, sold the property to another person for the sum of $140 000 whilst he was aware of the contract which the </w:t>
      </w:r>
      <w:r w:rsidR="0088235B">
        <w:rPr>
          <w:rFonts w:ascii="Times New Roman" w:hAnsi="Times New Roman" w:cs="Times New Roman"/>
          <w:sz w:val="24"/>
          <w:szCs w:val="24"/>
        </w:rPr>
        <w:t>trust</w:t>
      </w:r>
      <w:r w:rsidR="00104F66">
        <w:rPr>
          <w:rFonts w:ascii="Times New Roman" w:hAnsi="Times New Roman" w:cs="Times New Roman"/>
          <w:sz w:val="24"/>
          <w:szCs w:val="24"/>
        </w:rPr>
        <w:t xml:space="preserve"> and the bank </w:t>
      </w:r>
      <w:r w:rsidR="00A03EE7">
        <w:rPr>
          <w:rFonts w:ascii="Times New Roman" w:hAnsi="Times New Roman" w:cs="Times New Roman"/>
          <w:sz w:val="24"/>
          <w:szCs w:val="24"/>
        </w:rPr>
        <w:t>ha</w:t>
      </w:r>
      <w:r w:rsidR="00AB4EDD">
        <w:rPr>
          <w:rFonts w:ascii="Times New Roman" w:hAnsi="Times New Roman" w:cs="Times New Roman"/>
          <w:sz w:val="24"/>
          <w:szCs w:val="24"/>
        </w:rPr>
        <w:t>d</w:t>
      </w:r>
      <w:r w:rsidR="00104F66">
        <w:rPr>
          <w:rFonts w:ascii="Times New Roman" w:hAnsi="Times New Roman" w:cs="Times New Roman"/>
          <w:sz w:val="24"/>
          <w:szCs w:val="24"/>
        </w:rPr>
        <w:t xml:space="preserve"> concluded;</w:t>
      </w:r>
    </w:p>
    <w:p w:rsidR="00104F66" w:rsidRDefault="00DA758E" w:rsidP="00104F6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7D7510">
        <w:rPr>
          <w:rFonts w:ascii="Times New Roman" w:hAnsi="Times New Roman" w:cs="Times New Roman"/>
          <w:sz w:val="24"/>
          <w:szCs w:val="24"/>
        </w:rPr>
        <w:t>he</w:t>
      </w:r>
      <w:r w:rsidR="00104F66">
        <w:rPr>
          <w:rFonts w:ascii="Times New Roman" w:hAnsi="Times New Roman" w:cs="Times New Roman"/>
          <w:sz w:val="24"/>
          <w:szCs w:val="24"/>
        </w:rPr>
        <w:t xml:space="preserve"> </w:t>
      </w:r>
      <w:r w:rsidR="00AB4EDD">
        <w:rPr>
          <w:rFonts w:ascii="Times New Roman" w:hAnsi="Times New Roman" w:cs="Times New Roman"/>
          <w:sz w:val="24"/>
          <w:szCs w:val="24"/>
        </w:rPr>
        <w:t>liquidator info</w:t>
      </w:r>
      <w:r w:rsidR="00104F66">
        <w:rPr>
          <w:rFonts w:ascii="Times New Roman" w:hAnsi="Times New Roman" w:cs="Times New Roman"/>
          <w:sz w:val="24"/>
          <w:szCs w:val="24"/>
        </w:rPr>
        <w:t xml:space="preserve">rmed them </w:t>
      </w:r>
      <w:r w:rsidR="00AB4EDD">
        <w:rPr>
          <w:rFonts w:ascii="Times New Roman" w:hAnsi="Times New Roman" w:cs="Times New Roman"/>
          <w:sz w:val="24"/>
          <w:szCs w:val="24"/>
        </w:rPr>
        <w:t>that</w:t>
      </w:r>
      <w:r w:rsidR="00104F66">
        <w:rPr>
          <w:rFonts w:ascii="Times New Roman" w:hAnsi="Times New Roman" w:cs="Times New Roman"/>
          <w:sz w:val="24"/>
          <w:szCs w:val="24"/>
        </w:rPr>
        <w:t xml:space="preserve"> he did not accept the agreement of sale as, in his opinion, accepting it was tantamount to prefe</w:t>
      </w:r>
      <w:r w:rsidR="00CF500D">
        <w:rPr>
          <w:rFonts w:ascii="Times New Roman" w:hAnsi="Times New Roman" w:cs="Times New Roman"/>
          <w:sz w:val="24"/>
          <w:szCs w:val="24"/>
        </w:rPr>
        <w:t xml:space="preserve">rring one creditor (the trust) </w:t>
      </w:r>
      <w:r w:rsidR="00104F66">
        <w:rPr>
          <w:rFonts w:ascii="Times New Roman" w:hAnsi="Times New Roman" w:cs="Times New Roman"/>
          <w:sz w:val="24"/>
          <w:szCs w:val="24"/>
        </w:rPr>
        <w:t xml:space="preserve"> </w:t>
      </w:r>
      <w:r w:rsidR="001D7614">
        <w:rPr>
          <w:rFonts w:ascii="Times New Roman" w:hAnsi="Times New Roman" w:cs="Times New Roman"/>
          <w:sz w:val="24"/>
          <w:szCs w:val="24"/>
        </w:rPr>
        <w:t>a</w:t>
      </w:r>
      <w:r w:rsidR="00104F66">
        <w:rPr>
          <w:rFonts w:ascii="Times New Roman" w:hAnsi="Times New Roman" w:cs="Times New Roman"/>
          <w:sz w:val="24"/>
          <w:szCs w:val="24"/>
        </w:rPr>
        <w:t xml:space="preserve">head of other </w:t>
      </w:r>
      <w:r w:rsidR="00AB4EDD">
        <w:rPr>
          <w:rFonts w:ascii="Times New Roman" w:hAnsi="Times New Roman" w:cs="Times New Roman"/>
          <w:sz w:val="24"/>
          <w:szCs w:val="24"/>
        </w:rPr>
        <w:t>creditors</w:t>
      </w:r>
      <w:r>
        <w:rPr>
          <w:rFonts w:ascii="Times New Roman" w:hAnsi="Times New Roman" w:cs="Times New Roman"/>
          <w:sz w:val="24"/>
          <w:szCs w:val="24"/>
        </w:rPr>
        <w:t xml:space="preserve"> in contravention of the I</w:t>
      </w:r>
      <w:r w:rsidR="00104F66">
        <w:rPr>
          <w:rFonts w:ascii="Times New Roman" w:hAnsi="Times New Roman" w:cs="Times New Roman"/>
          <w:sz w:val="24"/>
          <w:szCs w:val="24"/>
        </w:rPr>
        <w:t>nsolvency Act;</w:t>
      </w:r>
    </w:p>
    <w:p w:rsidR="00104F66" w:rsidRDefault="0008687C" w:rsidP="00104F6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104F66">
        <w:rPr>
          <w:rFonts w:ascii="Times New Roman" w:hAnsi="Times New Roman" w:cs="Times New Roman"/>
          <w:sz w:val="24"/>
          <w:szCs w:val="24"/>
        </w:rPr>
        <w:t xml:space="preserve">he </w:t>
      </w:r>
      <w:r w:rsidR="00AB4EDD">
        <w:rPr>
          <w:rFonts w:ascii="Times New Roman" w:hAnsi="Times New Roman" w:cs="Times New Roman"/>
          <w:sz w:val="24"/>
          <w:szCs w:val="24"/>
        </w:rPr>
        <w:t>liquidator</w:t>
      </w:r>
      <w:r w:rsidR="00104F66">
        <w:rPr>
          <w:rFonts w:ascii="Times New Roman" w:hAnsi="Times New Roman" w:cs="Times New Roman"/>
          <w:sz w:val="24"/>
          <w:szCs w:val="24"/>
        </w:rPr>
        <w:t xml:space="preserve"> misled them into </w:t>
      </w:r>
      <w:r w:rsidR="00AB4EDD">
        <w:rPr>
          <w:rFonts w:ascii="Times New Roman" w:hAnsi="Times New Roman" w:cs="Times New Roman"/>
          <w:sz w:val="24"/>
          <w:szCs w:val="24"/>
        </w:rPr>
        <w:t>believing</w:t>
      </w:r>
      <w:r w:rsidR="00104F66">
        <w:rPr>
          <w:rFonts w:ascii="Times New Roman" w:hAnsi="Times New Roman" w:cs="Times New Roman"/>
          <w:sz w:val="24"/>
          <w:szCs w:val="24"/>
        </w:rPr>
        <w:t xml:space="preserve"> that their case was receiving the </w:t>
      </w:r>
      <w:r w:rsidR="00AB4EDD">
        <w:rPr>
          <w:rFonts w:ascii="Times New Roman" w:hAnsi="Times New Roman" w:cs="Times New Roman"/>
          <w:sz w:val="24"/>
          <w:szCs w:val="24"/>
        </w:rPr>
        <w:t>liquidator</w:t>
      </w:r>
      <w:r w:rsidR="00CF500D">
        <w:rPr>
          <w:rFonts w:ascii="Times New Roman" w:hAnsi="Times New Roman" w:cs="Times New Roman"/>
          <w:sz w:val="24"/>
          <w:szCs w:val="24"/>
        </w:rPr>
        <w:t>’s</w:t>
      </w:r>
      <w:r w:rsidR="00104F66">
        <w:rPr>
          <w:rFonts w:ascii="Times New Roman" w:hAnsi="Times New Roman" w:cs="Times New Roman"/>
          <w:sz w:val="24"/>
          <w:szCs w:val="24"/>
        </w:rPr>
        <w:t xml:space="preserve"> active attention when the latter person was, in fact, selling the property to another person without first cancelling the contract which the </w:t>
      </w:r>
      <w:r w:rsidR="00AB4EDD">
        <w:rPr>
          <w:rFonts w:ascii="Times New Roman" w:hAnsi="Times New Roman" w:cs="Times New Roman"/>
          <w:sz w:val="24"/>
          <w:szCs w:val="24"/>
        </w:rPr>
        <w:t>trust</w:t>
      </w:r>
      <w:r w:rsidR="00104F66">
        <w:rPr>
          <w:rFonts w:ascii="Times New Roman" w:hAnsi="Times New Roman" w:cs="Times New Roman"/>
          <w:sz w:val="24"/>
          <w:szCs w:val="24"/>
        </w:rPr>
        <w:t xml:space="preserve"> and the bank concluded on 18 </w:t>
      </w:r>
      <w:r w:rsidR="00AB4EDD">
        <w:rPr>
          <w:rFonts w:ascii="Times New Roman" w:hAnsi="Times New Roman" w:cs="Times New Roman"/>
          <w:sz w:val="24"/>
          <w:szCs w:val="24"/>
        </w:rPr>
        <w:t>February</w:t>
      </w:r>
      <w:r w:rsidR="00104F66">
        <w:rPr>
          <w:rFonts w:ascii="Times New Roman" w:hAnsi="Times New Roman" w:cs="Times New Roman"/>
          <w:sz w:val="24"/>
          <w:szCs w:val="24"/>
        </w:rPr>
        <w:t>, 2015;</w:t>
      </w:r>
    </w:p>
    <w:p w:rsidR="00104F66" w:rsidRDefault="0008687C" w:rsidP="00104F6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104F66">
        <w:rPr>
          <w:rFonts w:ascii="Times New Roman" w:hAnsi="Times New Roman" w:cs="Times New Roman"/>
          <w:sz w:val="24"/>
          <w:szCs w:val="24"/>
        </w:rPr>
        <w:t xml:space="preserve">he bank was involved </w:t>
      </w:r>
      <w:r w:rsidR="0071262E">
        <w:rPr>
          <w:rFonts w:ascii="Times New Roman" w:hAnsi="Times New Roman" w:cs="Times New Roman"/>
          <w:sz w:val="24"/>
          <w:szCs w:val="24"/>
        </w:rPr>
        <w:t>in a</w:t>
      </w:r>
      <w:r w:rsidR="00271B01">
        <w:rPr>
          <w:rFonts w:ascii="Times New Roman" w:hAnsi="Times New Roman" w:cs="Times New Roman"/>
          <w:sz w:val="24"/>
          <w:szCs w:val="24"/>
        </w:rPr>
        <w:t xml:space="preserve"> double sale and</w:t>
      </w:r>
      <w:r w:rsidR="00A03EE7">
        <w:rPr>
          <w:rFonts w:ascii="Times New Roman" w:hAnsi="Times New Roman" w:cs="Times New Roman"/>
          <w:sz w:val="24"/>
          <w:szCs w:val="24"/>
        </w:rPr>
        <w:t xml:space="preserve"> the second sale was</w:t>
      </w:r>
      <w:r w:rsidR="00271B01">
        <w:rPr>
          <w:rFonts w:ascii="Times New Roman" w:hAnsi="Times New Roman" w:cs="Times New Roman"/>
          <w:sz w:val="24"/>
          <w:szCs w:val="24"/>
        </w:rPr>
        <w:t xml:space="preserve"> for a price which was lower than </w:t>
      </w:r>
      <w:r w:rsidR="00CF500D">
        <w:rPr>
          <w:rFonts w:ascii="Times New Roman" w:hAnsi="Times New Roman" w:cs="Times New Roman"/>
          <w:sz w:val="24"/>
          <w:szCs w:val="24"/>
        </w:rPr>
        <w:t xml:space="preserve">that which </w:t>
      </w:r>
      <w:r w:rsidR="00271B01">
        <w:rPr>
          <w:rFonts w:ascii="Times New Roman" w:hAnsi="Times New Roman" w:cs="Times New Roman"/>
          <w:sz w:val="24"/>
          <w:szCs w:val="24"/>
        </w:rPr>
        <w:t>the trust offered to pay for the property.</w:t>
      </w:r>
    </w:p>
    <w:p w:rsidR="0088235B" w:rsidRDefault="001B73A6" w:rsidP="001B73A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They, therefore, moved the court to determine who, between the trust and the new purchaser, should get transfer of the property.</w:t>
      </w:r>
    </w:p>
    <w:p w:rsidR="0088235B" w:rsidRPr="00CF5222" w:rsidRDefault="0088235B" w:rsidP="001B73A6">
      <w:pPr>
        <w:pStyle w:val="ListParagraph"/>
        <w:spacing w:after="0" w:line="360" w:lineRule="auto"/>
        <w:ind w:left="0" w:firstLine="720"/>
        <w:jc w:val="both"/>
        <w:rPr>
          <w:rFonts w:ascii="Times New Roman" w:hAnsi="Times New Roman" w:cs="Times New Roman"/>
          <w:sz w:val="24"/>
          <w:szCs w:val="24"/>
          <w:u w:val="single"/>
        </w:rPr>
      </w:pPr>
      <w:r w:rsidRPr="00CF5222">
        <w:rPr>
          <w:rFonts w:ascii="Times New Roman" w:hAnsi="Times New Roman" w:cs="Times New Roman"/>
          <w:sz w:val="24"/>
          <w:szCs w:val="24"/>
          <w:u w:val="single"/>
        </w:rPr>
        <w:t>APPLICATION AND COUNTER-APPLICATION</w:t>
      </w:r>
    </w:p>
    <w:p w:rsidR="0088235B" w:rsidRDefault="0088235B" w:rsidP="001B73A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Following the bank’s placement under provisional liquidation, the trust filed the present application. It applied for leave to sue the bank. It premised its appli</w:t>
      </w:r>
      <w:r w:rsidR="00064D60">
        <w:rPr>
          <w:rFonts w:ascii="Times New Roman" w:hAnsi="Times New Roman" w:cs="Times New Roman"/>
          <w:sz w:val="24"/>
          <w:szCs w:val="24"/>
        </w:rPr>
        <w:t>cation on s 213 (a) of the Companies Act [</w:t>
      </w:r>
      <w:r w:rsidR="00064D60" w:rsidRPr="00CF5222">
        <w:rPr>
          <w:rFonts w:ascii="Times New Roman" w:hAnsi="Times New Roman" w:cs="Times New Roman"/>
          <w:i/>
          <w:sz w:val="24"/>
          <w:szCs w:val="24"/>
        </w:rPr>
        <w:t>Chapter 24:03</w:t>
      </w:r>
      <w:r w:rsidR="00064D60">
        <w:rPr>
          <w:rFonts w:ascii="Times New Roman" w:hAnsi="Times New Roman" w:cs="Times New Roman"/>
          <w:sz w:val="24"/>
          <w:szCs w:val="24"/>
        </w:rPr>
        <w:t>]. It narrated the matters which are stated in the background portion of this judgment as its reasons for wanting to sue the bank</w:t>
      </w:r>
      <w:r w:rsidR="00CF500D">
        <w:rPr>
          <w:rFonts w:ascii="Times New Roman" w:hAnsi="Times New Roman" w:cs="Times New Roman"/>
          <w:sz w:val="24"/>
          <w:szCs w:val="24"/>
        </w:rPr>
        <w:t>.</w:t>
      </w:r>
      <w:r w:rsidR="00064D60">
        <w:rPr>
          <w:rFonts w:ascii="Times New Roman" w:hAnsi="Times New Roman" w:cs="Times New Roman"/>
          <w:sz w:val="24"/>
          <w:szCs w:val="24"/>
        </w:rPr>
        <w:t xml:space="preserve"> </w:t>
      </w:r>
      <w:r w:rsidR="00CF500D">
        <w:rPr>
          <w:rFonts w:ascii="Times New Roman" w:hAnsi="Times New Roman" w:cs="Times New Roman"/>
          <w:sz w:val="24"/>
          <w:szCs w:val="24"/>
        </w:rPr>
        <w:t>I</w:t>
      </w:r>
      <w:r w:rsidR="00064D60">
        <w:rPr>
          <w:rFonts w:ascii="Times New Roman" w:hAnsi="Times New Roman" w:cs="Times New Roman"/>
          <w:sz w:val="24"/>
          <w:szCs w:val="24"/>
        </w:rPr>
        <w:t>t moved the court to grant leave to it to sue the bank.</w:t>
      </w:r>
    </w:p>
    <w:p w:rsidR="00064D60" w:rsidRDefault="00064D60" w:rsidP="001B73A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liquidator who stood in the shoes of the bank opposed the application. He raised the following </w:t>
      </w:r>
      <w:r w:rsidRPr="00064D60">
        <w:rPr>
          <w:rFonts w:ascii="Times New Roman" w:hAnsi="Times New Roman" w:cs="Times New Roman"/>
          <w:i/>
          <w:sz w:val="24"/>
          <w:szCs w:val="24"/>
        </w:rPr>
        <w:t>in limine</w:t>
      </w:r>
      <w:r>
        <w:rPr>
          <w:rFonts w:ascii="Times New Roman" w:hAnsi="Times New Roman" w:cs="Times New Roman"/>
          <w:sz w:val="24"/>
          <w:szCs w:val="24"/>
        </w:rPr>
        <w:t xml:space="preserve"> matters:</w:t>
      </w:r>
    </w:p>
    <w:p w:rsidR="005C7B64" w:rsidRDefault="005C7B64" w:rsidP="005C7B6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exhausting domestic remedies;</w:t>
      </w:r>
    </w:p>
    <w:p w:rsidR="005C7B64" w:rsidRDefault="00CF500D" w:rsidP="005C7B6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material non-joinder of</w:t>
      </w:r>
      <w:r w:rsidR="005C7B64">
        <w:rPr>
          <w:rFonts w:ascii="Times New Roman" w:hAnsi="Times New Roman" w:cs="Times New Roman"/>
          <w:sz w:val="24"/>
          <w:szCs w:val="24"/>
        </w:rPr>
        <w:t xml:space="preserve"> interested parties</w:t>
      </w:r>
      <w:r>
        <w:rPr>
          <w:rFonts w:ascii="Times New Roman" w:hAnsi="Times New Roman" w:cs="Times New Roman"/>
          <w:sz w:val="24"/>
          <w:szCs w:val="24"/>
        </w:rPr>
        <w:t>;</w:t>
      </w:r>
    </w:p>
    <w:p w:rsidR="005C7B64" w:rsidRDefault="005C7B64" w:rsidP="005C7B6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delay in instituting proceedings </w:t>
      </w:r>
      <w:r w:rsidR="00CF500D">
        <w:rPr>
          <w:rFonts w:ascii="Times New Roman" w:hAnsi="Times New Roman" w:cs="Times New Roman"/>
          <w:sz w:val="24"/>
          <w:szCs w:val="24"/>
        </w:rPr>
        <w:t xml:space="preserve">- </w:t>
      </w:r>
      <w:r>
        <w:rPr>
          <w:rFonts w:ascii="Times New Roman" w:hAnsi="Times New Roman" w:cs="Times New Roman"/>
          <w:sz w:val="24"/>
          <w:szCs w:val="24"/>
        </w:rPr>
        <w:t>and</w:t>
      </w:r>
    </w:p>
    <w:p w:rsidR="001D7614" w:rsidRDefault="00CC5B33" w:rsidP="001D761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incompetent relief</w:t>
      </w:r>
    </w:p>
    <w:p w:rsidR="00CC5B33" w:rsidRPr="001D7614" w:rsidRDefault="00CC5B33" w:rsidP="001D7614">
      <w:pPr>
        <w:pStyle w:val="ListParagraph"/>
        <w:spacing w:after="0" w:line="360" w:lineRule="auto"/>
        <w:ind w:left="0"/>
        <w:jc w:val="both"/>
        <w:rPr>
          <w:rFonts w:ascii="Times New Roman" w:hAnsi="Times New Roman" w:cs="Times New Roman"/>
          <w:sz w:val="24"/>
          <w:szCs w:val="24"/>
        </w:rPr>
      </w:pPr>
      <w:r w:rsidRPr="001D7614">
        <w:rPr>
          <w:rFonts w:ascii="Times New Roman" w:hAnsi="Times New Roman" w:cs="Times New Roman"/>
          <w:sz w:val="24"/>
          <w:szCs w:val="24"/>
        </w:rPr>
        <w:t xml:space="preserve">He proceeded to deal with the substance of the application. He moved the court to dismiss the application </w:t>
      </w:r>
      <w:r w:rsidR="00A03EE7">
        <w:rPr>
          <w:rFonts w:ascii="Times New Roman" w:hAnsi="Times New Roman" w:cs="Times New Roman"/>
          <w:sz w:val="24"/>
          <w:szCs w:val="24"/>
        </w:rPr>
        <w:t xml:space="preserve">for leave to sue </w:t>
      </w:r>
      <w:r w:rsidR="006E7AAF">
        <w:rPr>
          <w:rFonts w:ascii="Times New Roman" w:hAnsi="Times New Roman" w:cs="Times New Roman"/>
          <w:sz w:val="24"/>
          <w:szCs w:val="24"/>
        </w:rPr>
        <w:t>the bank</w:t>
      </w:r>
      <w:r w:rsidRPr="001D7614">
        <w:rPr>
          <w:rFonts w:ascii="Times New Roman" w:hAnsi="Times New Roman" w:cs="Times New Roman"/>
          <w:sz w:val="24"/>
          <w:szCs w:val="24"/>
        </w:rPr>
        <w:t>.</w:t>
      </w:r>
    </w:p>
    <w:p w:rsidR="00F63AFA" w:rsidRDefault="00F63AFA" w:rsidP="00CC5B3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liquidator did not stop at opposing the application for leave to sue. He counter</w:t>
      </w:r>
      <w:r w:rsidR="00CF500D">
        <w:rPr>
          <w:rFonts w:ascii="Times New Roman" w:hAnsi="Times New Roman" w:cs="Times New Roman"/>
          <w:sz w:val="24"/>
          <w:szCs w:val="24"/>
        </w:rPr>
        <w:t>-</w:t>
      </w:r>
      <w:r>
        <w:rPr>
          <w:rFonts w:ascii="Times New Roman" w:hAnsi="Times New Roman" w:cs="Times New Roman"/>
          <w:sz w:val="24"/>
          <w:szCs w:val="24"/>
        </w:rPr>
        <w:t xml:space="preserve"> applied for an order setting aside the agreement of sale of 18 February, 2015. He moved</w:t>
      </w:r>
      <w:r w:rsidR="00F21B6E">
        <w:rPr>
          <w:rFonts w:ascii="Times New Roman" w:hAnsi="Times New Roman" w:cs="Times New Roman"/>
          <w:sz w:val="24"/>
          <w:szCs w:val="24"/>
        </w:rPr>
        <w:t xml:space="preserve"> the court to return to him the title deed which related to the property. He premised his counter- application on s 45 of the Insolvency Act [</w:t>
      </w:r>
      <w:r w:rsidR="00F21B6E" w:rsidRPr="00F21B6E">
        <w:rPr>
          <w:rFonts w:ascii="Times New Roman" w:hAnsi="Times New Roman" w:cs="Times New Roman"/>
          <w:i/>
          <w:sz w:val="24"/>
          <w:szCs w:val="24"/>
        </w:rPr>
        <w:t>Chapter 6:04</w:t>
      </w:r>
      <w:r w:rsidR="00F21B6E">
        <w:rPr>
          <w:rFonts w:ascii="Times New Roman" w:hAnsi="Times New Roman" w:cs="Times New Roman"/>
          <w:sz w:val="24"/>
          <w:szCs w:val="24"/>
        </w:rPr>
        <w:t>]. He incorporated</w:t>
      </w:r>
      <w:r w:rsidR="006E7AAF">
        <w:rPr>
          <w:rFonts w:ascii="Times New Roman" w:hAnsi="Times New Roman" w:cs="Times New Roman"/>
          <w:sz w:val="24"/>
          <w:szCs w:val="24"/>
        </w:rPr>
        <w:t xml:space="preserve"> into his counter-application</w:t>
      </w:r>
      <w:r w:rsidR="00F21B6E">
        <w:rPr>
          <w:rFonts w:ascii="Times New Roman" w:hAnsi="Times New Roman" w:cs="Times New Roman"/>
          <w:sz w:val="24"/>
          <w:szCs w:val="24"/>
        </w:rPr>
        <w:t xml:space="preserve"> each and every fact and submission which appea</w:t>
      </w:r>
      <w:r w:rsidR="006E7AAF">
        <w:rPr>
          <w:rFonts w:ascii="Times New Roman" w:hAnsi="Times New Roman" w:cs="Times New Roman"/>
          <w:sz w:val="24"/>
          <w:szCs w:val="24"/>
        </w:rPr>
        <w:t>red in his opposing affidavit</w:t>
      </w:r>
      <w:r w:rsidR="00F21B6E">
        <w:rPr>
          <w:rFonts w:ascii="Times New Roman" w:hAnsi="Times New Roman" w:cs="Times New Roman"/>
          <w:sz w:val="24"/>
          <w:szCs w:val="24"/>
        </w:rPr>
        <w:t>.</w:t>
      </w:r>
    </w:p>
    <w:p w:rsidR="003628D7" w:rsidRDefault="003628D7" w:rsidP="00CC5B3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liquidator’s counter-application caught the trust unaware</w:t>
      </w:r>
      <w:r w:rsidR="00CF500D">
        <w:rPr>
          <w:rFonts w:ascii="Times New Roman" w:hAnsi="Times New Roman" w:cs="Times New Roman"/>
          <w:sz w:val="24"/>
          <w:szCs w:val="24"/>
        </w:rPr>
        <w:t>s</w:t>
      </w:r>
      <w:r>
        <w:rPr>
          <w:rFonts w:ascii="Times New Roman" w:hAnsi="Times New Roman" w:cs="Times New Roman"/>
          <w:sz w:val="24"/>
          <w:szCs w:val="24"/>
        </w:rPr>
        <w:t xml:space="preserve">. </w:t>
      </w:r>
      <w:r w:rsidR="00A03EE7">
        <w:rPr>
          <w:rFonts w:ascii="Times New Roman" w:hAnsi="Times New Roman" w:cs="Times New Roman"/>
          <w:sz w:val="24"/>
          <w:szCs w:val="24"/>
        </w:rPr>
        <w:t xml:space="preserve">It </w:t>
      </w:r>
      <w:r>
        <w:rPr>
          <w:rFonts w:ascii="Times New Roman" w:hAnsi="Times New Roman" w:cs="Times New Roman"/>
          <w:sz w:val="24"/>
          <w:szCs w:val="24"/>
        </w:rPr>
        <w:t>placed the trust in an invidious position. It left the trust in a situation which made it difficult, if not impossible, to countenance. The counter</w:t>
      </w:r>
      <w:r w:rsidR="00CF500D">
        <w:rPr>
          <w:rFonts w:ascii="Times New Roman" w:hAnsi="Times New Roman" w:cs="Times New Roman"/>
          <w:sz w:val="24"/>
          <w:szCs w:val="24"/>
        </w:rPr>
        <w:t>-</w:t>
      </w:r>
      <w:r>
        <w:rPr>
          <w:rFonts w:ascii="Times New Roman" w:hAnsi="Times New Roman" w:cs="Times New Roman"/>
          <w:sz w:val="24"/>
          <w:szCs w:val="24"/>
        </w:rPr>
        <w:t>application</w:t>
      </w:r>
      <w:r w:rsidR="00CF500D">
        <w:rPr>
          <w:rFonts w:ascii="Times New Roman" w:hAnsi="Times New Roman" w:cs="Times New Roman"/>
          <w:sz w:val="24"/>
          <w:szCs w:val="24"/>
        </w:rPr>
        <w:t>,</w:t>
      </w:r>
      <w:r>
        <w:rPr>
          <w:rFonts w:ascii="Times New Roman" w:hAnsi="Times New Roman" w:cs="Times New Roman"/>
          <w:sz w:val="24"/>
          <w:szCs w:val="24"/>
        </w:rPr>
        <w:t xml:space="preserve"> the trust correctly stated, went to the core of</w:t>
      </w:r>
      <w:r w:rsidR="00736F01">
        <w:rPr>
          <w:rFonts w:ascii="Times New Roman" w:hAnsi="Times New Roman" w:cs="Times New Roman"/>
          <w:sz w:val="24"/>
          <w:szCs w:val="24"/>
        </w:rPr>
        <w:t xml:space="preserve"> the trust’s application for leave to</w:t>
      </w:r>
      <w:r w:rsidR="000B3B2B">
        <w:rPr>
          <w:rFonts w:ascii="Times New Roman" w:hAnsi="Times New Roman" w:cs="Times New Roman"/>
          <w:sz w:val="24"/>
          <w:szCs w:val="24"/>
        </w:rPr>
        <w:t xml:space="preserve"> sue. It, in other words, introduced</w:t>
      </w:r>
      <w:r w:rsidR="00CF500D">
        <w:rPr>
          <w:rFonts w:ascii="Times New Roman" w:hAnsi="Times New Roman" w:cs="Times New Roman"/>
          <w:sz w:val="24"/>
          <w:szCs w:val="24"/>
        </w:rPr>
        <w:t xml:space="preserve"> into</w:t>
      </w:r>
      <w:r w:rsidR="00154779">
        <w:rPr>
          <w:rFonts w:ascii="Times New Roman" w:hAnsi="Times New Roman" w:cs="Times New Roman"/>
          <w:sz w:val="24"/>
          <w:szCs w:val="24"/>
        </w:rPr>
        <w:t xml:space="preserve"> the application for leave to sue the ultimate relief which the trust wanted to seek from the court after the grant of its application for leave to sue. The trust could not and did not, therefore, know what procedure to adopt under the stated circumstances.</w:t>
      </w:r>
    </w:p>
    <w:p w:rsidR="00154779" w:rsidRDefault="00154779" w:rsidP="00CC5B3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an effort to </w:t>
      </w:r>
      <w:r w:rsidR="0056626D">
        <w:rPr>
          <w:rFonts w:ascii="Times New Roman" w:hAnsi="Times New Roman" w:cs="Times New Roman"/>
          <w:sz w:val="24"/>
          <w:szCs w:val="24"/>
        </w:rPr>
        <w:t>resolve</w:t>
      </w:r>
      <w:r>
        <w:rPr>
          <w:rFonts w:ascii="Times New Roman" w:hAnsi="Times New Roman" w:cs="Times New Roman"/>
          <w:sz w:val="24"/>
          <w:szCs w:val="24"/>
        </w:rPr>
        <w:t xml:space="preserve"> the matter which has been created, the trust’s legal practitioners addressed a letter to the liquidator’s legal practitioners. The letter is dated 22 February, 2016. It reads, in part, as follows:</w:t>
      </w:r>
    </w:p>
    <w:p w:rsidR="00154779" w:rsidRDefault="008728EB" w:rsidP="008728EB">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“Dear Sirs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728EB" w:rsidRDefault="008728EB" w:rsidP="008728EB">
      <w:pPr>
        <w:pStyle w:val="ListParagraph"/>
        <w:spacing w:after="0" w:line="240" w:lineRule="auto"/>
        <w:ind w:left="0" w:firstLine="720"/>
        <w:jc w:val="both"/>
        <w:rPr>
          <w:rFonts w:ascii="Times New Roman" w:hAnsi="Times New Roman" w:cs="Times New Roman"/>
        </w:rPr>
      </w:pPr>
    </w:p>
    <w:p w:rsidR="008728EB" w:rsidRDefault="008728EB" w:rsidP="008728EB">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RE:</w:t>
      </w:r>
      <w:r w:rsidR="00B25C41">
        <w:rPr>
          <w:rFonts w:ascii="Times New Roman" w:hAnsi="Times New Roman" w:cs="Times New Roman"/>
        </w:rPr>
        <w:t xml:space="preserve"> </w:t>
      </w:r>
      <w:r>
        <w:rPr>
          <w:rFonts w:ascii="Times New Roman" w:hAnsi="Times New Roman" w:cs="Times New Roman"/>
        </w:rPr>
        <w:t>K.S. TRUST V AFRICA BANKING LIMITED HC 801/16</w:t>
      </w:r>
    </w:p>
    <w:p w:rsidR="008728EB" w:rsidRDefault="008728EB" w:rsidP="008728EB">
      <w:pPr>
        <w:pStyle w:val="ListParagraph"/>
        <w:spacing w:after="0" w:line="240" w:lineRule="auto"/>
        <w:ind w:left="0" w:firstLine="720"/>
        <w:jc w:val="both"/>
        <w:rPr>
          <w:rFonts w:ascii="Times New Roman" w:hAnsi="Times New Roman" w:cs="Times New Roman"/>
        </w:rPr>
      </w:pPr>
    </w:p>
    <w:p w:rsidR="008728EB" w:rsidRDefault="00B34E03" w:rsidP="008728EB">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We refer to this matter in which you have filed </w:t>
      </w:r>
      <w:r w:rsidRPr="00C10390">
        <w:rPr>
          <w:rFonts w:ascii="Times New Roman" w:hAnsi="Times New Roman" w:cs="Times New Roman"/>
          <w:u w:val="single"/>
        </w:rPr>
        <w:t>a counter-</w:t>
      </w:r>
      <w:r w:rsidR="008728EB" w:rsidRPr="00C10390">
        <w:rPr>
          <w:rFonts w:ascii="Times New Roman" w:hAnsi="Times New Roman" w:cs="Times New Roman"/>
          <w:u w:val="single"/>
        </w:rPr>
        <w:t>application</w:t>
      </w:r>
      <w:r w:rsidR="008728EB">
        <w:rPr>
          <w:rFonts w:ascii="Times New Roman" w:hAnsi="Times New Roman" w:cs="Times New Roman"/>
        </w:rPr>
        <w:t>.</w:t>
      </w:r>
    </w:p>
    <w:p w:rsidR="008728EB" w:rsidRDefault="008728EB" w:rsidP="008728EB">
      <w:pPr>
        <w:pStyle w:val="ListParagraph"/>
        <w:spacing w:after="0" w:line="240" w:lineRule="auto"/>
        <w:ind w:left="0" w:firstLine="720"/>
        <w:jc w:val="both"/>
        <w:rPr>
          <w:rFonts w:ascii="Times New Roman" w:hAnsi="Times New Roman" w:cs="Times New Roman"/>
        </w:rPr>
      </w:pPr>
    </w:p>
    <w:p w:rsidR="008728EB" w:rsidRDefault="008728EB" w:rsidP="008728EB">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As you are aware, our application to the court is to get </w:t>
      </w:r>
      <w:r w:rsidRPr="00C10390">
        <w:rPr>
          <w:rFonts w:ascii="Times New Roman" w:hAnsi="Times New Roman" w:cs="Times New Roman"/>
          <w:u w:val="single"/>
        </w:rPr>
        <w:t xml:space="preserve">permission to sue Afrasia Bank </w:t>
      </w:r>
      <w:r w:rsidRPr="00C10390">
        <w:rPr>
          <w:rFonts w:ascii="Times New Roman" w:hAnsi="Times New Roman" w:cs="Times New Roman"/>
        </w:rPr>
        <w:tab/>
      </w:r>
      <w:r w:rsidRPr="00C10390">
        <w:rPr>
          <w:rFonts w:ascii="Times New Roman" w:hAnsi="Times New Roman" w:cs="Times New Roman"/>
          <w:u w:val="single"/>
        </w:rPr>
        <w:t>Zimbabwe which is in liquidation</w:t>
      </w:r>
      <w:r>
        <w:rPr>
          <w:rFonts w:ascii="Times New Roman" w:hAnsi="Times New Roman" w:cs="Times New Roman"/>
        </w:rPr>
        <w:t xml:space="preserve"> and the intended suit relates to Lot 2 of Lot 19 Block C </w:t>
      </w:r>
      <w:r>
        <w:rPr>
          <w:rFonts w:ascii="Times New Roman" w:hAnsi="Times New Roman" w:cs="Times New Roman"/>
        </w:rPr>
        <w:tab/>
        <w:t>Avondale, measuring 1982 square metres [hereinafter called “the property”]</w:t>
      </w:r>
    </w:p>
    <w:p w:rsidR="00CE53C1" w:rsidRDefault="00CE53C1" w:rsidP="008728EB">
      <w:pPr>
        <w:pStyle w:val="ListParagraph"/>
        <w:spacing w:after="0" w:line="240" w:lineRule="auto"/>
        <w:ind w:left="0" w:firstLine="720"/>
        <w:jc w:val="both"/>
        <w:rPr>
          <w:rFonts w:ascii="Times New Roman" w:hAnsi="Times New Roman" w:cs="Times New Roman"/>
        </w:rPr>
      </w:pPr>
    </w:p>
    <w:p w:rsidR="00CE53C1" w:rsidRDefault="00CE53C1" w:rsidP="008728EB">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We notice that in your counter-application </w:t>
      </w:r>
      <w:r w:rsidRPr="007B594F">
        <w:rPr>
          <w:rFonts w:ascii="Times New Roman" w:hAnsi="Times New Roman" w:cs="Times New Roman"/>
          <w:u w:val="single"/>
        </w:rPr>
        <w:t>you d</w:t>
      </w:r>
      <w:r w:rsidR="00CF500D">
        <w:rPr>
          <w:rFonts w:ascii="Times New Roman" w:hAnsi="Times New Roman" w:cs="Times New Roman"/>
          <w:u w:val="single"/>
        </w:rPr>
        <w:t>elve into the substantive issue</w:t>
      </w:r>
      <w:r w:rsidR="00F5245A">
        <w:rPr>
          <w:rFonts w:ascii="Times New Roman" w:hAnsi="Times New Roman" w:cs="Times New Roman"/>
          <w:u w:val="single"/>
        </w:rPr>
        <w:t>/</w:t>
      </w:r>
      <w:r w:rsidRPr="007B594F">
        <w:rPr>
          <w:rFonts w:ascii="Times New Roman" w:hAnsi="Times New Roman" w:cs="Times New Roman"/>
          <w:u w:val="single"/>
        </w:rPr>
        <w:t xml:space="preserve"> matter for </w:t>
      </w:r>
      <w:r w:rsidR="00795016" w:rsidRPr="007B594F">
        <w:rPr>
          <w:rFonts w:ascii="Times New Roman" w:hAnsi="Times New Roman" w:cs="Times New Roman"/>
        </w:rPr>
        <w:tab/>
      </w:r>
      <w:r w:rsidRPr="007B594F">
        <w:rPr>
          <w:rFonts w:ascii="Times New Roman" w:hAnsi="Times New Roman" w:cs="Times New Roman"/>
          <w:u w:val="single"/>
        </w:rPr>
        <w:t xml:space="preserve">which we intend to sue </w:t>
      </w:r>
      <w:r>
        <w:rPr>
          <w:rFonts w:ascii="Times New Roman" w:hAnsi="Times New Roman" w:cs="Times New Roman"/>
        </w:rPr>
        <w:t xml:space="preserve">and it therefore means your client agrees that </w:t>
      </w:r>
      <w:r w:rsidRPr="00855BD4">
        <w:rPr>
          <w:rFonts w:ascii="Times New Roman" w:hAnsi="Times New Roman" w:cs="Times New Roman"/>
          <w:u w:val="single"/>
        </w:rPr>
        <w:t xml:space="preserve">the High Court should </w:t>
      </w:r>
      <w:r w:rsidR="00795016" w:rsidRPr="00855BD4">
        <w:rPr>
          <w:rFonts w:ascii="Times New Roman" w:hAnsi="Times New Roman" w:cs="Times New Roman"/>
        </w:rPr>
        <w:tab/>
      </w:r>
      <w:r w:rsidRPr="00855BD4">
        <w:rPr>
          <w:rFonts w:ascii="Times New Roman" w:hAnsi="Times New Roman" w:cs="Times New Roman"/>
          <w:u w:val="single"/>
        </w:rPr>
        <w:t>entertain the property issue between the parties</w:t>
      </w:r>
      <w:r>
        <w:rPr>
          <w:rFonts w:ascii="Times New Roman" w:hAnsi="Times New Roman" w:cs="Times New Roman"/>
        </w:rPr>
        <w:t xml:space="preserve">, in which event there would be no more need </w:t>
      </w:r>
      <w:r w:rsidR="00795016">
        <w:rPr>
          <w:rFonts w:ascii="Times New Roman" w:hAnsi="Times New Roman" w:cs="Times New Roman"/>
        </w:rPr>
        <w:tab/>
      </w:r>
      <w:r>
        <w:rPr>
          <w:rFonts w:ascii="Times New Roman" w:hAnsi="Times New Roman" w:cs="Times New Roman"/>
        </w:rPr>
        <w:t>for us to continue fighting over the issue of leave to sue.</w:t>
      </w:r>
    </w:p>
    <w:p w:rsidR="00BF087F" w:rsidRDefault="00BF087F" w:rsidP="008728EB">
      <w:pPr>
        <w:pStyle w:val="ListParagraph"/>
        <w:spacing w:after="0" w:line="240" w:lineRule="auto"/>
        <w:ind w:left="0" w:firstLine="720"/>
        <w:jc w:val="both"/>
        <w:rPr>
          <w:rFonts w:ascii="Times New Roman" w:hAnsi="Times New Roman" w:cs="Times New Roman"/>
        </w:rPr>
      </w:pPr>
    </w:p>
    <w:p w:rsidR="00BF087F" w:rsidRDefault="00BF087F" w:rsidP="008728EB">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We accordingly propose that we agree that:</w:t>
      </w:r>
    </w:p>
    <w:p w:rsidR="00BF087F" w:rsidRDefault="00BF087F" w:rsidP="008728EB">
      <w:pPr>
        <w:pStyle w:val="ListParagraph"/>
        <w:spacing w:after="0" w:line="240" w:lineRule="auto"/>
        <w:ind w:left="0" w:firstLine="720"/>
        <w:jc w:val="both"/>
        <w:rPr>
          <w:rFonts w:ascii="Times New Roman" w:hAnsi="Times New Roman" w:cs="Times New Roman"/>
        </w:rPr>
      </w:pPr>
    </w:p>
    <w:p w:rsidR="00BF087F" w:rsidRDefault="00BF087F" w:rsidP="00BF087F">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you consent to our application for leave to sue</w:t>
      </w:r>
      <w:r w:rsidR="006227AC">
        <w:rPr>
          <w:rFonts w:ascii="Times New Roman" w:hAnsi="Times New Roman" w:cs="Times New Roman"/>
        </w:rPr>
        <w:t>;</w:t>
      </w:r>
    </w:p>
    <w:p w:rsidR="006227AC" w:rsidRDefault="006227AC" w:rsidP="00BF087F">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we do our opposing papers</w:t>
      </w:r>
      <w:r w:rsidR="004B7B31">
        <w:rPr>
          <w:rFonts w:ascii="Times New Roman" w:hAnsi="Times New Roman" w:cs="Times New Roman"/>
        </w:rPr>
        <w:t xml:space="preserve"> (and possibly a counter-application) dealing with the validity/cancellation of the agreement and whether or not the liquidator should be ordered to transfer the property to our client.</w:t>
      </w:r>
    </w:p>
    <w:p w:rsidR="004B7B31" w:rsidRDefault="004B7B31" w:rsidP="004B7B31">
      <w:pPr>
        <w:pStyle w:val="ListParagraph"/>
        <w:spacing w:after="0" w:line="240" w:lineRule="auto"/>
        <w:ind w:left="1080"/>
        <w:jc w:val="both"/>
        <w:rPr>
          <w:rFonts w:ascii="Times New Roman" w:hAnsi="Times New Roman" w:cs="Times New Roman"/>
        </w:rPr>
      </w:pPr>
    </w:p>
    <w:p w:rsidR="008728EB" w:rsidRDefault="00DB73B9" w:rsidP="008728EB">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We believe this is a more expedient and mutually convenient manner of having this matter </w:t>
      </w:r>
      <w:r>
        <w:rPr>
          <w:rFonts w:ascii="Times New Roman" w:hAnsi="Times New Roman" w:cs="Times New Roman"/>
        </w:rPr>
        <w:tab/>
        <w:t>finalised.</w:t>
      </w:r>
    </w:p>
    <w:p w:rsidR="00DB73B9" w:rsidRDefault="00DB73B9" w:rsidP="008728EB">
      <w:pPr>
        <w:pStyle w:val="ListParagraph"/>
        <w:spacing w:after="0" w:line="240" w:lineRule="auto"/>
        <w:ind w:left="0" w:firstLine="720"/>
        <w:jc w:val="both"/>
        <w:rPr>
          <w:rFonts w:ascii="Times New Roman" w:hAnsi="Times New Roman" w:cs="Times New Roman"/>
        </w:rPr>
      </w:pPr>
    </w:p>
    <w:p w:rsidR="00DB73B9" w:rsidRDefault="00DB73B9" w:rsidP="008728EB">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w:t>
      </w:r>
    </w:p>
    <w:p w:rsidR="00DB73B9" w:rsidRDefault="00DB73B9" w:rsidP="008728EB">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w:t>
      </w:r>
    </w:p>
    <w:p w:rsidR="00DB73B9" w:rsidRDefault="00DB73B9" w:rsidP="008728EB">
      <w:pPr>
        <w:pStyle w:val="ListParagraph"/>
        <w:spacing w:after="0" w:line="240" w:lineRule="auto"/>
        <w:ind w:left="0" w:firstLine="720"/>
        <w:jc w:val="both"/>
        <w:rPr>
          <w:rFonts w:ascii="Times New Roman" w:hAnsi="Times New Roman" w:cs="Times New Roman"/>
        </w:rPr>
      </w:pPr>
    </w:p>
    <w:p w:rsidR="00DB73B9" w:rsidRDefault="00DB73B9" w:rsidP="008728EB">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Our view is that only the court can finalise this property wrangle</w:t>
      </w:r>
      <w:r w:rsidR="00FA0FEE">
        <w:rPr>
          <w:rFonts w:ascii="Times New Roman" w:hAnsi="Times New Roman" w:cs="Times New Roman"/>
        </w:rPr>
        <w:t>. F</w:t>
      </w:r>
      <w:r w:rsidR="00CF500D">
        <w:rPr>
          <w:rFonts w:ascii="Times New Roman" w:hAnsi="Times New Roman" w:cs="Times New Roman"/>
        </w:rPr>
        <w:t xml:space="preserve">urther, by virtue of your </w:t>
      </w:r>
      <w:r w:rsidR="00CF500D">
        <w:rPr>
          <w:rFonts w:ascii="Times New Roman" w:hAnsi="Times New Roman" w:cs="Times New Roman"/>
        </w:rPr>
        <w:tab/>
        <w:t>counter</w:t>
      </w:r>
      <w:r w:rsidR="00FA0FEE">
        <w:rPr>
          <w:rFonts w:ascii="Times New Roman" w:hAnsi="Times New Roman" w:cs="Times New Roman"/>
        </w:rPr>
        <w:t>-application in the mat</w:t>
      </w:r>
      <w:r w:rsidR="00D553B5">
        <w:rPr>
          <w:rFonts w:ascii="Times New Roman" w:hAnsi="Times New Roman" w:cs="Times New Roman"/>
        </w:rPr>
        <w:t xml:space="preserve">ter, </w:t>
      </w:r>
      <w:r w:rsidR="00D553B5" w:rsidRPr="00475463">
        <w:rPr>
          <w:rFonts w:ascii="Times New Roman" w:hAnsi="Times New Roman" w:cs="Times New Roman"/>
          <w:u w:val="single"/>
        </w:rPr>
        <w:t xml:space="preserve">the court is already unavoidably seized with the substantive </w:t>
      </w:r>
      <w:r w:rsidR="00D553B5" w:rsidRPr="00475463">
        <w:rPr>
          <w:rFonts w:ascii="Times New Roman" w:hAnsi="Times New Roman" w:cs="Times New Roman"/>
        </w:rPr>
        <w:tab/>
      </w:r>
      <w:r w:rsidR="00D553B5" w:rsidRPr="00475463">
        <w:rPr>
          <w:rFonts w:ascii="Times New Roman" w:hAnsi="Times New Roman" w:cs="Times New Roman"/>
          <w:u w:val="single"/>
        </w:rPr>
        <w:t>issue of the property</w:t>
      </w:r>
      <w:r w:rsidR="00D553B5">
        <w:rPr>
          <w:rFonts w:ascii="Times New Roman" w:hAnsi="Times New Roman" w:cs="Times New Roman"/>
        </w:rPr>
        <w:t>.</w:t>
      </w:r>
    </w:p>
    <w:p w:rsidR="00D553B5" w:rsidRDefault="00D553B5" w:rsidP="008728EB">
      <w:pPr>
        <w:pStyle w:val="ListParagraph"/>
        <w:spacing w:after="0" w:line="240" w:lineRule="auto"/>
        <w:ind w:left="0" w:firstLine="720"/>
        <w:jc w:val="both"/>
        <w:rPr>
          <w:rFonts w:ascii="Times New Roman" w:hAnsi="Times New Roman" w:cs="Times New Roman"/>
        </w:rPr>
      </w:pPr>
    </w:p>
    <w:p w:rsidR="00D553B5" w:rsidRDefault="00D553B5" w:rsidP="008728EB">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We kindly request that you come back to us </w:t>
      </w:r>
      <w:r w:rsidRPr="00475463">
        <w:rPr>
          <w:rFonts w:ascii="Times New Roman" w:hAnsi="Times New Roman" w:cs="Times New Roman"/>
          <w:u w:val="single"/>
        </w:rPr>
        <w:t xml:space="preserve">by close of business today so that we know </w:t>
      </w:r>
      <w:r w:rsidRPr="00475463">
        <w:rPr>
          <w:rFonts w:ascii="Times New Roman" w:hAnsi="Times New Roman" w:cs="Times New Roman"/>
        </w:rPr>
        <w:tab/>
      </w:r>
      <w:r w:rsidRPr="00475463">
        <w:rPr>
          <w:rFonts w:ascii="Times New Roman" w:hAnsi="Times New Roman" w:cs="Times New Roman"/>
          <w:u w:val="single"/>
        </w:rPr>
        <w:t>which route exactly we are taking</w:t>
      </w:r>
      <w:r>
        <w:rPr>
          <w:rFonts w:ascii="Times New Roman" w:hAnsi="Times New Roman" w:cs="Times New Roman"/>
        </w:rPr>
        <w:t>.”[emphasis added]</w:t>
      </w:r>
    </w:p>
    <w:p w:rsidR="00816322" w:rsidRDefault="00816322" w:rsidP="008728EB">
      <w:pPr>
        <w:pStyle w:val="ListParagraph"/>
        <w:spacing w:after="0" w:line="240" w:lineRule="auto"/>
        <w:ind w:left="0" w:firstLine="720"/>
        <w:jc w:val="both"/>
        <w:rPr>
          <w:rFonts w:ascii="Times New Roman" w:hAnsi="Times New Roman" w:cs="Times New Roman"/>
        </w:rPr>
      </w:pPr>
    </w:p>
    <w:p w:rsidR="00816322" w:rsidRDefault="00816322" w:rsidP="0081632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liquidator’s legal practitioners </w:t>
      </w:r>
      <w:r w:rsidR="00CA1914">
        <w:rPr>
          <w:rFonts w:ascii="Times New Roman" w:hAnsi="Times New Roman" w:cs="Times New Roman"/>
          <w:sz w:val="24"/>
          <w:szCs w:val="24"/>
        </w:rPr>
        <w:t>responded</w:t>
      </w:r>
      <w:r>
        <w:rPr>
          <w:rFonts w:ascii="Times New Roman" w:hAnsi="Times New Roman" w:cs="Times New Roman"/>
          <w:sz w:val="24"/>
          <w:szCs w:val="24"/>
        </w:rPr>
        <w:t xml:space="preserve"> on the same date that the trust’s legal practitioners wrote to them. They acknowledged receipt of the trust’s letter. Their short response was that they would take instructions from the liquidator and revert to the trust in due course.</w:t>
      </w:r>
    </w:p>
    <w:p w:rsidR="00816322" w:rsidRDefault="00816322" w:rsidP="0081632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trust heard nothing from the liquidator’s legal practitioners from 22 to 26 February, 2016. The trust filed its</w:t>
      </w:r>
      <w:r w:rsidR="00CF500D">
        <w:rPr>
          <w:rFonts w:ascii="Times New Roman" w:hAnsi="Times New Roman" w:cs="Times New Roman"/>
          <w:sz w:val="24"/>
          <w:szCs w:val="24"/>
        </w:rPr>
        <w:t xml:space="preserve"> opposing papers to the counter-</w:t>
      </w:r>
      <w:r>
        <w:rPr>
          <w:rFonts w:ascii="Times New Roman" w:hAnsi="Times New Roman" w:cs="Times New Roman"/>
          <w:sz w:val="24"/>
          <w:szCs w:val="24"/>
        </w:rPr>
        <w:t>application on 26 February, 2016. The next thing which came the way of the trust w</w:t>
      </w:r>
      <w:r w:rsidR="00CF500D">
        <w:rPr>
          <w:rFonts w:ascii="Times New Roman" w:hAnsi="Times New Roman" w:cs="Times New Roman"/>
          <w:sz w:val="24"/>
          <w:szCs w:val="24"/>
        </w:rPr>
        <w:t>as the liquidator’s</w:t>
      </w:r>
      <w:r>
        <w:rPr>
          <w:rFonts w:ascii="Times New Roman" w:hAnsi="Times New Roman" w:cs="Times New Roman"/>
          <w:sz w:val="24"/>
          <w:szCs w:val="24"/>
        </w:rPr>
        <w:t xml:space="preserve"> Heads of Argument. These were filed with the court on 9 March, 2016.</w:t>
      </w:r>
    </w:p>
    <w:p w:rsidR="00161CF8" w:rsidRDefault="00161CF8" w:rsidP="0081632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At the hearing of the application and </w:t>
      </w:r>
      <w:r w:rsidR="00F5245A">
        <w:rPr>
          <w:rFonts w:ascii="Times New Roman" w:hAnsi="Times New Roman" w:cs="Times New Roman"/>
          <w:sz w:val="24"/>
          <w:szCs w:val="24"/>
        </w:rPr>
        <w:t xml:space="preserve">the </w:t>
      </w:r>
      <w:r>
        <w:rPr>
          <w:rFonts w:ascii="Times New Roman" w:hAnsi="Times New Roman" w:cs="Times New Roman"/>
          <w:sz w:val="24"/>
          <w:szCs w:val="24"/>
        </w:rPr>
        <w:t>counter</w:t>
      </w:r>
      <w:r w:rsidR="00F5245A">
        <w:rPr>
          <w:rFonts w:ascii="Times New Roman" w:hAnsi="Times New Roman" w:cs="Times New Roman"/>
          <w:sz w:val="24"/>
          <w:szCs w:val="24"/>
        </w:rPr>
        <w:t>-</w:t>
      </w:r>
      <w:r>
        <w:rPr>
          <w:rFonts w:ascii="Times New Roman" w:hAnsi="Times New Roman" w:cs="Times New Roman"/>
          <w:sz w:val="24"/>
          <w:szCs w:val="24"/>
        </w:rPr>
        <w:t xml:space="preserve">application, the trust successfully applied for upliftment of the bar and condonation for late filing of its Heads. The parties remained </w:t>
      </w:r>
      <w:r w:rsidRPr="00161CF8">
        <w:rPr>
          <w:rFonts w:ascii="Times New Roman" w:hAnsi="Times New Roman" w:cs="Times New Roman"/>
          <w:i/>
          <w:sz w:val="24"/>
          <w:szCs w:val="24"/>
        </w:rPr>
        <w:t>ad idem</w:t>
      </w:r>
      <w:r>
        <w:rPr>
          <w:rFonts w:ascii="Times New Roman" w:hAnsi="Times New Roman" w:cs="Times New Roman"/>
          <w:sz w:val="24"/>
          <w:szCs w:val="24"/>
        </w:rPr>
        <w:t xml:space="preserve"> on the point that </w:t>
      </w:r>
      <w:r w:rsidR="006E7AAF">
        <w:rPr>
          <w:rFonts w:ascii="Times New Roman" w:hAnsi="Times New Roman" w:cs="Times New Roman"/>
          <w:sz w:val="24"/>
          <w:szCs w:val="24"/>
        </w:rPr>
        <w:t>both applications ha</w:t>
      </w:r>
      <w:r>
        <w:rPr>
          <w:rFonts w:ascii="Times New Roman" w:hAnsi="Times New Roman" w:cs="Times New Roman"/>
          <w:sz w:val="24"/>
          <w:szCs w:val="24"/>
        </w:rPr>
        <w:t>d to be heard and determined together. The consensus of the parties in the mentioned regard persuaded the court t</w:t>
      </w:r>
      <w:r w:rsidR="00207F7F">
        <w:rPr>
          <w:rFonts w:ascii="Times New Roman" w:hAnsi="Times New Roman" w:cs="Times New Roman"/>
          <w:sz w:val="24"/>
          <w:szCs w:val="24"/>
        </w:rPr>
        <w:t>o issue the following directive (s):</w:t>
      </w:r>
    </w:p>
    <w:p w:rsidR="00207F7F" w:rsidRDefault="00207F7F" w:rsidP="00207F7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both applications would be heard and determined at the same time;</w:t>
      </w:r>
    </w:p>
    <w:p w:rsidR="00207F7F" w:rsidRDefault="00207F7F" w:rsidP="00207F7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trust should file its counter-application on the issue which related to the property on or before 3 August, 2016;</w:t>
      </w:r>
    </w:p>
    <w:p w:rsidR="00207F7F" w:rsidRDefault="00207F7F" w:rsidP="00207F7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liquidator would file his opposing a</w:t>
      </w:r>
      <w:r w:rsidR="009A696D">
        <w:rPr>
          <w:rFonts w:ascii="Times New Roman" w:hAnsi="Times New Roman" w:cs="Times New Roman"/>
          <w:sz w:val="24"/>
          <w:szCs w:val="24"/>
        </w:rPr>
        <w:t>ffidavit to the trust’s counter</w:t>
      </w:r>
      <w:r w:rsidR="00EC631C">
        <w:rPr>
          <w:rFonts w:ascii="Times New Roman" w:hAnsi="Times New Roman" w:cs="Times New Roman"/>
          <w:sz w:val="24"/>
          <w:szCs w:val="24"/>
        </w:rPr>
        <w:t>-</w:t>
      </w:r>
      <w:r>
        <w:rPr>
          <w:rFonts w:ascii="Times New Roman" w:hAnsi="Times New Roman" w:cs="Times New Roman"/>
          <w:sz w:val="24"/>
          <w:szCs w:val="24"/>
        </w:rPr>
        <w:t>application on or before 17 August, 2016;</w:t>
      </w:r>
    </w:p>
    <w:p w:rsidR="00207F7F" w:rsidRDefault="00207F7F" w:rsidP="00207F7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trust would file its answering affidavit, if any, on or before 28 August, 2016;</w:t>
      </w:r>
    </w:p>
    <w:p w:rsidR="00207F7F" w:rsidRDefault="00207F7F" w:rsidP="00207F7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trust would file supplementary heads, if any, on or before 31 August, 2016;</w:t>
      </w:r>
    </w:p>
    <w:p w:rsidR="00207F7F" w:rsidRDefault="00207F7F" w:rsidP="00207F7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liquidator would file his supplementary heads, if any</w:t>
      </w:r>
      <w:r w:rsidR="00EC631C">
        <w:rPr>
          <w:rFonts w:ascii="Times New Roman" w:hAnsi="Times New Roman" w:cs="Times New Roman"/>
          <w:sz w:val="24"/>
          <w:szCs w:val="24"/>
        </w:rPr>
        <w:t>,</w:t>
      </w:r>
      <w:r>
        <w:rPr>
          <w:rFonts w:ascii="Times New Roman" w:hAnsi="Times New Roman" w:cs="Times New Roman"/>
          <w:sz w:val="24"/>
          <w:szCs w:val="24"/>
        </w:rPr>
        <w:t xml:space="preserve"> on or before 7 September 2016.</w:t>
      </w:r>
    </w:p>
    <w:p w:rsidR="00207F7F" w:rsidRDefault="00207F7F" w:rsidP="00207F7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When</w:t>
      </w:r>
      <w:r w:rsidR="00EC631C">
        <w:rPr>
          <w:rFonts w:ascii="Times New Roman" w:hAnsi="Times New Roman" w:cs="Times New Roman"/>
          <w:sz w:val="24"/>
          <w:szCs w:val="24"/>
        </w:rPr>
        <w:t xml:space="preserve"> </w:t>
      </w:r>
      <w:r>
        <w:rPr>
          <w:rFonts w:ascii="Times New Roman" w:hAnsi="Times New Roman" w:cs="Times New Roman"/>
          <w:sz w:val="24"/>
          <w:szCs w:val="24"/>
        </w:rPr>
        <w:t>hearing</w:t>
      </w:r>
      <w:r w:rsidR="00EC631C">
        <w:rPr>
          <w:rFonts w:ascii="Times New Roman" w:hAnsi="Times New Roman" w:cs="Times New Roman"/>
          <w:sz w:val="24"/>
          <w:szCs w:val="24"/>
        </w:rPr>
        <w:t xml:space="preserve"> of the matter</w:t>
      </w:r>
      <w:r>
        <w:rPr>
          <w:rFonts w:ascii="Times New Roman" w:hAnsi="Times New Roman" w:cs="Times New Roman"/>
          <w:sz w:val="24"/>
          <w:szCs w:val="24"/>
        </w:rPr>
        <w:t xml:space="preserve"> resumed on 14 September 2016</w:t>
      </w:r>
      <w:r w:rsidR="00EC631C">
        <w:rPr>
          <w:rFonts w:ascii="Times New Roman" w:hAnsi="Times New Roman" w:cs="Times New Roman"/>
          <w:sz w:val="24"/>
          <w:szCs w:val="24"/>
        </w:rPr>
        <w:t>,</w:t>
      </w:r>
      <w:r>
        <w:rPr>
          <w:rFonts w:ascii="Times New Roman" w:hAnsi="Times New Roman" w:cs="Times New Roman"/>
          <w:sz w:val="24"/>
          <w:szCs w:val="24"/>
        </w:rPr>
        <w:t xml:space="preserve"> the liquidator conceded that the application for leave to sue had</w:t>
      </w:r>
      <w:r w:rsidR="007E7729">
        <w:rPr>
          <w:rFonts w:ascii="Times New Roman" w:hAnsi="Times New Roman" w:cs="Times New Roman"/>
          <w:sz w:val="24"/>
          <w:szCs w:val="24"/>
        </w:rPr>
        <w:t xml:space="preserve"> been overtaken by events. He urged the court to focus </w:t>
      </w:r>
      <w:r w:rsidR="007E7729">
        <w:rPr>
          <w:rFonts w:ascii="Times New Roman" w:hAnsi="Times New Roman" w:cs="Times New Roman"/>
          <w:sz w:val="24"/>
          <w:szCs w:val="24"/>
        </w:rPr>
        <w:lastRenderedPageBreak/>
        <w:t>its attention on the counter-application. His concession was, in the court’s view, properly made. The trust’s application for leave to sue was, therefore, granted as prayed.</w:t>
      </w:r>
    </w:p>
    <w:p w:rsidR="007E7729" w:rsidRDefault="007E7729" w:rsidP="00207F7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COUNTER-APPLICATION</w:t>
      </w:r>
    </w:p>
    <w:p w:rsidR="007E7729" w:rsidRDefault="007E7729" w:rsidP="00207F7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liquidator incorporated the contents of his opposing affidavit to the trust’s application for leave to sue in </w:t>
      </w:r>
      <w:r w:rsidR="006E7AAF">
        <w:rPr>
          <w:rFonts w:ascii="Times New Roman" w:hAnsi="Times New Roman" w:cs="Times New Roman"/>
          <w:sz w:val="24"/>
          <w:szCs w:val="24"/>
        </w:rPr>
        <w:t>his</w:t>
      </w:r>
      <w:r>
        <w:rPr>
          <w:rFonts w:ascii="Times New Roman" w:hAnsi="Times New Roman" w:cs="Times New Roman"/>
          <w:sz w:val="24"/>
          <w:szCs w:val="24"/>
        </w:rPr>
        <w:t xml:space="preserve"> counter-application</w:t>
      </w:r>
      <w:r w:rsidR="00EC631C">
        <w:rPr>
          <w:rFonts w:ascii="Times New Roman" w:hAnsi="Times New Roman" w:cs="Times New Roman"/>
          <w:sz w:val="24"/>
          <w:szCs w:val="24"/>
        </w:rPr>
        <w:t>. He filed his counter</w:t>
      </w:r>
      <w:r w:rsidR="00F5245A">
        <w:rPr>
          <w:rFonts w:ascii="Times New Roman" w:hAnsi="Times New Roman" w:cs="Times New Roman"/>
          <w:sz w:val="24"/>
          <w:szCs w:val="24"/>
        </w:rPr>
        <w:t>-</w:t>
      </w:r>
      <w:r w:rsidR="00EC631C">
        <w:rPr>
          <w:rFonts w:ascii="Times New Roman" w:hAnsi="Times New Roman" w:cs="Times New Roman"/>
          <w:sz w:val="24"/>
          <w:szCs w:val="24"/>
        </w:rPr>
        <w:t>application on 11 February 2016</w:t>
      </w:r>
      <w:r w:rsidR="00573BC0">
        <w:rPr>
          <w:rFonts w:ascii="Times New Roman" w:hAnsi="Times New Roman" w:cs="Times New Roman"/>
          <w:sz w:val="24"/>
          <w:szCs w:val="24"/>
        </w:rPr>
        <w:t>.</w:t>
      </w:r>
      <w:r>
        <w:rPr>
          <w:rFonts w:ascii="Times New Roman" w:hAnsi="Times New Roman" w:cs="Times New Roman"/>
          <w:sz w:val="24"/>
          <w:szCs w:val="24"/>
        </w:rPr>
        <w:t xml:space="preserve"> Amongst what he raised in that affidavit were four preliminary matters.</w:t>
      </w:r>
      <w:r w:rsidR="006E7AAF">
        <w:rPr>
          <w:rFonts w:ascii="Times New Roman" w:hAnsi="Times New Roman" w:cs="Times New Roman"/>
          <w:sz w:val="24"/>
          <w:szCs w:val="24"/>
        </w:rPr>
        <w:t xml:space="preserve"> </w:t>
      </w:r>
      <w:r>
        <w:rPr>
          <w:rFonts w:ascii="Times New Roman" w:hAnsi="Times New Roman" w:cs="Times New Roman"/>
          <w:sz w:val="24"/>
          <w:szCs w:val="24"/>
        </w:rPr>
        <w:t>The court will deal with these</w:t>
      </w:r>
      <w:r w:rsidR="006E7AAF">
        <w:rPr>
          <w:rFonts w:ascii="Times New Roman" w:hAnsi="Times New Roman" w:cs="Times New Roman"/>
          <w:sz w:val="24"/>
          <w:szCs w:val="24"/>
        </w:rPr>
        <w:t>,</w:t>
      </w:r>
      <w:r>
        <w:rPr>
          <w:rFonts w:ascii="Times New Roman" w:hAnsi="Times New Roman" w:cs="Times New Roman"/>
          <w:sz w:val="24"/>
          <w:szCs w:val="24"/>
        </w:rPr>
        <w:t xml:space="preserve"> each in turn, after which it would proceed to consider the substantive aspects of the counter –application.</w:t>
      </w:r>
    </w:p>
    <w:p w:rsidR="007E7729" w:rsidRDefault="007E7729" w:rsidP="00207F7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first </w:t>
      </w:r>
      <w:r w:rsidRPr="007E7729">
        <w:rPr>
          <w:rFonts w:ascii="Times New Roman" w:hAnsi="Times New Roman" w:cs="Times New Roman"/>
          <w:i/>
          <w:sz w:val="24"/>
          <w:szCs w:val="24"/>
        </w:rPr>
        <w:t xml:space="preserve">in limine </w:t>
      </w:r>
      <w:r>
        <w:rPr>
          <w:rFonts w:ascii="Times New Roman" w:hAnsi="Times New Roman" w:cs="Times New Roman"/>
          <w:sz w:val="24"/>
          <w:szCs w:val="24"/>
        </w:rPr>
        <w:t>matter-exhausting domestic remedies- was more relevant to the application for leave to sue than it was to the counter</w:t>
      </w:r>
      <w:r w:rsidR="00573BC0">
        <w:rPr>
          <w:rFonts w:ascii="Times New Roman" w:hAnsi="Times New Roman" w:cs="Times New Roman"/>
          <w:sz w:val="24"/>
          <w:szCs w:val="24"/>
        </w:rPr>
        <w:t xml:space="preserve">- </w:t>
      </w:r>
      <w:r>
        <w:rPr>
          <w:rFonts w:ascii="Times New Roman" w:hAnsi="Times New Roman" w:cs="Times New Roman"/>
          <w:sz w:val="24"/>
          <w:szCs w:val="24"/>
        </w:rPr>
        <w:t>application. The liquidator could not, as a matter of logic</w:t>
      </w:r>
      <w:r w:rsidR="00573BC0">
        <w:rPr>
          <w:rFonts w:ascii="Times New Roman" w:hAnsi="Times New Roman" w:cs="Times New Roman"/>
          <w:sz w:val="24"/>
          <w:szCs w:val="24"/>
        </w:rPr>
        <w:t>,</w:t>
      </w:r>
      <w:r>
        <w:rPr>
          <w:rFonts w:ascii="Times New Roman" w:hAnsi="Times New Roman" w:cs="Times New Roman"/>
          <w:sz w:val="24"/>
          <w:szCs w:val="24"/>
        </w:rPr>
        <w:t xml:space="preserve"> urge the court to decline jurisdiction when he, by the counter-application, invited the court and the tru</w:t>
      </w:r>
      <w:r w:rsidR="00573BC0">
        <w:rPr>
          <w:rFonts w:ascii="Times New Roman" w:hAnsi="Times New Roman" w:cs="Times New Roman"/>
          <w:sz w:val="24"/>
          <w:szCs w:val="24"/>
        </w:rPr>
        <w:t>st to deal with the propriety or</w:t>
      </w:r>
      <w:r>
        <w:rPr>
          <w:rFonts w:ascii="Times New Roman" w:hAnsi="Times New Roman" w:cs="Times New Roman"/>
          <w:sz w:val="24"/>
          <w:szCs w:val="24"/>
        </w:rPr>
        <w:t xml:space="preserve"> otherwise of the agreement of sale of 18 February, 2015. The Master of the High Court did not have</w:t>
      </w:r>
      <w:r w:rsidR="006E7AAF">
        <w:rPr>
          <w:rFonts w:ascii="Times New Roman" w:hAnsi="Times New Roman" w:cs="Times New Roman"/>
          <w:sz w:val="24"/>
          <w:szCs w:val="24"/>
        </w:rPr>
        <w:t xml:space="preserve"> the</w:t>
      </w:r>
      <w:r>
        <w:rPr>
          <w:rFonts w:ascii="Times New Roman" w:hAnsi="Times New Roman" w:cs="Times New Roman"/>
          <w:sz w:val="24"/>
          <w:szCs w:val="24"/>
        </w:rPr>
        <w:t xml:space="preserve"> jurisdiction to deal with such matters as related to whether or not the parties’ </w:t>
      </w:r>
      <w:r w:rsidR="00F5245A">
        <w:rPr>
          <w:rFonts w:ascii="Times New Roman" w:hAnsi="Times New Roman" w:cs="Times New Roman"/>
          <w:sz w:val="24"/>
          <w:szCs w:val="24"/>
        </w:rPr>
        <w:t xml:space="preserve">agreement of sale was void or </w:t>
      </w:r>
      <w:r>
        <w:rPr>
          <w:rFonts w:ascii="Times New Roman" w:hAnsi="Times New Roman" w:cs="Times New Roman"/>
          <w:sz w:val="24"/>
          <w:szCs w:val="24"/>
        </w:rPr>
        <w:t>voidable.</w:t>
      </w:r>
      <w:r w:rsidR="00573BC0">
        <w:rPr>
          <w:rFonts w:ascii="Times New Roman" w:hAnsi="Times New Roman" w:cs="Times New Roman"/>
          <w:sz w:val="24"/>
          <w:szCs w:val="24"/>
        </w:rPr>
        <w:t xml:space="preserve"> That aspect of the case reposed in the</w:t>
      </w:r>
      <w:r w:rsidR="00F5245A">
        <w:rPr>
          <w:rFonts w:ascii="Times New Roman" w:hAnsi="Times New Roman" w:cs="Times New Roman"/>
          <w:sz w:val="24"/>
          <w:szCs w:val="24"/>
        </w:rPr>
        <w:t xml:space="preserve"> court. In any event, s 171 </w:t>
      </w:r>
      <w:r>
        <w:rPr>
          <w:rFonts w:ascii="Times New Roman" w:hAnsi="Times New Roman" w:cs="Times New Roman"/>
          <w:sz w:val="24"/>
          <w:szCs w:val="24"/>
        </w:rPr>
        <w:t xml:space="preserve">(1) (a) of the Constitution of Zimbabwe confers jurisdiction upon the court to hear and determine the counter </w:t>
      </w:r>
      <w:r w:rsidR="00573BC0">
        <w:rPr>
          <w:rFonts w:ascii="Times New Roman" w:hAnsi="Times New Roman" w:cs="Times New Roman"/>
          <w:sz w:val="24"/>
          <w:szCs w:val="24"/>
        </w:rPr>
        <w:t xml:space="preserve">- </w:t>
      </w:r>
      <w:r>
        <w:rPr>
          <w:rFonts w:ascii="Times New Roman" w:hAnsi="Times New Roman" w:cs="Times New Roman"/>
          <w:sz w:val="24"/>
          <w:szCs w:val="24"/>
        </w:rPr>
        <w:t xml:space="preserve">application. The </w:t>
      </w:r>
      <w:r w:rsidR="0008687C">
        <w:rPr>
          <w:rFonts w:ascii="Times New Roman" w:hAnsi="Times New Roman" w:cs="Times New Roman"/>
          <w:sz w:val="24"/>
          <w:szCs w:val="24"/>
        </w:rPr>
        <w:t>section</w:t>
      </w:r>
      <w:r>
        <w:rPr>
          <w:rFonts w:ascii="Times New Roman" w:hAnsi="Times New Roman" w:cs="Times New Roman"/>
          <w:sz w:val="24"/>
          <w:szCs w:val="24"/>
        </w:rPr>
        <w:t xml:space="preserve"> reads:</w:t>
      </w:r>
    </w:p>
    <w:p w:rsidR="00805BF6" w:rsidRDefault="00805BF6" w:rsidP="00805BF6">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“171 JURISDCTION OF HIGH COURT</w:t>
      </w:r>
    </w:p>
    <w:p w:rsidR="00805BF6" w:rsidRDefault="00805BF6" w:rsidP="00805BF6">
      <w:pPr>
        <w:pStyle w:val="ListParagraph"/>
        <w:spacing w:after="0" w:line="240" w:lineRule="auto"/>
        <w:ind w:left="0" w:firstLine="720"/>
        <w:jc w:val="both"/>
        <w:rPr>
          <w:rFonts w:ascii="Times New Roman" w:hAnsi="Times New Roman" w:cs="Times New Roman"/>
          <w:sz w:val="24"/>
          <w:szCs w:val="24"/>
        </w:rPr>
      </w:pPr>
    </w:p>
    <w:p w:rsidR="00805BF6" w:rsidRDefault="00805BF6" w:rsidP="00805BF6">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High Court-</w:t>
      </w:r>
    </w:p>
    <w:p w:rsidR="00805BF6" w:rsidRDefault="001804F3" w:rsidP="00805BF6">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805BF6">
        <w:rPr>
          <w:rFonts w:ascii="Times New Roman" w:hAnsi="Times New Roman" w:cs="Times New Roman"/>
          <w:sz w:val="24"/>
          <w:szCs w:val="24"/>
        </w:rPr>
        <w:t>as</w:t>
      </w:r>
      <w:r w:rsidR="0008687C">
        <w:rPr>
          <w:rFonts w:ascii="Times New Roman" w:hAnsi="Times New Roman" w:cs="Times New Roman"/>
          <w:sz w:val="24"/>
          <w:szCs w:val="24"/>
        </w:rPr>
        <w:t xml:space="preserve"> </w:t>
      </w:r>
      <w:r w:rsidR="00805BF6" w:rsidRPr="001804F3">
        <w:rPr>
          <w:rFonts w:ascii="Times New Roman" w:hAnsi="Times New Roman" w:cs="Times New Roman"/>
          <w:sz w:val="24"/>
          <w:szCs w:val="24"/>
          <w:u w:val="single"/>
        </w:rPr>
        <w:t>original jurisdiction over all civil and criminal matters</w:t>
      </w:r>
      <w:r w:rsidR="00805BF6">
        <w:rPr>
          <w:rFonts w:ascii="Times New Roman" w:hAnsi="Times New Roman" w:cs="Times New Roman"/>
          <w:sz w:val="24"/>
          <w:szCs w:val="24"/>
        </w:rPr>
        <w:t xml:space="preserve"> throughout Zimbabwe [emphasis added.</w:t>
      </w:r>
    </w:p>
    <w:p w:rsidR="00805BF6" w:rsidRDefault="00805BF6" w:rsidP="00805BF6">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05BF6" w:rsidRDefault="00805BF6" w:rsidP="00805BF6">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and</w:t>
      </w:r>
    </w:p>
    <w:p w:rsidR="00573BC0" w:rsidRDefault="00805BF6" w:rsidP="00573BC0">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573BC0" w:rsidRDefault="00573BC0" w:rsidP="00573BC0">
      <w:pPr>
        <w:pStyle w:val="ListParagraph"/>
        <w:spacing w:after="0" w:line="240" w:lineRule="auto"/>
        <w:ind w:left="1440"/>
        <w:jc w:val="both"/>
        <w:rPr>
          <w:rFonts w:ascii="Times New Roman" w:hAnsi="Times New Roman" w:cs="Times New Roman"/>
          <w:sz w:val="24"/>
          <w:szCs w:val="24"/>
        </w:rPr>
      </w:pPr>
    </w:p>
    <w:p w:rsidR="00F40030" w:rsidRPr="00573BC0" w:rsidRDefault="00F40030" w:rsidP="00573BC0">
      <w:pPr>
        <w:pStyle w:val="ListParagraph"/>
        <w:spacing w:after="0" w:line="360" w:lineRule="auto"/>
        <w:ind w:left="0"/>
        <w:jc w:val="both"/>
        <w:rPr>
          <w:rFonts w:ascii="Times New Roman" w:hAnsi="Times New Roman" w:cs="Times New Roman"/>
          <w:sz w:val="24"/>
          <w:szCs w:val="24"/>
        </w:rPr>
      </w:pPr>
      <w:r w:rsidRPr="00573BC0">
        <w:rPr>
          <w:rFonts w:ascii="Times New Roman" w:hAnsi="Times New Roman" w:cs="Times New Roman"/>
          <w:sz w:val="24"/>
          <w:szCs w:val="24"/>
        </w:rPr>
        <w:t>The above cited section as read with s 69 (3) of the country’s Constitution renders the liquidator’s first preliminary issue devoid of merit.</w:t>
      </w:r>
    </w:p>
    <w:p w:rsidR="00F40030" w:rsidRDefault="00F40030" w:rsidP="00207F7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section reads:</w:t>
      </w:r>
    </w:p>
    <w:p w:rsidR="00A94FEB" w:rsidRDefault="00A94FEB" w:rsidP="00A94FEB">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“69. RIGHT TO A FAIR HEARING</w:t>
      </w:r>
    </w:p>
    <w:p w:rsidR="00A94FEB" w:rsidRDefault="00A94FEB" w:rsidP="00A94FEB">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94FEB" w:rsidRDefault="00A94FEB" w:rsidP="00A94FEB">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94FEB" w:rsidRDefault="00A94FEB" w:rsidP="00A94FEB">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Every person has the ri</w:t>
      </w:r>
      <w:r w:rsidR="00573BC0">
        <w:rPr>
          <w:rFonts w:ascii="Times New Roman" w:hAnsi="Times New Roman" w:cs="Times New Roman"/>
          <w:sz w:val="24"/>
          <w:szCs w:val="24"/>
        </w:rPr>
        <w:t>ght of access to the courts……. f</w:t>
      </w:r>
      <w:r>
        <w:rPr>
          <w:rFonts w:ascii="Times New Roman" w:hAnsi="Times New Roman" w:cs="Times New Roman"/>
          <w:sz w:val="24"/>
          <w:szCs w:val="24"/>
        </w:rPr>
        <w:t>or the resolution of any dispute.”</w:t>
      </w:r>
    </w:p>
    <w:p w:rsidR="00A94FEB" w:rsidRDefault="00A94FEB" w:rsidP="00E946BA">
      <w:pPr>
        <w:pStyle w:val="ListParagraph"/>
        <w:spacing w:after="0" w:line="240" w:lineRule="auto"/>
        <w:ind w:left="0" w:firstLine="720"/>
        <w:jc w:val="both"/>
        <w:rPr>
          <w:rFonts w:ascii="Times New Roman" w:hAnsi="Times New Roman" w:cs="Times New Roman"/>
          <w:sz w:val="24"/>
          <w:szCs w:val="24"/>
        </w:rPr>
      </w:pPr>
    </w:p>
    <w:p w:rsidR="00382867" w:rsidRDefault="00382867" w:rsidP="0038286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trust had </w:t>
      </w:r>
      <w:r w:rsidR="00573BC0">
        <w:rPr>
          <w:rFonts w:ascii="Times New Roman" w:hAnsi="Times New Roman" w:cs="Times New Roman"/>
          <w:sz w:val="24"/>
          <w:szCs w:val="24"/>
        </w:rPr>
        <w:t xml:space="preserve">and has </w:t>
      </w:r>
      <w:r>
        <w:rPr>
          <w:rFonts w:ascii="Times New Roman" w:hAnsi="Times New Roman" w:cs="Times New Roman"/>
          <w:sz w:val="24"/>
          <w:szCs w:val="24"/>
        </w:rPr>
        <w:t>a dispute with the liquidator. It, as a matter of right</w:t>
      </w:r>
      <w:r w:rsidR="00573BC0">
        <w:rPr>
          <w:rFonts w:ascii="Times New Roman" w:hAnsi="Times New Roman" w:cs="Times New Roman"/>
          <w:sz w:val="24"/>
          <w:szCs w:val="24"/>
        </w:rPr>
        <w:t>,</w:t>
      </w:r>
      <w:r>
        <w:rPr>
          <w:rFonts w:ascii="Times New Roman" w:hAnsi="Times New Roman" w:cs="Times New Roman"/>
          <w:sz w:val="24"/>
          <w:szCs w:val="24"/>
        </w:rPr>
        <w:t xml:space="preserve"> chose to have that dispute determined by the court. The liquidator could not</w:t>
      </w:r>
      <w:r w:rsidR="00573BC0">
        <w:rPr>
          <w:rFonts w:ascii="Times New Roman" w:hAnsi="Times New Roman" w:cs="Times New Roman"/>
          <w:sz w:val="24"/>
          <w:szCs w:val="24"/>
        </w:rPr>
        <w:t>,</w:t>
      </w:r>
      <w:r>
        <w:rPr>
          <w:rFonts w:ascii="Times New Roman" w:hAnsi="Times New Roman" w:cs="Times New Roman"/>
          <w:sz w:val="24"/>
          <w:szCs w:val="24"/>
        </w:rPr>
        <w:t xml:space="preserve"> under the circumstance</w:t>
      </w:r>
      <w:r w:rsidR="009A696D">
        <w:rPr>
          <w:rFonts w:ascii="Times New Roman" w:hAnsi="Times New Roman" w:cs="Times New Roman"/>
          <w:sz w:val="24"/>
          <w:szCs w:val="24"/>
        </w:rPr>
        <w:t>s</w:t>
      </w:r>
      <w:r>
        <w:rPr>
          <w:rFonts w:ascii="Times New Roman" w:hAnsi="Times New Roman" w:cs="Times New Roman"/>
          <w:sz w:val="24"/>
          <w:szCs w:val="24"/>
        </w:rPr>
        <w:t>, hide behind the finger an</w:t>
      </w:r>
      <w:r w:rsidR="009A696D">
        <w:rPr>
          <w:rFonts w:ascii="Times New Roman" w:hAnsi="Times New Roman" w:cs="Times New Roman"/>
          <w:sz w:val="24"/>
          <w:szCs w:val="24"/>
        </w:rPr>
        <w:t>d insist that the trust’s case b</w:t>
      </w:r>
      <w:r>
        <w:rPr>
          <w:rFonts w:ascii="Times New Roman" w:hAnsi="Times New Roman" w:cs="Times New Roman"/>
          <w:sz w:val="24"/>
          <w:szCs w:val="24"/>
        </w:rPr>
        <w:t xml:space="preserve">e dismissed on the flimsy reason that it </w:t>
      </w:r>
      <w:r>
        <w:rPr>
          <w:rFonts w:ascii="Times New Roman" w:hAnsi="Times New Roman" w:cs="Times New Roman"/>
          <w:sz w:val="24"/>
          <w:szCs w:val="24"/>
        </w:rPr>
        <w:lastRenderedPageBreak/>
        <w:t xml:space="preserve">did not exhaust internal remedies. Those were available to the trust in the application for leave to sue. They were no longer available </w:t>
      </w:r>
      <w:r w:rsidR="00033B5B">
        <w:rPr>
          <w:rFonts w:ascii="Times New Roman" w:hAnsi="Times New Roman" w:cs="Times New Roman"/>
          <w:sz w:val="24"/>
          <w:szCs w:val="24"/>
        </w:rPr>
        <w:t>to it in the</w:t>
      </w:r>
      <w:r>
        <w:rPr>
          <w:rFonts w:ascii="Times New Roman" w:hAnsi="Times New Roman" w:cs="Times New Roman"/>
          <w:sz w:val="24"/>
          <w:szCs w:val="24"/>
        </w:rPr>
        <w:t xml:space="preserve"> counter-application. The liquidator’s first preliminary matter could not and did not, therefore, hold.</w:t>
      </w:r>
    </w:p>
    <w:p w:rsidR="00382867" w:rsidRDefault="00033B5B" w:rsidP="0038286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w:t>
      </w:r>
      <w:r w:rsidR="00382867">
        <w:rPr>
          <w:rFonts w:ascii="Times New Roman" w:hAnsi="Times New Roman" w:cs="Times New Roman"/>
          <w:sz w:val="24"/>
          <w:szCs w:val="24"/>
        </w:rPr>
        <w:t xml:space="preserve"> liquidator couched his second preliminary matter in the phrase </w:t>
      </w:r>
      <w:r w:rsidR="00382867" w:rsidRPr="00F5245A">
        <w:rPr>
          <w:rFonts w:ascii="Times New Roman" w:hAnsi="Times New Roman" w:cs="Times New Roman"/>
          <w:i/>
          <w:sz w:val="24"/>
          <w:szCs w:val="24"/>
        </w:rPr>
        <w:t>material non-joinder of interested parties</w:t>
      </w:r>
      <w:r w:rsidR="00382867">
        <w:rPr>
          <w:rFonts w:ascii="Times New Roman" w:hAnsi="Times New Roman" w:cs="Times New Roman"/>
          <w:sz w:val="24"/>
          <w:szCs w:val="24"/>
        </w:rPr>
        <w:t>. He cited the following as such interested persons whom he said were not joined to the counter-application:</w:t>
      </w:r>
    </w:p>
    <w:p w:rsidR="00F15D37" w:rsidRDefault="00033B5B" w:rsidP="00F15D37">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F15D37">
        <w:rPr>
          <w:rFonts w:ascii="Times New Roman" w:hAnsi="Times New Roman" w:cs="Times New Roman"/>
          <w:sz w:val="24"/>
          <w:szCs w:val="24"/>
        </w:rPr>
        <w:t>he liquidator and/or the liquidator’s agent</w:t>
      </w:r>
      <w:r w:rsidR="006E7AAF">
        <w:rPr>
          <w:rFonts w:ascii="Times New Roman" w:hAnsi="Times New Roman" w:cs="Times New Roman"/>
          <w:sz w:val="24"/>
          <w:szCs w:val="24"/>
        </w:rPr>
        <w:t>;</w:t>
      </w:r>
      <w:r w:rsidR="00F15D37">
        <w:rPr>
          <w:rFonts w:ascii="Times New Roman" w:hAnsi="Times New Roman" w:cs="Times New Roman"/>
          <w:sz w:val="24"/>
          <w:szCs w:val="24"/>
        </w:rPr>
        <w:t xml:space="preserve"> </w:t>
      </w:r>
    </w:p>
    <w:p w:rsidR="00F15D37" w:rsidRDefault="00033B5B" w:rsidP="00F15D37">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F15D37">
        <w:rPr>
          <w:rFonts w:ascii="Times New Roman" w:hAnsi="Times New Roman" w:cs="Times New Roman"/>
          <w:sz w:val="24"/>
          <w:szCs w:val="24"/>
        </w:rPr>
        <w:t xml:space="preserve">he third party who purchased the property which is the subject of </w:t>
      </w:r>
      <w:r w:rsidR="00676213">
        <w:rPr>
          <w:rFonts w:ascii="Times New Roman" w:hAnsi="Times New Roman" w:cs="Times New Roman"/>
          <w:sz w:val="24"/>
          <w:szCs w:val="24"/>
        </w:rPr>
        <w:t>the</w:t>
      </w:r>
      <w:r w:rsidR="00F15D37">
        <w:rPr>
          <w:rFonts w:ascii="Times New Roman" w:hAnsi="Times New Roman" w:cs="Times New Roman"/>
          <w:sz w:val="24"/>
          <w:szCs w:val="24"/>
        </w:rPr>
        <w:t xml:space="preserve"> dispute in the current </w:t>
      </w:r>
      <w:r w:rsidR="00676213">
        <w:rPr>
          <w:rFonts w:ascii="Times New Roman" w:hAnsi="Times New Roman" w:cs="Times New Roman"/>
          <w:sz w:val="24"/>
          <w:szCs w:val="24"/>
        </w:rPr>
        <w:t>counter</w:t>
      </w:r>
      <w:r w:rsidR="00CF5BF6">
        <w:rPr>
          <w:rFonts w:ascii="Times New Roman" w:hAnsi="Times New Roman" w:cs="Times New Roman"/>
          <w:sz w:val="24"/>
          <w:szCs w:val="24"/>
        </w:rPr>
        <w:t>-application</w:t>
      </w:r>
      <w:r w:rsidR="006E7AAF">
        <w:rPr>
          <w:rFonts w:ascii="Times New Roman" w:hAnsi="Times New Roman" w:cs="Times New Roman"/>
          <w:sz w:val="24"/>
          <w:szCs w:val="24"/>
        </w:rPr>
        <w:t>-and</w:t>
      </w:r>
    </w:p>
    <w:p w:rsidR="006E7AAF" w:rsidRDefault="006E7AAF" w:rsidP="00F15D37">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bank’s creditors.</w:t>
      </w:r>
    </w:p>
    <w:p w:rsidR="00CF5BF6" w:rsidRDefault="00CF5BF6" w:rsidP="00CF5BF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trust’s response to the second </w:t>
      </w:r>
      <w:r w:rsidRPr="00CF5BF6">
        <w:rPr>
          <w:rFonts w:ascii="Times New Roman" w:hAnsi="Times New Roman" w:cs="Times New Roman"/>
          <w:i/>
          <w:sz w:val="24"/>
          <w:szCs w:val="24"/>
        </w:rPr>
        <w:t>in limine</w:t>
      </w:r>
      <w:r>
        <w:rPr>
          <w:rFonts w:ascii="Times New Roman" w:hAnsi="Times New Roman" w:cs="Times New Roman"/>
          <w:sz w:val="24"/>
          <w:szCs w:val="24"/>
        </w:rPr>
        <w:t xml:space="preserve"> matter was simple. It stated that the application was served on the liquidator and the latter’s ag</w:t>
      </w:r>
      <w:r w:rsidR="00F623DA">
        <w:rPr>
          <w:rFonts w:ascii="Times New Roman" w:hAnsi="Times New Roman" w:cs="Times New Roman"/>
          <w:sz w:val="24"/>
          <w:szCs w:val="24"/>
        </w:rPr>
        <w:t>ent. It submitted that the fact</w:t>
      </w:r>
      <w:r>
        <w:rPr>
          <w:rFonts w:ascii="Times New Roman" w:hAnsi="Times New Roman" w:cs="Times New Roman"/>
          <w:sz w:val="24"/>
          <w:szCs w:val="24"/>
        </w:rPr>
        <w:t xml:space="preserve"> that the liquidator’s agent stated in the founding affidavit </w:t>
      </w:r>
      <w:r w:rsidR="00454B0B">
        <w:rPr>
          <w:rFonts w:ascii="Times New Roman" w:hAnsi="Times New Roman" w:cs="Times New Roman"/>
          <w:sz w:val="24"/>
          <w:szCs w:val="24"/>
        </w:rPr>
        <w:t>that he was appointed as such</w:t>
      </w:r>
      <w:r>
        <w:rPr>
          <w:rFonts w:ascii="Times New Roman" w:hAnsi="Times New Roman" w:cs="Times New Roman"/>
          <w:sz w:val="24"/>
          <w:szCs w:val="24"/>
        </w:rPr>
        <w:t>, was authorised to depose to the affidavit on behalf of the bank and was familiar with the facts of the counter-application showed that the bank, the liquidator and the liquidator</w:t>
      </w:r>
      <w:r w:rsidR="00F623DA">
        <w:rPr>
          <w:rFonts w:ascii="Times New Roman" w:hAnsi="Times New Roman" w:cs="Times New Roman"/>
          <w:sz w:val="24"/>
          <w:szCs w:val="24"/>
        </w:rPr>
        <w:t>’s</w:t>
      </w:r>
      <w:r>
        <w:rPr>
          <w:rFonts w:ascii="Times New Roman" w:hAnsi="Times New Roman" w:cs="Times New Roman"/>
          <w:sz w:val="24"/>
          <w:szCs w:val="24"/>
        </w:rPr>
        <w:t xml:space="preserve"> agent were all seized with the counter-application. They, it argued</w:t>
      </w:r>
      <w:r w:rsidR="00F623DA">
        <w:rPr>
          <w:rFonts w:ascii="Times New Roman" w:hAnsi="Times New Roman" w:cs="Times New Roman"/>
          <w:sz w:val="24"/>
          <w:szCs w:val="24"/>
        </w:rPr>
        <w:t>,</w:t>
      </w:r>
      <w:r>
        <w:rPr>
          <w:rFonts w:ascii="Times New Roman" w:hAnsi="Times New Roman" w:cs="Times New Roman"/>
          <w:sz w:val="24"/>
          <w:szCs w:val="24"/>
        </w:rPr>
        <w:t xml:space="preserve"> supported each other’s position on the matter which related to the counter</w:t>
      </w:r>
      <w:r w:rsidR="00F623DA">
        <w:rPr>
          <w:rFonts w:ascii="Times New Roman" w:hAnsi="Times New Roman" w:cs="Times New Roman"/>
          <w:sz w:val="24"/>
          <w:szCs w:val="24"/>
        </w:rPr>
        <w:t>-</w:t>
      </w:r>
      <w:r>
        <w:rPr>
          <w:rFonts w:ascii="Times New Roman" w:hAnsi="Times New Roman" w:cs="Times New Roman"/>
          <w:sz w:val="24"/>
          <w:szCs w:val="24"/>
        </w:rPr>
        <w:t>application. It insisted that it could not cite the new purchaser of the property as the liquidator did not furnish it with his/her names or the agreement of sale which the liquidator concluded with him/her.</w:t>
      </w:r>
    </w:p>
    <w:p w:rsidR="00B86871" w:rsidRDefault="00F623DA" w:rsidP="00B868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F5BF6">
        <w:rPr>
          <w:rFonts w:ascii="Times New Roman" w:hAnsi="Times New Roman" w:cs="Times New Roman"/>
          <w:sz w:val="24"/>
          <w:szCs w:val="24"/>
        </w:rPr>
        <w:t xml:space="preserve">The assertions of the </w:t>
      </w:r>
      <w:r w:rsidR="006A4F77">
        <w:rPr>
          <w:rFonts w:ascii="Times New Roman" w:hAnsi="Times New Roman" w:cs="Times New Roman"/>
          <w:sz w:val="24"/>
          <w:szCs w:val="24"/>
        </w:rPr>
        <w:t>trust</w:t>
      </w:r>
      <w:r w:rsidR="00CF5BF6">
        <w:rPr>
          <w:rFonts w:ascii="Times New Roman" w:hAnsi="Times New Roman" w:cs="Times New Roman"/>
          <w:sz w:val="24"/>
          <w:szCs w:val="24"/>
        </w:rPr>
        <w:t xml:space="preserve"> were</w:t>
      </w:r>
      <w:r w:rsidR="006A4F77">
        <w:rPr>
          <w:rFonts w:ascii="Times New Roman" w:hAnsi="Times New Roman" w:cs="Times New Roman"/>
          <w:sz w:val="24"/>
          <w:szCs w:val="24"/>
        </w:rPr>
        <w:t xml:space="preserve"> </w:t>
      </w:r>
      <w:r w:rsidR="006A4F77" w:rsidRPr="006A4F77">
        <w:rPr>
          <w:rFonts w:ascii="Times New Roman" w:hAnsi="Times New Roman" w:cs="Times New Roman"/>
          <w:i/>
          <w:sz w:val="24"/>
          <w:szCs w:val="24"/>
        </w:rPr>
        <w:t>in sync</w:t>
      </w:r>
      <w:r w:rsidR="006A4F77">
        <w:rPr>
          <w:rFonts w:ascii="Times New Roman" w:hAnsi="Times New Roman" w:cs="Times New Roman"/>
          <w:sz w:val="24"/>
          <w:szCs w:val="24"/>
        </w:rPr>
        <w:t xml:space="preserve"> with the observations which the court made on this aspect of the case. The c</w:t>
      </w:r>
      <w:r w:rsidR="00F5245A">
        <w:rPr>
          <w:rFonts w:ascii="Times New Roman" w:hAnsi="Times New Roman" w:cs="Times New Roman"/>
          <w:sz w:val="24"/>
          <w:szCs w:val="24"/>
        </w:rPr>
        <w:t>ourt remained alive to the fact</w:t>
      </w:r>
      <w:r>
        <w:rPr>
          <w:rFonts w:ascii="Times New Roman" w:hAnsi="Times New Roman" w:cs="Times New Roman"/>
          <w:sz w:val="24"/>
          <w:szCs w:val="24"/>
        </w:rPr>
        <w:t xml:space="preserve"> that</w:t>
      </w:r>
      <w:r w:rsidR="006A4F77">
        <w:rPr>
          <w:rFonts w:ascii="Times New Roman" w:hAnsi="Times New Roman" w:cs="Times New Roman"/>
          <w:sz w:val="24"/>
          <w:szCs w:val="24"/>
        </w:rPr>
        <w:t xml:space="preserve"> the liquidator’s agent effectively represented the bank and the liquidator.</w:t>
      </w:r>
      <w:r w:rsidR="00B86871">
        <w:rPr>
          <w:rFonts w:ascii="Times New Roman" w:hAnsi="Times New Roman" w:cs="Times New Roman"/>
          <w:sz w:val="24"/>
          <w:szCs w:val="24"/>
        </w:rPr>
        <w:t xml:space="preserve"> There was, therefore, no need on the part of the trust to have cited the liquidator or the latter’s agent as parties to the counter-application. There was also no need for the trust to have cited the bank’s creditors. The liquidator effectively represented these. The counter-application was, in fact, a result of </w:t>
      </w:r>
      <w:r>
        <w:rPr>
          <w:rFonts w:ascii="Times New Roman" w:hAnsi="Times New Roman" w:cs="Times New Roman"/>
          <w:sz w:val="24"/>
          <w:szCs w:val="24"/>
        </w:rPr>
        <w:t xml:space="preserve">the liquidator’s </w:t>
      </w:r>
      <w:r w:rsidR="006E7AAF">
        <w:rPr>
          <w:rFonts w:ascii="Times New Roman" w:hAnsi="Times New Roman" w:cs="Times New Roman"/>
          <w:sz w:val="24"/>
          <w:szCs w:val="24"/>
        </w:rPr>
        <w:t xml:space="preserve">apparent </w:t>
      </w:r>
      <w:r w:rsidR="00B86871">
        <w:rPr>
          <w:rFonts w:ascii="Times New Roman" w:hAnsi="Times New Roman" w:cs="Times New Roman"/>
          <w:sz w:val="24"/>
          <w:szCs w:val="24"/>
        </w:rPr>
        <w:t>effort to protect creditors of the bank. Citing these would have been superfluous on the part of the trust.</w:t>
      </w:r>
    </w:p>
    <w:p w:rsidR="00B86871" w:rsidRDefault="00B86871" w:rsidP="00B868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issue of the new purchaser of the property was t</w:t>
      </w:r>
      <w:r w:rsidR="006E7AAF">
        <w:rPr>
          <w:rFonts w:ascii="Times New Roman" w:hAnsi="Times New Roman" w:cs="Times New Roman"/>
          <w:sz w:val="24"/>
          <w:szCs w:val="24"/>
        </w:rPr>
        <w:t>otally</w:t>
      </w:r>
      <w:r>
        <w:rPr>
          <w:rFonts w:ascii="Times New Roman" w:hAnsi="Times New Roman" w:cs="Times New Roman"/>
          <w:sz w:val="24"/>
          <w:szCs w:val="24"/>
        </w:rPr>
        <w:t xml:space="preserve"> unclear to all and sundry. The liquidator made every effort to withhold his names and his physical address. He produced nothing by means of which the purchaser could have been identified and served with process. The secrecy with which the liquidator treated the matter which related to the new purchaser left a number of questions in the mind of any reasonable person. One was left to wonder if such a purchaser did, in fact, exist.</w:t>
      </w:r>
    </w:p>
    <w:p w:rsidR="00B86871" w:rsidRDefault="00B86871" w:rsidP="00B868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trust referred the court to r 87 of the High Court Rules, 1971. The rule states in clear and categorical terms that misjoinder or non-joinder of a party is not fatal to a cause or matter which is before a court for determination.</w:t>
      </w:r>
      <w:r w:rsidR="00F623DA">
        <w:rPr>
          <w:rFonts w:ascii="Times New Roman" w:hAnsi="Times New Roman" w:cs="Times New Roman"/>
          <w:sz w:val="24"/>
          <w:szCs w:val="24"/>
        </w:rPr>
        <w:t xml:space="preserve"> </w:t>
      </w:r>
      <w:r>
        <w:rPr>
          <w:rFonts w:ascii="Times New Roman" w:hAnsi="Times New Roman" w:cs="Times New Roman"/>
          <w:sz w:val="24"/>
          <w:szCs w:val="24"/>
        </w:rPr>
        <w:t>It was, accordingly, on the basis of the foregoing that the court’s considered view was that the liquidator’s second preliminary matter was misplaced. It did not hold.</w:t>
      </w:r>
    </w:p>
    <w:p w:rsidR="00B86871" w:rsidRDefault="00B86871" w:rsidP="00B868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liquidator wrote on 24 November, 2015 advising the trust that he would not be en</w:t>
      </w:r>
      <w:r w:rsidR="00F623DA">
        <w:rPr>
          <w:rFonts w:ascii="Times New Roman" w:hAnsi="Times New Roman" w:cs="Times New Roman"/>
          <w:sz w:val="24"/>
          <w:szCs w:val="24"/>
        </w:rPr>
        <w:t>forcing</w:t>
      </w:r>
      <w:r>
        <w:rPr>
          <w:rFonts w:ascii="Times New Roman" w:hAnsi="Times New Roman" w:cs="Times New Roman"/>
          <w:sz w:val="24"/>
          <w:szCs w:val="24"/>
        </w:rPr>
        <w:t xml:space="preserve"> the agreement of sale of </w:t>
      </w:r>
      <w:r w:rsidR="00F623DA">
        <w:rPr>
          <w:rFonts w:ascii="Times New Roman" w:hAnsi="Times New Roman" w:cs="Times New Roman"/>
          <w:sz w:val="24"/>
          <w:szCs w:val="24"/>
        </w:rPr>
        <w:t>18 February, 2015. The trust fi</w:t>
      </w:r>
      <w:r>
        <w:rPr>
          <w:rFonts w:ascii="Times New Roman" w:hAnsi="Times New Roman" w:cs="Times New Roman"/>
          <w:sz w:val="24"/>
          <w:szCs w:val="24"/>
        </w:rPr>
        <w:t>l</w:t>
      </w:r>
      <w:r w:rsidR="00F623DA">
        <w:rPr>
          <w:rFonts w:ascii="Times New Roman" w:hAnsi="Times New Roman" w:cs="Times New Roman"/>
          <w:sz w:val="24"/>
          <w:szCs w:val="24"/>
        </w:rPr>
        <w:t>e</w:t>
      </w:r>
      <w:r>
        <w:rPr>
          <w:rFonts w:ascii="Times New Roman" w:hAnsi="Times New Roman" w:cs="Times New Roman"/>
          <w:sz w:val="24"/>
          <w:szCs w:val="24"/>
        </w:rPr>
        <w:t>d the present application with the court on 28 January, 2016. It could not</w:t>
      </w:r>
      <w:r w:rsidR="00F623DA">
        <w:rPr>
          <w:rFonts w:ascii="Times New Roman" w:hAnsi="Times New Roman" w:cs="Times New Roman"/>
          <w:sz w:val="24"/>
          <w:szCs w:val="24"/>
        </w:rPr>
        <w:t>,</w:t>
      </w:r>
      <w:r>
        <w:rPr>
          <w:rFonts w:ascii="Times New Roman" w:hAnsi="Times New Roman" w:cs="Times New Roman"/>
          <w:sz w:val="24"/>
          <w:szCs w:val="24"/>
        </w:rPr>
        <w:t xml:space="preserve"> by any stretch of imagination, be suggested that the trust delayed in instituting proceedings which related to the</w:t>
      </w:r>
      <w:r w:rsidR="00F5245A">
        <w:rPr>
          <w:rFonts w:ascii="Times New Roman" w:hAnsi="Times New Roman" w:cs="Times New Roman"/>
          <w:sz w:val="24"/>
          <w:szCs w:val="24"/>
        </w:rPr>
        <w:t xml:space="preserve"> trust’s assertion</w:t>
      </w:r>
      <w:r>
        <w:rPr>
          <w:rFonts w:ascii="Times New Roman" w:hAnsi="Times New Roman" w:cs="Times New Roman"/>
          <w:sz w:val="24"/>
          <w:szCs w:val="24"/>
        </w:rPr>
        <w:t xml:space="preserve"> of its rights. A delay of two months could not be said to </w:t>
      </w:r>
      <w:r w:rsidR="006E7AAF">
        <w:rPr>
          <w:rFonts w:ascii="Times New Roman" w:hAnsi="Times New Roman" w:cs="Times New Roman"/>
          <w:sz w:val="24"/>
          <w:szCs w:val="24"/>
        </w:rPr>
        <w:t>have been</w:t>
      </w:r>
      <w:r>
        <w:rPr>
          <w:rFonts w:ascii="Times New Roman" w:hAnsi="Times New Roman" w:cs="Times New Roman"/>
          <w:sz w:val="24"/>
          <w:szCs w:val="24"/>
        </w:rPr>
        <w:t xml:space="preserve"> inordinate </w:t>
      </w:r>
      <w:r w:rsidR="00F623DA">
        <w:rPr>
          <w:rFonts w:ascii="Times New Roman" w:hAnsi="Times New Roman" w:cs="Times New Roman"/>
          <w:sz w:val="24"/>
          <w:szCs w:val="24"/>
        </w:rPr>
        <w:t>let</w:t>
      </w:r>
      <w:r>
        <w:rPr>
          <w:rFonts w:ascii="Times New Roman" w:hAnsi="Times New Roman" w:cs="Times New Roman"/>
          <w:sz w:val="24"/>
          <w:szCs w:val="24"/>
        </w:rPr>
        <w:t xml:space="preserve"> alone seriously inordinate. The Prescription Act [</w:t>
      </w:r>
      <w:r>
        <w:rPr>
          <w:rFonts w:ascii="Times New Roman" w:hAnsi="Times New Roman" w:cs="Times New Roman"/>
          <w:i/>
          <w:sz w:val="24"/>
          <w:szCs w:val="24"/>
        </w:rPr>
        <w:t>Chapter 8:11</w:t>
      </w:r>
      <w:r>
        <w:rPr>
          <w:rFonts w:ascii="Times New Roman" w:hAnsi="Times New Roman" w:cs="Times New Roman"/>
          <w:sz w:val="24"/>
          <w:szCs w:val="24"/>
        </w:rPr>
        <w:t xml:space="preserve">] which the trust cited in support of its argument states that the period of prescription of a debt is three (3) years. The prescribed period cannot in any way compare with the delay of two months which the liquidator complained of. It is, once again, evident that the liquidator’s third </w:t>
      </w:r>
      <w:r>
        <w:rPr>
          <w:rFonts w:ascii="Times New Roman" w:hAnsi="Times New Roman" w:cs="Times New Roman"/>
          <w:i/>
          <w:sz w:val="24"/>
          <w:szCs w:val="24"/>
        </w:rPr>
        <w:t xml:space="preserve">in limine </w:t>
      </w:r>
      <w:r w:rsidR="00F623DA">
        <w:rPr>
          <w:rFonts w:ascii="Times New Roman" w:hAnsi="Times New Roman" w:cs="Times New Roman"/>
          <w:sz w:val="24"/>
          <w:szCs w:val="24"/>
        </w:rPr>
        <w:t>matter was/is</w:t>
      </w:r>
      <w:r>
        <w:rPr>
          <w:rFonts w:ascii="Times New Roman" w:hAnsi="Times New Roman" w:cs="Times New Roman"/>
          <w:sz w:val="24"/>
          <w:szCs w:val="24"/>
        </w:rPr>
        <w:t xml:space="preserve"> without merit.</w:t>
      </w:r>
    </w:p>
    <w:p w:rsidR="00B86871" w:rsidRDefault="00B86871" w:rsidP="00B868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liquidator’s last preliminary matter did have a bearing on the substance of the counter-application. For the avoidance of doubt, the court repeated that matter along the under mentioned lines:  </w:t>
      </w:r>
    </w:p>
    <w:p w:rsidR="00B86871" w:rsidRPr="00B86871" w:rsidRDefault="00B86871" w:rsidP="00B86871">
      <w:pPr>
        <w:spacing w:after="0" w:line="360" w:lineRule="auto"/>
        <w:jc w:val="both"/>
        <w:rPr>
          <w:rFonts w:ascii="Times New Roman" w:hAnsi="Times New Roman" w:cs="Times New Roman"/>
        </w:rPr>
      </w:pPr>
      <w:r>
        <w:rPr>
          <w:rFonts w:ascii="Times New Roman" w:hAnsi="Times New Roman" w:cs="Times New Roman"/>
          <w:sz w:val="24"/>
          <w:szCs w:val="24"/>
        </w:rPr>
        <w:tab/>
      </w:r>
      <w:r w:rsidRPr="00B86871">
        <w:rPr>
          <w:rFonts w:ascii="Times New Roman" w:hAnsi="Times New Roman" w:cs="Times New Roman"/>
        </w:rPr>
        <w:t xml:space="preserve">“(a) </w:t>
      </w:r>
      <w:r w:rsidRPr="00B86871">
        <w:rPr>
          <w:rFonts w:ascii="Times New Roman" w:hAnsi="Times New Roman" w:cs="Times New Roman"/>
          <w:u w:val="single"/>
        </w:rPr>
        <w:t xml:space="preserve">the relief </w:t>
      </w:r>
      <w:r w:rsidRPr="00B86871">
        <w:rPr>
          <w:rFonts w:ascii="Times New Roman" w:hAnsi="Times New Roman" w:cs="Times New Roman"/>
        </w:rPr>
        <w:t xml:space="preserve">which the trust moved the court to grant to it </w:t>
      </w:r>
      <w:r w:rsidRPr="00B86871">
        <w:rPr>
          <w:rFonts w:ascii="Times New Roman" w:hAnsi="Times New Roman" w:cs="Times New Roman"/>
          <w:u w:val="single"/>
        </w:rPr>
        <w:t>was incompetent,</w:t>
      </w:r>
      <w:r w:rsidRPr="00B86871">
        <w:rPr>
          <w:rFonts w:ascii="Times New Roman" w:hAnsi="Times New Roman" w:cs="Times New Roman"/>
        </w:rPr>
        <w:t xml:space="preserve">  </w:t>
      </w:r>
    </w:p>
    <w:p w:rsidR="00B86871" w:rsidRPr="00B86871" w:rsidRDefault="00B86871" w:rsidP="00B86871">
      <w:pPr>
        <w:spacing w:after="0" w:line="360" w:lineRule="auto"/>
        <w:jc w:val="both"/>
        <w:rPr>
          <w:rFonts w:ascii="Times New Roman" w:hAnsi="Times New Roman" w:cs="Times New Roman"/>
        </w:rPr>
      </w:pPr>
      <w:r w:rsidRPr="00B86871">
        <w:rPr>
          <w:rFonts w:ascii="Times New Roman" w:hAnsi="Times New Roman" w:cs="Times New Roman"/>
        </w:rPr>
        <w:tab/>
        <w:t xml:space="preserve">(b) Section (2) of the Insolvency Act states that </w:t>
      </w:r>
      <w:r w:rsidRPr="00B86871">
        <w:rPr>
          <w:rFonts w:ascii="Times New Roman" w:hAnsi="Times New Roman" w:cs="Times New Roman"/>
          <w:u w:val="single"/>
        </w:rPr>
        <w:t>transfer of a property</w:t>
      </w:r>
      <w:r w:rsidRPr="00B86871">
        <w:rPr>
          <w:rFonts w:ascii="Times New Roman" w:hAnsi="Times New Roman" w:cs="Times New Roman"/>
        </w:rPr>
        <w:t xml:space="preserve"> amounts to a </w:t>
      </w:r>
    </w:p>
    <w:p w:rsidR="00B86871" w:rsidRPr="00B86871" w:rsidRDefault="00B86871" w:rsidP="00B86871">
      <w:pPr>
        <w:spacing w:after="0" w:line="360" w:lineRule="auto"/>
        <w:jc w:val="both"/>
        <w:rPr>
          <w:rFonts w:ascii="Times New Roman" w:hAnsi="Times New Roman" w:cs="Times New Roman"/>
        </w:rPr>
      </w:pPr>
      <w:r w:rsidRPr="00B86871">
        <w:rPr>
          <w:rFonts w:ascii="Times New Roman" w:hAnsi="Times New Roman" w:cs="Times New Roman"/>
        </w:rPr>
        <w:t xml:space="preserve">                 </w:t>
      </w:r>
      <w:r w:rsidRPr="00B86871">
        <w:rPr>
          <w:rFonts w:ascii="Times New Roman" w:hAnsi="Times New Roman" w:cs="Times New Roman"/>
          <w:u w:val="single"/>
        </w:rPr>
        <w:t>disposition;</w:t>
      </w:r>
      <w:r w:rsidRPr="00B86871">
        <w:rPr>
          <w:rFonts w:ascii="Times New Roman" w:hAnsi="Times New Roman" w:cs="Times New Roman"/>
        </w:rPr>
        <w:t xml:space="preserve"> </w:t>
      </w:r>
    </w:p>
    <w:p w:rsidR="00B86871" w:rsidRPr="00B86871" w:rsidRDefault="00B86871" w:rsidP="00B86871">
      <w:pPr>
        <w:spacing w:after="0" w:line="360" w:lineRule="auto"/>
        <w:ind w:left="720"/>
        <w:jc w:val="both"/>
        <w:rPr>
          <w:rFonts w:ascii="Times New Roman" w:hAnsi="Times New Roman" w:cs="Times New Roman"/>
        </w:rPr>
      </w:pPr>
      <w:r w:rsidRPr="00B86871">
        <w:rPr>
          <w:rFonts w:ascii="Times New Roman" w:hAnsi="Times New Roman" w:cs="Times New Roman"/>
        </w:rPr>
        <w:t xml:space="preserve">(c) in terms of section 213 (a) of the Companies Act </w:t>
      </w:r>
      <w:r w:rsidRPr="00B86871">
        <w:rPr>
          <w:rFonts w:ascii="Times New Roman" w:hAnsi="Times New Roman" w:cs="Times New Roman"/>
          <w:u w:val="single"/>
        </w:rPr>
        <w:t>disposition</w:t>
      </w:r>
      <w:r w:rsidR="00F623DA">
        <w:rPr>
          <w:rFonts w:ascii="Times New Roman" w:hAnsi="Times New Roman" w:cs="Times New Roman"/>
          <w:u w:val="single"/>
        </w:rPr>
        <w:t>s</w:t>
      </w:r>
      <w:r w:rsidRPr="00B86871">
        <w:rPr>
          <w:rFonts w:ascii="Times New Roman" w:hAnsi="Times New Roman" w:cs="Times New Roman"/>
          <w:u w:val="single"/>
        </w:rPr>
        <w:t xml:space="preserve"> of property owned by </w:t>
      </w:r>
      <w:r w:rsidRPr="00B86871">
        <w:rPr>
          <w:rFonts w:ascii="Times New Roman" w:hAnsi="Times New Roman" w:cs="Times New Roman"/>
        </w:rPr>
        <w:t xml:space="preserve"> </w:t>
      </w:r>
    </w:p>
    <w:p w:rsidR="00B86871" w:rsidRPr="00B86871" w:rsidRDefault="00B86871" w:rsidP="00B86871">
      <w:pPr>
        <w:spacing w:after="0" w:line="360" w:lineRule="auto"/>
        <w:ind w:left="720"/>
        <w:jc w:val="both"/>
        <w:rPr>
          <w:rFonts w:ascii="Times New Roman" w:hAnsi="Times New Roman" w:cs="Times New Roman"/>
        </w:rPr>
      </w:pPr>
      <w:r w:rsidRPr="00B86871">
        <w:rPr>
          <w:rFonts w:ascii="Times New Roman" w:hAnsi="Times New Roman" w:cs="Times New Roman"/>
        </w:rPr>
        <w:t xml:space="preserve">     </w:t>
      </w:r>
      <w:r w:rsidRPr="00B86871">
        <w:rPr>
          <w:rFonts w:ascii="Times New Roman" w:hAnsi="Times New Roman" w:cs="Times New Roman"/>
          <w:u w:val="single"/>
        </w:rPr>
        <w:t xml:space="preserve">a company in liquidation </w:t>
      </w:r>
      <w:r w:rsidRPr="00B86871">
        <w:rPr>
          <w:rFonts w:ascii="Times New Roman" w:hAnsi="Times New Roman" w:cs="Times New Roman"/>
        </w:rPr>
        <w:t xml:space="preserve">made after the commencement of winding up </w:t>
      </w:r>
      <w:r w:rsidRPr="00B86871">
        <w:rPr>
          <w:rFonts w:ascii="Times New Roman" w:hAnsi="Times New Roman" w:cs="Times New Roman"/>
          <w:u w:val="single"/>
        </w:rPr>
        <w:t>are void</w:t>
      </w:r>
      <w:r w:rsidRPr="00B86871">
        <w:rPr>
          <w:rFonts w:ascii="Times New Roman" w:hAnsi="Times New Roman" w:cs="Times New Roman"/>
        </w:rPr>
        <w:t xml:space="preserve"> –</w:t>
      </w:r>
      <w:r w:rsidRPr="00B86871">
        <w:rPr>
          <w:rFonts w:ascii="Times New Roman" w:hAnsi="Times New Roman" w:cs="Times New Roman"/>
          <w:u w:val="single"/>
        </w:rPr>
        <w:t xml:space="preserve"> </w:t>
      </w:r>
      <w:r w:rsidRPr="00B86871">
        <w:rPr>
          <w:rFonts w:ascii="Times New Roman" w:hAnsi="Times New Roman" w:cs="Times New Roman"/>
        </w:rPr>
        <w:t xml:space="preserve"> </w:t>
      </w:r>
    </w:p>
    <w:p w:rsidR="00B86871" w:rsidRPr="00B86871" w:rsidRDefault="00B86871" w:rsidP="00B86871">
      <w:pPr>
        <w:spacing w:after="0" w:line="360" w:lineRule="auto"/>
        <w:ind w:left="720"/>
        <w:jc w:val="both"/>
        <w:rPr>
          <w:rFonts w:ascii="Times New Roman" w:hAnsi="Times New Roman" w:cs="Times New Roman"/>
        </w:rPr>
      </w:pPr>
      <w:r w:rsidRPr="00B86871">
        <w:rPr>
          <w:rFonts w:ascii="Times New Roman" w:hAnsi="Times New Roman" w:cs="Times New Roman"/>
        </w:rPr>
        <w:t xml:space="preserve">    and </w:t>
      </w:r>
    </w:p>
    <w:p w:rsidR="00B86871" w:rsidRPr="00B86871" w:rsidRDefault="00B86871" w:rsidP="00B86871">
      <w:pPr>
        <w:spacing w:after="0" w:line="360" w:lineRule="auto"/>
        <w:ind w:left="720"/>
        <w:jc w:val="both"/>
        <w:rPr>
          <w:rFonts w:ascii="Times New Roman" w:hAnsi="Times New Roman" w:cs="Times New Roman"/>
        </w:rPr>
      </w:pPr>
      <w:r w:rsidRPr="00B86871">
        <w:rPr>
          <w:rFonts w:ascii="Times New Roman" w:hAnsi="Times New Roman" w:cs="Times New Roman"/>
        </w:rPr>
        <w:t xml:space="preserve">(d) the trust’s request to have the property transferred to it </w:t>
      </w:r>
      <w:r w:rsidRPr="00B86871">
        <w:rPr>
          <w:rFonts w:ascii="Times New Roman" w:hAnsi="Times New Roman" w:cs="Times New Roman"/>
          <w:u w:val="single"/>
        </w:rPr>
        <w:t>could not be done at law</w:t>
      </w:r>
      <w:r w:rsidRPr="00B86871">
        <w:rPr>
          <w:rFonts w:ascii="Times New Roman" w:hAnsi="Times New Roman" w:cs="Times New Roman"/>
        </w:rPr>
        <w:t xml:space="preserve"> (emphasis added)</w:t>
      </w:r>
    </w:p>
    <w:p w:rsidR="00B86871" w:rsidRDefault="00B86871" w:rsidP="00B8687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Liquidator premised </w:t>
      </w:r>
      <w:r w:rsidR="009A696D">
        <w:rPr>
          <w:rFonts w:ascii="Times New Roman" w:hAnsi="Times New Roman" w:cs="Times New Roman"/>
          <w:sz w:val="24"/>
          <w:szCs w:val="24"/>
        </w:rPr>
        <w:t>his</w:t>
      </w:r>
      <w:r>
        <w:rPr>
          <w:rFonts w:ascii="Times New Roman" w:hAnsi="Times New Roman" w:cs="Times New Roman"/>
          <w:sz w:val="24"/>
          <w:szCs w:val="24"/>
        </w:rPr>
        <w:t xml:space="preserve"> abovementioned argument on s 213 of the Company Act </w:t>
      </w:r>
    </w:p>
    <w:p w:rsidR="00B86871" w:rsidRDefault="00B86871" w:rsidP="00B868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Chapter 24:03</w:t>
      </w:r>
      <w:r>
        <w:rPr>
          <w:rFonts w:ascii="Times New Roman" w:hAnsi="Times New Roman" w:cs="Times New Roman"/>
          <w:sz w:val="24"/>
          <w:szCs w:val="24"/>
        </w:rPr>
        <w:t xml:space="preserve">]. </w:t>
      </w:r>
      <w:r w:rsidR="009A696D">
        <w:rPr>
          <w:rFonts w:ascii="Times New Roman" w:hAnsi="Times New Roman" w:cs="Times New Roman"/>
          <w:sz w:val="24"/>
          <w:szCs w:val="24"/>
        </w:rPr>
        <w:t>The sections</w:t>
      </w:r>
      <w:r>
        <w:rPr>
          <w:rFonts w:ascii="Times New Roman" w:hAnsi="Times New Roman" w:cs="Times New Roman"/>
          <w:sz w:val="24"/>
          <w:szCs w:val="24"/>
        </w:rPr>
        <w:t xml:space="preserve"> heading reads: </w:t>
      </w:r>
      <w:r w:rsidRPr="00F5245A">
        <w:rPr>
          <w:rFonts w:ascii="Times New Roman" w:hAnsi="Times New Roman" w:cs="Times New Roman"/>
          <w:b/>
          <w:sz w:val="24"/>
          <w:szCs w:val="24"/>
        </w:rPr>
        <w:t>Action stayed and avoidance o</w:t>
      </w:r>
      <w:r w:rsidR="00F5245A" w:rsidRPr="00F5245A">
        <w:rPr>
          <w:rFonts w:ascii="Times New Roman" w:hAnsi="Times New Roman" w:cs="Times New Roman"/>
          <w:b/>
          <w:sz w:val="24"/>
          <w:szCs w:val="24"/>
        </w:rPr>
        <w:t>f certain attachments, executions</w:t>
      </w:r>
      <w:r w:rsidRPr="00F5245A">
        <w:rPr>
          <w:rFonts w:ascii="Times New Roman" w:hAnsi="Times New Roman" w:cs="Times New Roman"/>
          <w:b/>
          <w:sz w:val="24"/>
          <w:szCs w:val="24"/>
        </w:rPr>
        <w:t xml:space="preserve"> and dispositions and alteration of status</w:t>
      </w:r>
      <w:r>
        <w:rPr>
          <w:rFonts w:ascii="Times New Roman" w:hAnsi="Times New Roman" w:cs="Times New Roman"/>
          <w:sz w:val="24"/>
          <w:szCs w:val="24"/>
        </w:rPr>
        <w:t>. The body of the section reads</w:t>
      </w:r>
      <w:r w:rsidR="00F623DA">
        <w:rPr>
          <w:rFonts w:ascii="Times New Roman" w:hAnsi="Times New Roman" w:cs="Times New Roman"/>
          <w:sz w:val="24"/>
          <w:szCs w:val="24"/>
        </w:rPr>
        <w:t xml:space="preserve"> as follows</w:t>
      </w:r>
      <w:r>
        <w:rPr>
          <w:rFonts w:ascii="Times New Roman" w:hAnsi="Times New Roman" w:cs="Times New Roman"/>
          <w:sz w:val="24"/>
          <w:szCs w:val="24"/>
        </w:rPr>
        <w:t>:</w:t>
      </w:r>
      <w:r>
        <w:rPr>
          <w:rFonts w:ascii="Times New Roman" w:hAnsi="Times New Roman" w:cs="Times New Roman"/>
          <w:sz w:val="24"/>
          <w:szCs w:val="24"/>
        </w:rPr>
        <w:tab/>
      </w:r>
    </w:p>
    <w:p w:rsidR="00B86871" w:rsidRDefault="00B86871" w:rsidP="00B86871">
      <w:pPr>
        <w:spacing w:after="0" w:line="240" w:lineRule="auto"/>
        <w:jc w:val="both"/>
        <w:rPr>
          <w:rFonts w:ascii="Times New Roman" w:hAnsi="Times New Roman" w:cs="Times New Roman"/>
        </w:rPr>
      </w:pPr>
      <w:r>
        <w:rPr>
          <w:rFonts w:ascii="Times New Roman" w:hAnsi="Times New Roman" w:cs="Times New Roman"/>
          <w:sz w:val="24"/>
          <w:szCs w:val="24"/>
        </w:rPr>
        <w:tab/>
        <w:t>“</w:t>
      </w:r>
      <w:r w:rsidRPr="00BC238C">
        <w:rPr>
          <w:rFonts w:ascii="Times New Roman" w:hAnsi="Times New Roman" w:cs="Times New Roman"/>
          <w:u w:val="single"/>
        </w:rPr>
        <w:t>In a winding up by the court</w:t>
      </w:r>
      <w:r>
        <w:rPr>
          <w:rFonts w:ascii="Times New Roman" w:hAnsi="Times New Roman" w:cs="Times New Roman"/>
        </w:rPr>
        <w:t xml:space="preserve"> –</w:t>
      </w:r>
    </w:p>
    <w:p w:rsidR="00B86871" w:rsidRDefault="00B86871" w:rsidP="00B86871">
      <w:pPr>
        <w:spacing w:after="0" w:line="240" w:lineRule="auto"/>
        <w:jc w:val="both"/>
        <w:rPr>
          <w:rFonts w:ascii="Times New Roman" w:hAnsi="Times New Roman" w:cs="Times New Roman"/>
        </w:rPr>
      </w:pPr>
    </w:p>
    <w:p w:rsidR="00B86871" w:rsidRDefault="00B86871" w:rsidP="00B86871">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w:t>
      </w:r>
    </w:p>
    <w:p w:rsidR="00B86871" w:rsidRDefault="00B86871" w:rsidP="00B86871">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w:t>
      </w:r>
    </w:p>
    <w:p w:rsidR="00B86871" w:rsidRDefault="00B86871" w:rsidP="00B86871">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lastRenderedPageBreak/>
        <w:t>Every disposition of the property, …….., of the company</w:t>
      </w:r>
      <w:r w:rsidR="00B93051">
        <w:rPr>
          <w:rFonts w:ascii="Times New Roman" w:hAnsi="Times New Roman" w:cs="Times New Roman"/>
        </w:rPr>
        <w:t xml:space="preserve"> </w:t>
      </w:r>
      <w:r>
        <w:rPr>
          <w:rFonts w:ascii="Times New Roman" w:hAnsi="Times New Roman" w:cs="Times New Roman"/>
        </w:rPr>
        <w:t xml:space="preserve">……, made after the commencement of the winding up shall, </w:t>
      </w:r>
      <w:r>
        <w:rPr>
          <w:rFonts w:ascii="Times New Roman" w:hAnsi="Times New Roman" w:cs="Times New Roman"/>
          <w:u w:val="single"/>
        </w:rPr>
        <w:t>unless the court otherwise orders</w:t>
      </w:r>
      <w:r>
        <w:rPr>
          <w:rFonts w:ascii="Times New Roman" w:hAnsi="Times New Roman" w:cs="Times New Roman"/>
        </w:rPr>
        <w:t>, be void”. (emphasis added).</w:t>
      </w:r>
    </w:p>
    <w:p w:rsidR="00B86871" w:rsidRDefault="00B86871" w:rsidP="00B86871">
      <w:pPr>
        <w:spacing w:after="0" w:line="240" w:lineRule="auto"/>
        <w:ind w:left="720"/>
        <w:jc w:val="both"/>
        <w:rPr>
          <w:rFonts w:ascii="Times New Roman" w:hAnsi="Times New Roman" w:cs="Times New Roman"/>
        </w:rPr>
      </w:pPr>
    </w:p>
    <w:p w:rsidR="00B86871" w:rsidRDefault="00B86871" w:rsidP="00B930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Two points stand out clearly from a reading of the above cited section</w:t>
      </w:r>
      <w:r w:rsidR="00B93051">
        <w:rPr>
          <w:rFonts w:ascii="Times New Roman" w:hAnsi="Times New Roman" w:cs="Times New Roman"/>
          <w:sz w:val="24"/>
          <w:szCs w:val="24"/>
        </w:rPr>
        <w:t>. The first is that the section</w:t>
      </w:r>
      <w:r>
        <w:rPr>
          <w:rFonts w:ascii="Times New Roman" w:hAnsi="Times New Roman" w:cs="Times New Roman"/>
          <w:sz w:val="24"/>
          <w:szCs w:val="24"/>
        </w:rPr>
        <w:t xml:space="preserve"> confines itself to </w:t>
      </w:r>
      <w:r w:rsidR="00B93051">
        <w:rPr>
          <w:rFonts w:ascii="Times New Roman" w:hAnsi="Times New Roman" w:cs="Times New Roman"/>
          <w:sz w:val="24"/>
          <w:szCs w:val="24"/>
        </w:rPr>
        <w:t xml:space="preserve">a </w:t>
      </w:r>
      <w:r>
        <w:rPr>
          <w:rFonts w:ascii="Times New Roman" w:hAnsi="Times New Roman" w:cs="Times New Roman"/>
          <w:sz w:val="24"/>
          <w:szCs w:val="24"/>
        </w:rPr>
        <w:t>winding up by the court. The second is that, even where the winding up is at the instance of the court, disposition of the property of a company which is made after the commencement of the winding up may not be void if, in the opinion of the court</w:t>
      </w:r>
      <w:r w:rsidR="00B93051">
        <w:rPr>
          <w:rFonts w:ascii="Times New Roman" w:hAnsi="Times New Roman" w:cs="Times New Roman"/>
          <w:sz w:val="24"/>
          <w:szCs w:val="24"/>
        </w:rPr>
        <w:t>,</w:t>
      </w:r>
      <w:r>
        <w:rPr>
          <w:rFonts w:ascii="Times New Roman" w:hAnsi="Times New Roman" w:cs="Times New Roman"/>
          <w:sz w:val="24"/>
          <w:szCs w:val="24"/>
        </w:rPr>
        <w:t xml:space="preserve"> circumstances support that position.</w:t>
      </w:r>
    </w:p>
    <w:p w:rsidR="00B86871" w:rsidRDefault="00B86871" w:rsidP="00B868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52DBD">
        <w:rPr>
          <w:rFonts w:ascii="Times New Roman" w:hAnsi="Times New Roman" w:cs="Times New Roman"/>
          <w:sz w:val="24"/>
          <w:szCs w:val="24"/>
        </w:rPr>
        <w:t>The winding up which is unde</w:t>
      </w:r>
      <w:r w:rsidR="00F5245A">
        <w:rPr>
          <w:rFonts w:ascii="Times New Roman" w:hAnsi="Times New Roman" w:cs="Times New Roman"/>
          <w:sz w:val="24"/>
          <w:szCs w:val="24"/>
        </w:rPr>
        <w:t xml:space="preserve">r consideration was not in </w:t>
      </w:r>
      <w:r w:rsidR="006E7AAF">
        <w:rPr>
          <w:rFonts w:ascii="Times New Roman" w:hAnsi="Times New Roman" w:cs="Times New Roman"/>
          <w:sz w:val="24"/>
          <w:szCs w:val="24"/>
        </w:rPr>
        <w:t xml:space="preserve">terms of s </w:t>
      </w:r>
      <w:r w:rsidR="00F5245A">
        <w:rPr>
          <w:rFonts w:ascii="Times New Roman" w:hAnsi="Times New Roman" w:cs="Times New Roman"/>
          <w:sz w:val="24"/>
          <w:szCs w:val="24"/>
        </w:rPr>
        <w:t>213</w:t>
      </w:r>
      <w:r w:rsidR="00652DBD">
        <w:rPr>
          <w:rFonts w:ascii="Times New Roman" w:hAnsi="Times New Roman" w:cs="Times New Roman"/>
          <w:sz w:val="24"/>
          <w:szCs w:val="24"/>
        </w:rPr>
        <w:t xml:space="preserve"> of the </w:t>
      </w:r>
      <w:r w:rsidR="00F5245A">
        <w:rPr>
          <w:rFonts w:ascii="Times New Roman" w:hAnsi="Times New Roman" w:cs="Times New Roman"/>
          <w:sz w:val="24"/>
          <w:szCs w:val="24"/>
        </w:rPr>
        <w:t>Companies</w:t>
      </w:r>
      <w:r w:rsidR="00652DBD">
        <w:rPr>
          <w:rFonts w:ascii="Times New Roman" w:hAnsi="Times New Roman" w:cs="Times New Roman"/>
          <w:sz w:val="24"/>
          <w:szCs w:val="24"/>
        </w:rPr>
        <w:t xml:space="preserve"> Act. </w:t>
      </w:r>
      <w:r>
        <w:rPr>
          <w:rFonts w:ascii="Times New Roman" w:hAnsi="Times New Roman" w:cs="Times New Roman"/>
          <w:sz w:val="24"/>
          <w:szCs w:val="24"/>
        </w:rPr>
        <w:t xml:space="preserve">Reference is made in this regard to minutes of the meeting of the bank’s board </w:t>
      </w:r>
      <w:r w:rsidR="00652DBD">
        <w:rPr>
          <w:rFonts w:ascii="Times New Roman" w:hAnsi="Times New Roman" w:cs="Times New Roman"/>
          <w:sz w:val="24"/>
          <w:szCs w:val="24"/>
        </w:rPr>
        <w:t>of directors. The meeting</w:t>
      </w:r>
      <w:r>
        <w:rPr>
          <w:rFonts w:ascii="Times New Roman" w:hAnsi="Times New Roman" w:cs="Times New Roman"/>
          <w:sz w:val="24"/>
          <w:szCs w:val="24"/>
        </w:rPr>
        <w:t xml:space="preserve"> took place on 24 February, 2015</w:t>
      </w:r>
      <w:r w:rsidR="00652DBD">
        <w:rPr>
          <w:rFonts w:ascii="Times New Roman" w:hAnsi="Times New Roman" w:cs="Times New Roman"/>
          <w:sz w:val="24"/>
          <w:szCs w:val="24"/>
        </w:rPr>
        <w:t>. S</w:t>
      </w:r>
      <w:r>
        <w:rPr>
          <w:rFonts w:ascii="Times New Roman" w:hAnsi="Times New Roman" w:cs="Times New Roman"/>
          <w:sz w:val="24"/>
          <w:szCs w:val="24"/>
        </w:rPr>
        <w:t>ome p</w:t>
      </w:r>
      <w:r w:rsidR="00652DBD">
        <w:rPr>
          <w:rFonts w:ascii="Times New Roman" w:hAnsi="Times New Roman" w:cs="Times New Roman"/>
          <w:sz w:val="24"/>
          <w:szCs w:val="24"/>
        </w:rPr>
        <w:t>ortions</w:t>
      </w:r>
      <w:r>
        <w:rPr>
          <w:rFonts w:ascii="Times New Roman" w:hAnsi="Times New Roman" w:cs="Times New Roman"/>
          <w:sz w:val="24"/>
          <w:szCs w:val="24"/>
        </w:rPr>
        <w:t xml:space="preserve"> of </w:t>
      </w:r>
      <w:r w:rsidR="00652DBD">
        <w:rPr>
          <w:rFonts w:ascii="Times New Roman" w:hAnsi="Times New Roman" w:cs="Times New Roman"/>
          <w:sz w:val="24"/>
          <w:szCs w:val="24"/>
        </w:rPr>
        <w:t>the minutes read</w:t>
      </w:r>
      <w:r>
        <w:rPr>
          <w:rFonts w:ascii="Times New Roman" w:hAnsi="Times New Roman" w:cs="Times New Roman"/>
          <w:sz w:val="24"/>
          <w:szCs w:val="24"/>
        </w:rPr>
        <w:t>:</w:t>
      </w:r>
    </w:p>
    <w:p w:rsidR="00B86871" w:rsidRDefault="00B86871" w:rsidP="00B86871">
      <w:pPr>
        <w:spacing w:after="0" w:line="240" w:lineRule="auto"/>
        <w:jc w:val="both"/>
        <w:rPr>
          <w:rFonts w:ascii="Times New Roman" w:hAnsi="Times New Roman" w:cs="Times New Roman"/>
          <w:u w:val="single"/>
        </w:rPr>
      </w:pPr>
      <w:r>
        <w:rPr>
          <w:rFonts w:ascii="Times New Roman" w:hAnsi="Times New Roman" w:cs="Times New Roman"/>
          <w:sz w:val="24"/>
          <w:szCs w:val="24"/>
        </w:rPr>
        <w:tab/>
        <w:t>“</w:t>
      </w:r>
      <w:r>
        <w:rPr>
          <w:rFonts w:ascii="Times New Roman" w:hAnsi="Times New Roman" w:cs="Times New Roman"/>
        </w:rPr>
        <w:t xml:space="preserve">4.1 </w:t>
      </w:r>
      <w:r>
        <w:rPr>
          <w:rFonts w:ascii="Times New Roman" w:hAnsi="Times New Roman" w:cs="Times New Roman"/>
        </w:rPr>
        <w:tab/>
      </w:r>
      <w:r w:rsidR="006E7AAF">
        <w:rPr>
          <w:rFonts w:ascii="Times New Roman" w:hAnsi="Times New Roman" w:cs="Times New Roman"/>
          <w:u w:val="single"/>
        </w:rPr>
        <w:t>Meeting with Dr Mah</w:t>
      </w:r>
      <w:r>
        <w:rPr>
          <w:rFonts w:ascii="Times New Roman" w:hAnsi="Times New Roman" w:cs="Times New Roman"/>
          <w:u w:val="single"/>
        </w:rPr>
        <w:t>tani and the RBZ</w:t>
      </w:r>
    </w:p>
    <w:p w:rsidR="00B86871" w:rsidRDefault="00B86871" w:rsidP="00B86871">
      <w:pPr>
        <w:spacing w:after="0" w:line="240" w:lineRule="auto"/>
        <w:jc w:val="both"/>
        <w:rPr>
          <w:rFonts w:ascii="Times New Roman" w:hAnsi="Times New Roman" w:cs="Times New Roman"/>
        </w:rPr>
      </w:pPr>
    </w:p>
    <w:p w:rsidR="00B86871" w:rsidRDefault="00B86871" w:rsidP="00B86871">
      <w:pPr>
        <w:spacing w:after="0" w:line="240" w:lineRule="auto"/>
        <w:ind w:left="1440"/>
        <w:jc w:val="both"/>
        <w:rPr>
          <w:rFonts w:ascii="Times New Roman" w:hAnsi="Times New Roman" w:cs="Times New Roman"/>
        </w:rPr>
      </w:pPr>
      <w:r>
        <w:rPr>
          <w:rFonts w:ascii="Times New Roman" w:hAnsi="Times New Roman" w:cs="Times New Roman"/>
        </w:rPr>
        <w:t>The Board chairman, CLW, HN and</w:t>
      </w:r>
      <w:r w:rsidR="00652DBD">
        <w:rPr>
          <w:rFonts w:ascii="Times New Roman" w:hAnsi="Times New Roman" w:cs="Times New Roman"/>
        </w:rPr>
        <w:t xml:space="preserve"> LM held meetings with Dr Mahta</w:t>
      </w:r>
      <w:r>
        <w:rPr>
          <w:rFonts w:ascii="Times New Roman" w:hAnsi="Times New Roman" w:cs="Times New Roman"/>
        </w:rPr>
        <w:t xml:space="preserve">ni as well as the RBZ Governor to map the way forward </w:t>
      </w:r>
      <w:r w:rsidRPr="009E01A8">
        <w:rPr>
          <w:rFonts w:ascii="Times New Roman" w:hAnsi="Times New Roman" w:cs="Times New Roman"/>
          <w:u w:val="single"/>
        </w:rPr>
        <w:t>in the face</w:t>
      </w:r>
      <w:r>
        <w:rPr>
          <w:rFonts w:ascii="Times New Roman" w:hAnsi="Times New Roman" w:cs="Times New Roman"/>
          <w:u w:val="single"/>
        </w:rPr>
        <w:t xml:space="preserve"> of recommendations by the major shareholder fo</w:t>
      </w:r>
      <w:r w:rsidR="006E7AAF">
        <w:rPr>
          <w:rFonts w:ascii="Times New Roman" w:hAnsi="Times New Roman" w:cs="Times New Roman"/>
          <w:u w:val="single"/>
        </w:rPr>
        <w:t>r ABZL to handover the banking l</w:t>
      </w:r>
      <w:r>
        <w:rPr>
          <w:rFonts w:ascii="Times New Roman" w:hAnsi="Times New Roman" w:cs="Times New Roman"/>
          <w:u w:val="single"/>
        </w:rPr>
        <w:t>icence</w:t>
      </w:r>
      <w:r>
        <w:rPr>
          <w:rFonts w:ascii="Times New Roman" w:hAnsi="Times New Roman" w:cs="Times New Roman"/>
        </w:rPr>
        <w:t>.</w:t>
      </w:r>
    </w:p>
    <w:p w:rsidR="00B86871" w:rsidRDefault="00B86871" w:rsidP="00B86871">
      <w:pPr>
        <w:spacing w:after="0" w:line="240" w:lineRule="auto"/>
        <w:ind w:left="1440"/>
        <w:jc w:val="both"/>
        <w:rPr>
          <w:rFonts w:ascii="Times New Roman" w:hAnsi="Times New Roman" w:cs="Times New Roman"/>
        </w:rPr>
      </w:pPr>
    </w:p>
    <w:p w:rsidR="00B86871" w:rsidRDefault="00B86871" w:rsidP="00B86871">
      <w:pPr>
        <w:spacing w:after="0" w:line="240" w:lineRule="auto"/>
        <w:ind w:left="1440"/>
        <w:jc w:val="both"/>
        <w:rPr>
          <w:rFonts w:ascii="Times New Roman" w:hAnsi="Times New Roman" w:cs="Times New Roman"/>
        </w:rPr>
      </w:pPr>
      <w:r>
        <w:rPr>
          <w:rFonts w:ascii="Times New Roman" w:hAnsi="Times New Roman" w:cs="Times New Roman"/>
        </w:rPr>
        <w:t>The RBZ was of the counsel that handing over of the banking licence would be the best solution in the current circumstances where the major shareholder has abandoned its investment. The RBZ was of the view that the Afrasia Zimbabwe directors may not have a basis for holding on to the licence. Once the decision to surrender the licence has been made, the RBZ would immediately take control of the Bank and appoint a provisional liquidator.</w:t>
      </w:r>
    </w:p>
    <w:p w:rsidR="00B86871" w:rsidRDefault="00B86871" w:rsidP="00B86871">
      <w:pPr>
        <w:spacing w:after="0" w:line="240" w:lineRule="auto"/>
        <w:ind w:left="1440"/>
        <w:jc w:val="both"/>
        <w:rPr>
          <w:rFonts w:ascii="Times New Roman" w:hAnsi="Times New Roman" w:cs="Times New Roman"/>
        </w:rPr>
      </w:pPr>
      <w:r>
        <w:rPr>
          <w:rFonts w:ascii="Times New Roman" w:hAnsi="Times New Roman" w:cs="Times New Roman"/>
        </w:rPr>
        <w:t>……………..</w:t>
      </w:r>
    </w:p>
    <w:p w:rsidR="00B86871" w:rsidRDefault="00B86871" w:rsidP="00B86871">
      <w:pPr>
        <w:spacing w:after="0" w:line="240" w:lineRule="auto"/>
        <w:ind w:left="1440"/>
        <w:jc w:val="both"/>
        <w:rPr>
          <w:rFonts w:ascii="Times New Roman" w:hAnsi="Times New Roman" w:cs="Times New Roman"/>
        </w:rPr>
      </w:pPr>
      <w:r>
        <w:rPr>
          <w:rFonts w:ascii="Times New Roman" w:hAnsi="Times New Roman" w:cs="Times New Roman"/>
        </w:rPr>
        <w:t>…………….</w:t>
      </w:r>
    </w:p>
    <w:p w:rsidR="00B86871" w:rsidRDefault="00B86871" w:rsidP="00B86871">
      <w:pPr>
        <w:spacing w:after="0" w:line="240" w:lineRule="auto"/>
        <w:ind w:left="1440"/>
        <w:jc w:val="both"/>
        <w:rPr>
          <w:rFonts w:ascii="Times New Roman" w:hAnsi="Times New Roman" w:cs="Times New Roman"/>
        </w:rPr>
      </w:pPr>
      <w:r>
        <w:rPr>
          <w:rFonts w:ascii="Times New Roman" w:hAnsi="Times New Roman" w:cs="Times New Roman"/>
        </w:rPr>
        <w:t>At the meeting held at the RBZ, the Governor, the Deputy Governor</w:t>
      </w:r>
      <w:r w:rsidR="00652DBD">
        <w:rPr>
          <w:rFonts w:ascii="Times New Roman" w:hAnsi="Times New Roman" w:cs="Times New Roman"/>
        </w:rPr>
        <w:t>,</w:t>
      </w:r>
      <w:r>
        <w:rPr>
          <w:rFonts w:ascii="Times New Roman" w:hAnsi="Times New Roman" w:cs="Times New Roman"/>
        </w:rPr>
        <w:t xml:space="preserve"> the Registrar of Banks expressed appreciation to the directors present,……., for the remaining directors outside the shareholder appointees’ </w:t>
      </w:r>
      <w:r>
        <w:rPr>
          <w:rFonts w:ascii="Times New Roman" w:hAnsi="Times New Roman" w:cs="Times New Roman"/>
          <w:u w:val="single"/>
        </w:rPr>
        <w:t>integrity</w:t>
      </w:r>
      <w:r w:rsidR="00652DBD">
        <w:rPr>
          <w:rFonts w:ascii="Times New Roman" w:hAnsi="Times New Roman" w:cs="Times New Roman"/>
          <w:u w:val="single"/>
        </w:rPr>
        <w:t>,</w:t>
      </w:r>
      <w:r>
        <w:rPr>
          <w:rFonts w:ascii="Times New Roman" w:hAnsi="Times New Roman" w:cs="Times New Roman"/>
          <w:u w:val="single"/>
        </w:rPr>
        <w:t xml:space="preserve"> diligenc</w:t>
      </w:r>
      <w:r w:rsidR="00652DBD">
        <w:rPr>
          <w:rFonts w:ascii="Times New Roman" w:hAnsi="Times New Roman" w:cs="Times New Roman"/>
          <w:u w:val="single"/>
        </w:rPr>
        <w:t>e and fidu</w:t>
      </w:r>
      <w:r>
        <w:rPr>
          <w:rFonts w:ascii="Times New Roman" w:hAnsi="Times New Roman" w:cs="Times New Roman"/>
          <w:u w:val="single"/>
        </w:rPr>
        <w:t>ciary responsibility to strive to keep the bank afloat</w:t>
      </w:r>
      <w:r>
        <w:rPr>
          <w:rFonts w:ascii="Times New Roman" w:hAnsi="Times New Roman" w:cs="Times New Roman"/>
        </w:rPr>
        <w:t xml:space="preserve"> until the major shareholder decided to hand over the licence. They further assure</w:t>
      </w:r>
      <w:r w:rsidR="00652DBD">
        <w:rPr>
          <w:rFonts w:ascii="Times New Roman" w:hAnsi="Times New Roman" w:cs="Times New Roman"/>
        </w:rPr>
        <w:t>d the directors that by handing</w:t>
      </w:r>
      <w:r>
        <w:rPr>
          <w:rFonts w:ascii="Times New Roman" w:hAnsi="Times New Roman" w:cs="Times New Roman"/>
        </w:rPr>
        <w:t xml:space="preserve"> over the licence, </w:t>
      </w:r>
      <w:r>
        <w:rPr>
          <w:rFonts w:ascii="Times New Roman" w:hAnsi="Times New Roman" w:cs="Times New Roman"/>
          <w:u w:val="single"/>
        </w:rPr>
        <w:t xml:space="preserve">all the directors would not be black </w:t>
      </w:r>
      <w:r w:rsidRPr="00172E3D">
        <w:rPr>
          <w:rFonts w:ascii="Times New Roman" w:hAnsi="Times New Roman" w:cs="Times New Roman"/>
          <w:u w:val="single"/>
        </w:rPr>
        <w:t>listed</w:t>
      </w:r>
      <w:r w:rsidRPr="00172E3D">
        <w:rPr>
          <w:rFonts w:ascii="Times New Roman" w:hAnsi="Times New Roman" w:cs="Times New Roman"/>
        </w:rPr>
        <w:t xml:space="preserve"> as</w:t>
      </w:r>
      <w:r>
        <w:rPr>
          <w:rFonts w:ascii="Times New Roman" w:hAnsi="Times New Roman" w:cs="Times New Roman"/>
        </w:rPr>
        <w:t xml:space="preserve"> a result of their tenure and would not be liable for any claims.</w:t>
      </w:r>
    </w:p>
    <w:p w:rsidR="00B86871" w:rsidRDefault="00B86871" w:rsidP="00B86871">
      <w:pPr>
        <w:spacing w:after="0" w:line="240" w:lineRule="auto"/>
        <w:ind w:left="1440"/>
        <w:jc w:val="both"/>
        <w:rPr>
          <w:rFonts w:ascii="Times New Roman" w:hAnsi="Times New Roman" w:cs="Times New Roman"/>
        </w:rPr>
      </w:pPr>
      <w:r>
        <w:rPr>
          <w:rFonts w:ascii="Times New Roman" w:hAnsi="Times New Roman" w:cs="Times New Roman"/>
        </w:rPr>
        <w:t>….</w:t>
      </w:r>
    </w:p>
    <w:p w:rsidR="00B86871" w:rsidRDefault="00B86871" w:rsidP="00B86871">
      <w:pPr>
        <w:spacing w:after="0" w:line="240" w:lineRule="auto"/>
        <w:jc w:val="both"/>
        <w:rPr>
          <w:rFonts w:ascii="Times New Roman" w:hAnsi="Times New Roman" w:cs="Times New Roman"/>
        </w:rPr>
      </w:pPr>
      <w:r>
        <w:rPr>
          <w:rFonts w:ascii="Times New Roman" w:hAnsi="Times New Roman" w:cs="Times New Roman"/>
        </w:rPr>
        <w:tab/>
        <w:t>4.2</w:t>
      </w:r>
      <w:r>
        <w:rPr>
          <w:rFonts w:ascii="Times New Roman" w:hAnsi="Times New Roman" w:cs="Times New Roman"/>
        </w:rPr>
        <w:tab/>
      </w:r>
      <w:r>
        <w:rPr>
          <w:rFonts w:ascii="Times New Roman" w:hAnsi="Times New Roman" w:cs="Times New Roman"/>
          <w:u w:val="single"/>
        </w:rPr>
        <w:t>Resolution to surrender the banking licence</w:t>
      </w:r>
    </w:p>
    <w:p w:rsidR="00B86871" w:rsidRDefault="00B86871" w:rsidP="00B86871">
      <w:pPr>
        <w:spacing w:after="0" w:line="240" w:lineRule="auto"/>
        <w:jc w:val="both"/>
        <w:rPr>
          <w:rFonts w:ascii="Times New Roman" w:hAnsi="Times New Roman" w:cs="Times New Roman"/>
        </w:rPr>
      </w:pPr>
    </w:p>
    <w:p w:rsidR="00B86871" w:rsidRDefault="00B86871" w:rsidP="00B86871">
      <w:pPr>
        <w:spacing w:after="0" w:line="240" w:lineRule="auto"/>
        <w:ind w:left="1440"/>
        <w:jc w:val="both"/>
        <w:rPr>
          <w:rFonts w:ascii="Times New Roman" w:hAnsi="Times New Roman" w:cs="Times New Roman"/>
        </w:rPr>
      </w:pPr>
      <w:r>
        <w:rPr>
          <w:rFonts w:ascii="Times New Roman" w:hAnsi="Times New Roman" w:cs="Times New Roman"/>
        </w:rPr>
        <w:t xml:space="preserve">Following the decision by Afrasia Bank Limited (Mauritus) (ABL), the single major shareholder for Afrasia Zimbabwe Holding Limited to surrender the Afrasia Bank Zimbabwe Limited (ABZL) banking licence, </w:t>
      </w:r>
      <w:r w:rsidRPr="00007C4B">
        <w:rPr>
          <w:rFonts w:ascii="Times New Roman" w:hAnsi="Times New Roman" w:cs="Times New Roman"/>
          <w:u w:val="single"/>
        </w:rPr>
        <w:t>it was resolved</w:t>
      </w:r>
      <w:r>
        <w:rPr>
          <w:rFonts w:ascii="Times New Roman" w:hAnsi="Times New Roman" w:cs="Times New Roman"/>
          <w:u w:val="single"/>
        </w:rPr>
        <w:t xml:space="preserve"> that the licence be surrendered to the Reserve Bank of Zimbabwe as </w:t>
      </w:r>
      <w:r w:rsidRPr="00007C4B">
        <w:rPr>
          <w:rFonts w:ascii="Times New Roman" w:hAnsi="Times New Roman" w:cs="Times New Roman"/>
        </w:rPr>
        <w:t>of close of business</w:t>
      </w:r>
      <w:r>
        <w:rPr>
          <w:rFonts w:ascii="Times New Roman" w:hAnsi="Times New Roman" w:cs="Times New Roman"/>
        </w:rPr>
        <w:t xml:space="preserve"> on 24 February, 2015.” </w:t>
      </w:r>
      <w:r>
        <w:rPr>
          <w:rFonts w:ascii="Times New Roman" w:hAnsi="Times New Roman" w:cs="Times New Roman"/>
          <w:sz w:val="24"/>
          <w:szCs w:val="24"/>
        </w:rPr>
        <w:t>(emphasis added).</w:t>
      </w:r>
      <w:r>
        <w:rPr>
          <w:rFonts w:ascii="Times New Roman" w:hAnsi="Times New Roman" w:cs="Times New Roman"/>
        </w:rPr>
        <w:t xml:space="preserve"> </w:t>
      </w:r>
    </w:p>
    <w:p w:rsidR="00652DBD" w:rsidRDefault="00652DBD" w:rsidP="00B86871">
      <w:pPr>
        <w:spacing w:after="0" w:line="240" w:lineRule="auto"/>
        <w:ind w:left="1440"/>
        <w:jc w:val="both"/>
        <w:rPr>
          <w:rFonts w:ascii="Times New Roman" w:hAnsi="Times New Roman" w:cs="Times New Roman"/>
        </w:rPr>
      </w:pPr>
    </w:p>
    <w:p w:rsidR="00B86871" w:rsidRDefault="00652DBD" w:rsidP="00652DBD">
      <w:pPr>
        <w:spacing w:after="0" w:line="360" w:lineRule="auto"/>
        <w:ind w:firstLine="720"/>
        <w:jc w:val="both"/>
        <w:rPr>
          <w:rFonts w:ascii="Times New Roman" w:hAnsi="Times New Roman" w:cs="Times New Roman"/>
        </w:rPr>
      </w:pPr>
      <w:r>
        <w:rPr>
          <w:rFonts w:ascii="Times New Roman" w:hAnsi="Times New Roman" w:cs="Times New Roman"/>
          <w:sz w:val="24"/>
          <w:szCs w:val="24"/>
        </w:rPr>
        <w:t xml:space="preserve">In the view which the court holds of the matter, the liquidator’s submission on that aspect of the counter-application could not hold. The section which he relied upon was inapplicable to the present case. The winding up was not at the instance of the court. It was a </w:t>
      </w:r>
      <w:r>
        <w:rPr>
          <w:rFonts w:ascii="Times New Roman" w:hAnsi="Times New Roman" w:cs="Times New Roman"/>
          <w:sz w:val="24"/>
          <w:szCs w:val="24"/>
        </w:rPr>
        <w:lastRenderedPageBreak/>
        <w:t>members’ voluntary winding up. This was at the instance of the bank’s major shareholder. He, for his own unspecified reasons, decided to</w:t>
      </w:r>
      <w:r w:rsidR="006E7AAF">
        <w:rPr>
          <w:rFonts w:ascii="Times New Roman" w:hAnsi="Times New Roman" w:cs="Times New Roman"/>
          <w:sz w:val="24"/>
          <w:szCs w:val="24"/>
        </w:rPr>
        <w:t>,</w:t>
      </w:r>
      <w:r>
        <w:rPr>
          <w:rFonts w:ascii="Times New Roman" w:hAnsi="Times New Roman" w:cs="Times New Roman"/>
          <w:sz w:val="24"/>
          <w:szCs w:val="24"/>
        </w:rPr>
        <w:t xml:space="preserve"> and did actually, withdraw his investment from the Zimbabwean banking sector and surrender his licence to the Reserve Bank of Zimbabwe.</w:t>
      </w:r>
      <w:r w:rsidR="00F5245A">
        <w:rPr>
          <w:rFonts w:ascii="Times New Roman" w:hAnsi="Times New Roman" w:cs="Times New Roman"/>
          <w:sz w:val="24"/>
          <w:szCs w:val="24"/>
        </w:rPr>
        <w:t xml:space="preserve"> The court, therefore, remains of the firm view that</w:t>
      </w:r>
      <w:r w:rsidR="006E7AAF">
        <w:rPr>
          <w:rFonts w:ascii="Times New Roman" w:hAnsi="Times New Roman" w:cs="Times New Roman"/>
          <w:sz w:val="24"/>
          <w:szCs w:val="24"/>
        </w:rPr>
        <w:t xml:space="preserve"> the contract which the parties</w:t>
      </w:r>
      <w:r w:rsidR="00F5245A">
        <w:rPr>
          <w:rFonts w:ascii="Times New Roman" w:hAnsi="Times New Roman" w:cs="Times New Roman"/>
          <w:sz w:val="24"/>
          <w:szCs w:val="24"/>
        </w:rPr>
        <w:t xml:space="preserve"> concluded on 18 February 2015 was not void. It was voidable.</w:t>
      </w:r>
      <w:r w:rsidR="00B86871">
        <w:rPr>
          <w:rFonts w:ascii="Times New Roman" w:hAnsi="Times New Roman" w:cs="Times New Roman"/>
        </w:rPr>
        <w:tab/>
      </w:r>
    </w:p>
    <w:p w:rsidR="00B86871" w:rsidRDefault="00B86871" w:rsidP="00B86871">
      <w:pPr>
        <w:spacing w:after="0" w:line="360" w:lineRule="auto"/>
        <w:ind w:firstLine="720"/>
        <w:jc w:val="both"/>
        <w:rPr>
          <w:rFonts w:ascii="Times New Roman" w:hAnsi="Times New Roman" w:cs="Times New Roman"/>
          <w:sz w:val="24"/>
          <w:szCs w:val="24"/>
        </w:rPr>
      </w:pPr>
      <w:r w:rsidRPr="00007C4B">
        <w:rPr>
          <w:rFonts w:ascii="Times New Roman" w:hAnsi="Times New Roman" w:cs="Times New Roman"/>
          <w:sz w:val="24"/>
          <w:szCs w:val="24"/>
        </w:rPr>
        <w:t>It is common</w:t>
      </w:r>
      <w:r>
        <w:rPr>
          <w:rFonts w:ascii="Times New Roman" w:hAnsi="Times New Roman" w:cs="Times New Roman"/>
          <w:sz w:val="24"/>
          <w:szCs w:val="24"/>
        </w:rPr>
        <w:t xml:space="preserve"> cause that, on 18 February 2015, the bank and the trust concluded a contract of sale between them. The bank sold to the trust the property which is the subject of this counter-application. It is also not in dispute that, exactly one month after the sale, the bank was placed under provisional liquidation.</w:t>
      </w:r>
    </w:p>
    <w:p w:rsidR="00B86871" w:rsidRDefault="00B86871" w:rsidP="00B868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liquidator who stood in the shoes of the bank refused to honour the agreement of sale. His reasons for the refusal were that honouring the </w:t>
      </w:r>
      <w:r w:rsidR="00652DBD">
        <w:rPr>
          <w:rFonts w:ascii="Times New Roman" w:hAnsi="Times New Roman" w:cs="Times New Roman"/>
          <w:sz w:val="24"/>
          <w:szCs w:val="24"/>
        </w:rPr>
        <w:t xml:space="preserve">same </w:t>
      </w:r>
      <w:r>
        <w:rPr>
          <w:rFonts w:ascii="Times New Roman" w:hAnsi="Times New Roman" w:cs="Times New Roman"/>
          <w:sz w:val="24"/>
          <w:szCs w:val="24"/>
        </w:rPr>
        <w:t>would be tantamount to preferring the trust above other creditors of the bank. He relied on ss 42 (2) and 43 (2) of the Insolvency Act in the mentioned regard. He moved the court to set aside the agreement of sale.</w:t>
      </w:r>
    </w:p>
    <w:p w:rsidR="00B86871" w:rsidRDefault="00B86871" w:rsidP="00B868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trust, on the other hand, moved the court to confirm the agreement. It placed reliance on the same section</w:t>
      </w:r>
      <w:r w:rsidR="00652DBD">
        <w:rPr>
          <w:rFonts w:ascii="Times New Roman" w:hAnsi="Times New Roman" w:cs="Times New Roman"/>
          <w:sz w:val="24"/>
          <w:szCs w:val="24"/>
        </w:rPr>
        <w:t>s</w:t>
      </w:r>
      <w:r>
        <w:rPr>
          <w:rFonts w:ascii="Times New Roman" w:hAnsi="Times New Roman" w:cs="Times New Roman"/>
          <w:sz w:val="24"/>
          <w:szCs w:val="24"/>
        </w:rPr>
        <w:t xml:space="preserve"> of the Insolvency Act which the liquidator cited in support of </w:t>
      </w:r>
      <w:r w:rsidR="00652DBD">
        <w:rPr>
          <w:rFonts w:ascii="Times New Roman" w:hAnsi="Times New Roman" w:cs="Times New Roman"/>
          <w:sz w:val="24"/>
          <w:szCs w:val="24"/>
        </w:rPr>
        <w:t>his</w:t>
      </w:r>
      <w:r>
        <w:rPr>
          <w:rFonts w:ascii="Times New Roman" w:hAnsi="Times New Roman" w:cs="Times New Roman"/>
          <w:sz w:val="24"/>
          <w:szCs w:val="24"/>
        </w:rPr>
        <w:t xml:space="preserve"> argument.</w:t>
      </w:r>
    </w:p>
    <w:p w:rsidR="00B86871" w:rsidRDefault="00B86871" w:rsidP="00B868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pertinent for the court to examine the two sections and others which, in its view,</w:t>
      </w:r>
      <w:r w:rsidR="00E1666D">
        <w:rPr>
          <w:rFonts w:ascii="Times New Roman" w:hAnsi="Times New Roman" w:cs="Times New Roman"/>
          <w:sz w:val="24"/>
          <w:szCs w:val="24"/>
        </w:rPr>
        <w:t xml:space="preserve"> would</w:t>
      </w:r>
      <w:r>
        <w:rPr>
          <w:rFonts w:ascii="Times New Roman" w:hAnsi="Times New Roman" w:cs="Times New Roman"/>
          <w:sz w:val="24"/>
          <w:szCs w:val="24"/>
        </w:rPr>
        <w:t xml:space="preserve"> assist in the resolution of the case which is before it. Section 42 (2) of the Insolvency Act [</w:t>
      </w:r>
      <w:r>
        <w:rPr>
          <w:rFonts w:ascii="Times New Roman" w:hAnsi="Times New Roman" w:cs="Times New Roman"/>
          <w:i/>
          <w:sz w:val="24"/>
          <w:szCs w:val="24"/>
        </w:rPr>
        <w:t>Chapter 6:04</w:t>
      </w:r>
      <w:r>
        <w:rPr>
          <w:rFonts w:ascii="Times New Roman" w:hAnsi="Times New Roman" w:cs="Times New Roman"/>
          <w:sz w:val="24"/>
          <w:szCs w:val="24"/>
        </w:rPr>
        <w:t xml:space="preserve">] (“the Act”) reads, in part, as follows: </w:t>
      </w:r>
    </w:p>
    <w:p w:rsidR="00B86871" w:rsidRPr="00B86871" w:rsidRDefault="00B86871" w:rsidP="00B86871">
      <w:pPr>
        <w:spacing w:after="0" w:line="360" w:lineRule="auto"/>
        <w:ind w:firstLine="720"/>
        <w:jc w:val="both"/>
        <w:rPr>
          <w:rFonts w:ascii="Times New Roman" w:hAnsi="Times New Roman" w:cs="Times New Roman"/>
        </w:rPr>
      </w:pPr>
      <w:r w:rsidRPr="00B86871">
        <w:rPr>
          <w:rFonts w:ascii="Times New Roman" w:hAnsi="Times New Roman" w:cs="Times New Roman"/>
        </w:rPr>
        <w:t>“Voidable preferences</w:t>
      </w:r>
    </w:p>
    <w:p w:rsidR="00B86871" w:rsidRPr="00B86871" w:rsidRDefault="00B86871" w:rsidP="00B86871">
      <w:pPr>
        <w:pStyle w:val="ListParagraph"/>
        <w:numPr>
          <w:ilvl w:val="0"/>
          <w:numId w:val="10"/>
        </w:numPr>
        <w:spacing w:after="0" w:line="360" w:lineRule="auto"/>
        <w:jc w:val="both"/>
        <w:rPr>
          <w:rFonts w:ascii="Times New Roman" w:hAnsi="Times New Roman" w:cs="Times New Roman"/>
        </w:rPr>
      </w:pPr>
      <w:r w:rsidRPr="00B86871">
        <w:rPr>
          <w:rFonts w:ascii="Times New Roman" w:hAnsi="Times New Roman" w:cs="Times New Roman"/>
        </w:rPr>
        <w:t>……….</w:t>
      </w:r>
    </w:p>
    <w:p w:rsidR="00B86871" w:rsidRPr="00B86871" w:rsidRDefault="00B86871" w:rsidP="00B86871">
      <w:pPr>
        <w:pStyle w:val="ListParagraph"/>
        <w:numPr>
          <w:ilvl w:val="0"/>
          <w:numId w:val="11"/>
        </w:numPr>
        <w:spacing w:after="0" w:line="360" w:lineRule="auto"/>
        <w:jc w:val="both"/>
        <w:rPr>
          <w:rFonts w:ascii="Times New Roman" w:hAnsi="Times New Roman" w:cs="Times New Roman"/>
        </w:rPr>
      </w:pPr>
      <w:r w:rsidRPr="00B86871">
        <w:rPr>
          <w:rFonts w:ascii="Times New Roman" w:hAnsi="Times New Roman" w:cs="Times New Roman"/>
        </w:rPr>
        <w:t>…….</w:t>
      </w:r>
    </w:p>
    <w:p w:rsidR="00B86871" w:rsidRPr="00B86871" w:rsidRDefault="00B86871" w:rsidP="00B86871">
      <w:pPr>
        <w:pStyle w:val="ListParagraph"/>
        <w:numPr>
          <w:ilvl w:val="0"/>
          <w:numId w:val="11"/>
        </w:numPr>
        <w:spacing w:after="0" w:line="360" w:lineRule="auto"/>
        <w:jc w:val="both"/>
        <w:rPr>
          <w:rFonts w:ascii="Times New Roman" w:hAnsi="Times New Roman" w:cs="Times New Roman"/>
        </w:rPr>
      </w:pPr>
      <w:r w:rsidRPr="00B86871">
        <w:rPr>
          <w:rFonts w:ascii="Times New Roman" w:hAnsi="Times New Roman" w:cs="Times New Roman"/>
        </w:rPr>
        <w:t>…….</w:t>
      </w:r>
    </w:p>
    <w:p w:rsidR="00B86871" w:rsidRPr="00B86871" w:rsidRDefault="00B86871" w:rsidP="00B86871">
      <w:pPr>
        <w:pStyle w:val="ListParagraph"/>
        <w:numPr>
          <w:ilvl w:val="0"/>
          <w:numId w:val="10"/>
        </w:numPr>
        <w:spacing w:after="0" w:line="360" w:lineRule="auto"/>
        <w:jc w:val="both"/>
        <w:rPr>
          <w:rFonts w:ascii="Times New Roman" w:hAnsi="Times New Roman" w:cs="Times New Roman"/>
        </w:rPr>
      </w:pPr>
      <w:r w:rsidRPr="00B86871">
        <w:rPr>
          <w:rFonts w:ascii="Times New Roman" w:hAnsi="Times New Roman" w:cs="Times New Roman"/>
        </w:rPr>
        <w:t xml:space="preserve">Subject to this section every disposition of his property made by a debtor </w:t>
      </w:r>
      <w:r w:rsidRPr="00652DBD">
        <w:rPr>
          <w:rFonts w:ascii="Times New Roman" w:hAnsi="Times New Roman" w:cs="Times New Roman"/>
          <w:u w:val="single"/>
        </w:rPr>
        <w:t xml:space="preserve">within the period of six months immediately </w:t>
      </w:r>
      <w:r w:rsidRPr="00B86871">
        <w:rPr>
          <w:rFonts w:ascii="Times New Roman" w:hAnsi="Times New Roman" w:cs="Times New Roman"/>
        </w:rPr>
        <w:t>pr</w:t>
      </w:r>
      <w:r w:rsidR="00652DBD">
        <w:rPr>
          <w:rFonts w:ascii="Times New Roman" w:hAnsi="Times New Roman" w:cs="Times New Roman"/>
        </w:rPr>
        <w:t>e</w:t>
      </w:r>
      <w:r w:rsidRPr="00B86871">
        <w:rPr>
          <w:rFonts w:ascii="Times New Roman" w:hAnsi="Times New Roman" w:cs="Times New Roman"/>
        </w:rPr>
        <w:t xml:space="preserve">ceeding -   </w:t>
      </w:r>
    </w:p>
    <w:p w:rsidR="00B86871" w:rsidRPr="00B86871" w:rsidRDefault="00652DBD" w:rsidP="00B86871">
      <w:pPr>
        <w:pStyle w:val="ListParagraph"/>
        <w:numPr>
          <w:ilvl w:val="0"/>
          <w:numId w:val="12"/>
        </w:numPr>
        <w:spacing w:after="0" w:line="360" w:lineRule="auto"/>
        <w:jc w:val="both"/>
        <w:rPr>
          <w:rFonts w:ascii="Times New Roman" w:hAnsi="Times New Roman" w:cs="Times New Roman"/>
        </w:rPr>
      </w:pPr>
      <w:r>
        <w:rPr>
          <w:rFonts w:ascii="Times New Roman" w:hAnsi="Times New Roman" w:cs="Times New Roman"/>
        </w:rPr>
        <w:t>t</w:t>
      </w:r>
      <w:r w:rsidR="00B86871" w:rsidRPr="00B86871">
        <w:rPr>
          <w:rFonts w:ascii="Times New Roman" w:hAnsi="Times New Roman" w:cs="Times New Roman"/>
        </w:rPr>
        <w:t>he sequestration of his estate: or</w:t>
      </w:r>
    </w:p>
    <w:p w:rsidR="00B86871" w:rsidRPr="00B86871" w:rsidRDefault="00652DBD" w:rsidP="00B86871">
      <w:pPr>
        <w:pStyle w:val="ListParagraph"/>
        <w:numPr>
          <w:ilvl w:val="0"/>
          <w:numId w:val="12"/>
        </w:numPr>
        <w:spacing w:after="0" w:line="360" w:lineRule="auto"/>
        <w:jc w:val="both"/>
        <w:rPr>
          <w:rFonts w:ascii="Times New Roman" w:hAnsi="Times New Roman" w:cs="Times New Roman"/>
        </w:rPr>
      </w:pPr>
      <w:r>
        <w:rPr>
          <w:rFonts w:ascii="Times New Roman" w:hAnsi="Times New Roman" w:cs="Times New Roman"/>
        </w:rPr>
        <w:t>i</w:t>
      </w:r>
      <w:r w:rsidR="00B86871" w:rsidRPr="00B86871">
        <w:rPr>
          <w:rFonts w:ascii="Times New Roman" w:hAnsi="Times New Roman" w:cs="Times New Roman"/>
        </w:rPr>
        <w:t>f he is dead and his estate is insolvent, his death; which has the effect of pre</w:t>
      </w:r>
      <w:r>
        <w:rPr>
          <w:rFonts w:ascii="Times New Roman" w:hAnsi="Times New Roman" w:cs="Times New Roman"/>
        </w:rPr>
        <w:t xml:space="preserve">ferring </w:t>
      </w:r>
      <w:r w:rsidR="00B86871" w:rsidRPr="00B86871">
        <w:rPr>
          <w:rFonts w:ascii="Times New Roman" w:hAnsi="Times New Roman" w:cs="Times New Roman"/>
        </w:rPr>
        <w:t>one of his creditors above anothe</w:t>
      </w:r>
      <w:r w:rsidR="00E1666D">
        <w:rPr>
          <w:rFonts w:ascii="Times New Roman" w:hAnsi="Times New Roman" w:cs="Times New Roman"/>
        </w:rPr>
        <w:t>r may be set aside by a court if</w:t>
      </w:r>
      <w:r w:rsidR="00B86871" w:rsidRPr="00B86871">
        <w:rPr>
          <w:rFonts w:ascii="Times New Roman" w:hAnsi="Times New Roman" w:cs="Times New Roman"/>
        </w:rPr>
        <w:t>, immediately after the making of the disposition, the liabilities  of the debtor exceeded the value of his assets.</w:t>
      </w:r>
    </w:p>
    <w:p w:rsidR="00B86871" w:rsidRPr="00B86871" w:rsidRDefault="00B86871" w:rsidP="00B86871">
      <w:pPr>
        <w:pStyle w:val="ListParagraph"/>
        <w:numPr>
          <w:ilvl w:val="0"/>
          <w:numId w:val="10"/>
        </w:numPr>
        <w:spacing w:after="0" w:line="360" w:lineRule="auto"/>
        <w:jc w:val="both"/>
        <w:rPr>
          <w:rFonts w:ascii="Times New Roman" w:hAnsi="Times New Roman" w:cs="Times New Roman"/>
        </w:rPr>
      </w:pPr>
      <w:r w:rsidRPr="00B86871">
        <w:rPr>
          <w:rFonts w:ascii="Times New Roman" w:hAnsi="Times New Roman" w:cs="Times New Roman"/>
        </w:rPr>
        <w:t xml:space="preserve">……………..” </w:t>
      </w:r>
    </w:p>
    <w:p w:rsidR="00B86871" w:rsidRDefault="00B86871" w:rsidP="00B8687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Section 43 of the Act makes reference to what are termed undue preferences. It reads, </w:t>
      </w:r>
    </w:p>
    <w:p w:rsidR="00B86871" w:rsidRDefault="00B86871" w:rsidP="00B868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part, as follows:</w:t>
      </w:r>
      <w:r w:rsidRPr="00A5788E">
        <w:rPr>
          <w:rFonts w:ascii="Times New Roman" w:hAnsi="Times New Roman" w:cs="Times New Roman"/>
          <w:sz w:val="24"/>
          <w:szCs w:val="24"/>
        </w:rPr>
        <w:t xml:space="preserve">  </w:t>
      </w:r>
    </w:p>
    <w:p w:rsidR="00B86871" w:rsidRPr="00B86871" w:rsidRDefault="00B86871" w:rsidP="00B86871">
      <w:pPr>
        <w:spacing w:after="0" w:line="360" w:lineRule="auto"/>
        <w:jc w:val="both"/>
        <w:rPr>
          <w:rFonts w:ascii="Times New Roman" w:hAnsi="Times New Roman" w:cs="Times New Roman"/>
        </w:rPr>
      </w:pPr>
      <w:r>
        <w:rPr>
          <w:rFonts w:ascii="Times New Roman" w:hAnsi="Times New Roman" w:cs="Times New Roman"/>
          <w:sz w:val="24"/>
          <w:szCs w:val="24"/>
        </w:rPr>
        <w:lastRenderedPageBreak/>
        <w:tab/>
      </w:r>
      <w:r w:rsidRPr="00B86871">
        <w:rPr>
          <w:rFonts w:ascii="Times New Roman" w:hAnsi="Times New Roman" w:cs="Times New Roman"/>
        </w:rPr>
        <w:t>“43 undue preferences</w:t>
      </w:r>
    </w:p>
    <w:p w:rsidR="00B86871" w:rsidRPr="00B86871" w:rsidRDefault="00B86871" w:rsidP="00B86871">
      <w:pPr>
        <w:pStyle w:val="ListParagraph"/>
        <w:numPr>
          <w:ilvl w:val="0"/>
          <w:numId w:val="13"/>
        </w:numPr>
        <w:spacing w:after="0" w:line="360" w:lineRule="auto"/>
        <w:jc w:val="both"/>
        <w:rPr>
          <w:rFonts w:ascii="Times New Roman" w:hAnsi="Times New Roman" w:cs="Times New Roman"/>
        </w:rPr>
      </w:pPr>
      <w:r w:rsidRPr="00B86871">
        <w:rPr>
          <w:rFonts w:ascii="Times New Roman" w:hAnsi="Times New Roman" w:cs="Times New Roman"/>
        </w:rPr>
        <w:t>……….</w:t>
      </w:r>
    </w:p>
    <w:p w:rsidR="00B86871" w:rsidRPr="00B86871" w:rsidRDefault="00B86871" w:rsidP="00B86871">
      <w:pPr>
        <w:pStyle w:val="ListParagraph"/>
        <w:numPr>
          <w:ilvl w:val="0"/>
          <w:numId w:val="14"/>
        </w:numPr>
        <w:spacing w:after="0" w:line="360" w:lineRule="auto"/>
        <w:jc w:val="both"/>
        <w:rPr>
          <w:rFonts w:ascii="Times New Roman" w:hAnsi="Times New Roman" w:cs="Times New Roman"/>
        </w:rPr>
      </w:pPr>
      <w:r w:rsidRPr="00B86871">
        <w:rPr>
          <w:rFonts w:ascii="Times New Roman" w:hAnsi="Times New Roman" w:cs="Times New Roman"/>
        </w:rPr>
        <w:t>…….</w:t>
      </w:r>
    </w:p>
    <w:p w:rsidR="00B86871" w:rsidRPr="00B86871" w:rsidRDefault="00B86871" w:rsidP="00B86871">
      <w:pPr>
        <w:pStyle w:val="ListParagraph"/>
        <w:numPr>
          <w:ilvl w:val="0"/>
          <w:numId w:val="14"/>
        </w:numPr>
        <w:spacing w:after="0" w:line="360" w:lineRule="auto"/>
        <w:jc w:val="both"/>
        <w:rPr>
          <w:rFonts w:ascii="Times New Roman" w:hAnsi="Times New Roman" w:cs="Times New Roman"/>
        </w:rPr>
      </w:pPr>
      <w:r w:rsidRPr="00B86871">
        <w:rPr>
          <w:rFonts w:ascii="Times New Roman" w:hAnsi="Times New Roman" w:cs="Times New Roman"/>
        </w:rPr>
        <w:t>…….</w:t>
      </w:r>
    </w:p>
    <w:p w:rsidR="00B86871" w:rsidRPr="00B86871" w:rsidRDefault="00B86871" w:rsidP="00B86871">
      <w:pPr>
        <w:pStyle w:val="ListParagraph"/>
        <w:numPr>
          <w:ilvl w:val="0"/>
          <w:numId w:val="13"/>
        </w:numPr>
        <w:spacing w:after="0" w:line="360" w:lineRule="auto"/>
        <w:jc w:val="both"/>
        <w:rPr>
          <w:rFonts w:ascii="Times New Roman" w:hAnsi="Times New Roman" w:cs="Times New Roman"/>
        </w:rPr>
      </w:pPr>
      <w:r w:rsidRPr="00B86871">
        <w:rPr>
          <w:rFonts w:ascii="Times New Roman" w:hAnsi="Times New Roman" w:cs="Times New Roman"/>
        </w:rPr>
        <w:t xml:space="preserve">Every disposition of his property made by a debtor at a time when his liabilities exceeded his assets with the intention of preferring one creditor above another may be set aside by a court if the estate of the debtor is thereafter sequestrated.” </w:t>
      </w:r>
    </w:p>
    <w:p w:rsidR="00B86871" w:rsidRDefault="00B86871" w:rsidP="009604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is clear from the two cited section</w:t>
      </w:r>
      <w:r w:rsidR="009604EA">
        <w:rPr>
          <w:rFonts w:ascii="Times New Roman" w:hAnsi="Times New Roman" w:cs="Times New Roman"/>
          <w:sz w:val="24"/>
          <w:szCs w:val="24"/>
        </w:rPr>
        <w:t>s</w:t>
      </w:r>
      <w:r w:rsidR="00BB73F4">
        <w:rPr>
          <w:rFonts w:ascii="Times New Roman" w:hAnsi="Times New Roman" w:cs="Times New Roman"/>
          <w:sz w:val="24"/>
          <w:szCs w:val="24"/>
        </w:rPr>
        <w:t xml:space="preserve"> is that the court has a </w:t>
      </w:r>
      <w:r>
        <w:rPr>
          <w:rFonts w:ascii="Times New Roman" w:hAnsi="Times New Roman" w:cs="Times New Roman"/>
          <w:sz w:val="24"/>
          <w:szCs w:val="24"/>
        </w:rPr>
        <w:t>discretion to confirm or to set aside the disposition. The decision which the court takes will invariably be influenced by the circumstances which the parties place before it for determination.</w:t>
      </w:r>
    </w:p>
    <w:p w:rsidR="00B86871" w:rsidRPr="00074C8A" w:rsidRDefault="00B86871" w:rsidP="00B868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74C8A">
        <w:rPr>
          <w:rFonts w:ascii="Times New Roman" w:hAnsi="Times New Roman" w:cs="Times New Roman"/>
          <w:sz w:val="24"/>
          <w:szCs w:val="24"/>
        </w:rPr>
        <w:t xml:space="preserve">The liquidator’s submission </w:t>
      </w:r>
      <w:r w:rsidRPr="00074C8A">
        <w:rPr>
          <w:rFonts w:ascii="Times New Roman" w:hAnsi="Times New Roman" w:cs="Times New Roman"/>
          <w:i/>
          <w:sz w:val="24"/>
          <w:szCs w:val="24"/>
        </w:rPr>
        <w:t>in casu</w:t>
      </w:r>
      <w:r w:rsidRPr="00074C8A">
        <w:rPr>
          <w:rFonts w:ascii="Times New Roman" w:hAnsi="Times New Roman" w:cs="Times New Roman"/>
          <w:sz w:val="24"/>
          <w:szCs w:val="24"/>
        </w:rPr>
        <w:t xml:space="preserve"> was that: </w:t>
      </w:r>
    </w:p>
    <w:p w:rsidR="00B86871" w:rsidRPr="00074C8A" w:rsidRDefault="00B86871" w:rsidP="00B86871">
      <w:pPr>
        <w:pStyle w:val="ListParagraph"/>
        <w:numPr>
          <w:ilvl w:val="0"/>
          <w:numId w:val="15"/>
        </w:numPr>
        <w:spacing w:after="0" w:line="360" w:lineRule="auto"/>
        <w:jc w:val="both"/>
        <w:rPr>
          <w:rFonts w:ascii="Times New Roman" w:hAnsi="Times New Roman" w:cs="Times New Roman"/>
          <w:sz w:val="24"/>
          <w:szCs w:val="24"/>
        </w:rPr>
      </w:pPr>
      <w:r w:rsidRPr="00074C8A">
        <w:rPr>
          <w:rFonts w:ascii="Times New Roman" w:hAnsi="Times New Roman" w:cs="Times New Roman"/>
          <w:sz w:val="24"/>
          <w:szCs w:val="24"/>
        </w:rPr>
        <w:t xml:space="preserve">the parties concluded the sale a few days before the bank’s board of directors passed a resolution to surrender the banking licence; </w:t>
      </w:r>
    </w:p>
    <w:p w:rsidR="00B86871" w:rsidRPr="00074C8A" w:rsidRDefault="00B86871" w:rsidP="00B86871">
      <w:pPr>
        <w:pStyle w:val="ListParagraph"/>
        <w:numPr>
          <w:ilvl w:val="0"/>
          <w:numId w:val="15"/>
        </w:numPr>
        <w:spacing w:after="0" w:line="360" w:lineRule="auto"/>
        <w:jc w:val="both"/>
        <w:rPr>
          <w:rFonts w:ascii="Times New Roman" w:hAnsi="Times New Roman" w:cs="Times New Roman"/>
          <w:sz w:val="24"/>
          <w:szCs w:val="24"/>
        </w:rPr>
      </w:pPr>
      <w:r w:rsidRPr="00074C8A">
        <w:rPr>
          <w:rFonts w:ascii="Times New Roman" w:hAnsi="Times New Roman" w:cs="Times New Roman"/>
          <w:sz w:val="24"/>
          <w:szCs w:val="24"/>
        </w:rPr>
        <w:t>the sale was concluded with the intention of preferring the trust above other creditors;</w:t>
      </w:r>
    </w:p>
    <w:p w:rsidR="00B86871" w:rsidRPr="00074C8A" w:rsidRDefault="00B86871" w:rsidP="00B86871">
      <w:pPr>
        <w:pStyle w:val="ListParagraph"/>
        <w:numPr>
          <w:ilvl w:val="0"/>
          <w:numId w:val="15"/>
        </w:numPr>
        <w:spacing w:after="0" w:line="360" w:lineRule="auto"/>
        <w:jc w:val="both"/>
        <w:rPr>
          <w:rFonts w:ascii="Times New Roman" w:hAnsi="Times New Roman" w:cs="Times New Roman"/>
          <w:sz w:val="24"/>
          <w:szCs w:val="24"/>
        </w:rPr>
      </w:pPr>
      <w:r w:rsidRPr="00074C8A">
        <w:rPr>
          <w:rFonts w:ascii="Times New Roman" w:hAnsi="Times New Roman" w:cs="Times New Roman"/>
          <w:sz w:val="24"/>
          <w:szCs w:val="24"/>
        </w:rPr>
        <w:t>the sale was concluded not more than six months before the liquidation of the bank;</w:t>
      </w:r>
    </w:p>
    <w:p w:rsidR="00B86871" w:rsidRPr="00074C8A" w:rsidRDefault="00B86871" w:rsidP="00B86871">
      <w:pPr>
        <w:pStyle w:val="ListParagraph"/>
        <w:numPr>
          <w:ilvl w:val="0"/>
          <w:numId w:val="15"/>
        </w:numPr>
        <w:spacing w:after="0" w:line="360" w:lineRule="auto"/>
        <w:jc w:val="both"/>
        <w:rPr>
          <w:rFonts w:ascii="Times New Roman" w:hAnsi="Times New Roman" w:cs="Times New Roman"/>
          <w:sz w:val="24"/>
          <w:szCs w:val="24"/>
        </w:rPr>
      </w:pPr>
      <w:r w:rsidRPr="00074C8A">
        <w:rPr>
          <w:rFonts w:ascii="Times New Roman" w:hAnsi="Times New Roman" w:cs="Times New Roman"/>
          <w:sz w:val="24"/>
          <w:szCs w:val="24"/>
        </w:rPr>
        <w:t>when the sale was so concluded the bank’s liabilities exceeded the value of its assets – and</w:t>
      </w:r>
    </w:p>
    <w:p w:rsidR="00B86871" w:rsidRDefault="00B86871" w:rsidP="00B86871">
      <w:pPr>
        <w:pStyle w:val="ListParagraph"/>
        <w:numPr>
          <w:ilvl w:val="0"/>
          <w:numId w:val="15"/>
        </w:numPr>
        <w:spacing w:after="0" w:line="360" w:lineRule="auto"/>
        <w:jc w:val="both"/>
        <w:rPr>
          <w:rFonts w:ascii="Times New Roman" w:hAnsi="Times New Roman" w:cs="Times New Roman"/>
          <w:sz w:val="24"/>
          <w:szCs w:val="24"/>
        </w:rPr>
      </w:pPr>
      <w:r w:rsidRPr="00074C8A">
        <w:rPr>
          <w:rFonts w:ascii="Times New Roman" w:hAnsi="Times New Roman" w:cs="Times New Roman"/>
          <w:sz w:val="24"/>
          <w:szCs w:val="24"/>
        </w:rPr>
        <w:t xml:space="preserve">the sale was not concluded in the ordinary course of business.     </w:t>
      </w:r>
    </w:p>
    <w:p w:rsidR="00B86871" w:rsidRDefault="00B86871" w:rsidP="006E7A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Only one of the five matters which the liquidator advanced support</w:t>
      </w:r>
      <w:r w:rsidR="00E1666D">
        <w:rPr>
          <w:rFonts w:ascii="Times New Roman" w:hAnsi="Times New Roman" w:cs="Times New Roman"/>
          <w:sz w:val="24"/>
          <w:szCs w:val="24"/>
        </w:rPr>
        <w:t>ed</w:t>
      </w:r>
      <w:r>
        <w:rPr>
          <w:rFonts w:ascii="Times New Roman" w:hAnsi="Times New Roman" w:cs="Times New Roman"/>
          <w:sz w:val="24"/>
          <w:szCs w:val="24"/>
        </w:rPr>
        <w:t xml:space="preserve"> the position which he took. This was that the parties concluded the sale a month before the board of directors of the bank resolved to surrender the banking licence. The liquidator’s assertion which was to the effect that the sale was concluded not more than six months before the liquidation of the bank was superfluous. It was a repetition of the matter which he had already stated</w:t>
      </w:r>
      <w:r w:rsidR="008A338B">
        <w:rPr>
          <w:rFonts w:ascii="Times New Roman" w:hAnsi="Times New Roman" w:cs="Times New Roman"/>
          <w:sz w:val="24"/>
          <w:szCs w:val="24"/>
        </w:rPr>
        <w:t xml:space="preserve"> in para (i) above</w:t>
      </w:r>
      <w:r>
        <w:rPr>
          <w:rFonts w:ascii="Times New Roman" w:hAnsi="Times New Roman" w:cs="Times New Roman"/>
          <w:sz w:val="24"/>
          <w:szCs w:val="24"/>
        </w:rPr>
        <w:t>.</w:t>
      </w:r>
    </w:p>
    <w:p w:rsidR="00B86871" w:rsidRDefault="00B86871" w:rsidP="00B868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liquidator produced no evidence in support of the contention that at the time that the parties signed the contract, the bank’s intention was to prefer the trust above other creditors.</w:t>
      </w:r>
      <w:r w:rsidR="008A338B">
        <w:rPr>
          <w:rFonts w:ascii="Times New Roman" w:hAnsi="Times New Roman" w:cs="Times New Roman"/>
          <w:sz w:val="24"/>
          <w:szCs w:val="24"/>
        </w:rPr>
        <w:t xml:space="preserve"> </w:t>
      </w:r>
      <w:r>
        <w:rPr>
          <w:rFonts w:ascii="Times New Roman" w:hAnsi="Times New Roman" w:cs="Times New Roman"/>
          <w:sz w:val="24"/>
          <w:szCs w:val="24"/>
        </w:rPr>
        <w:t>His assertion in the mentioned regard was more of an assumption than it was a fact. The comments of the Reserve Bank Governor, his Deputy and the Registrar of Banks as confirmed in the minutes of the Board of Directors’ meeting of 24 February, 2015 disp</w:t>
      </w:r>
      <w:r w:rsidR="008A338B">
        <w:rPr>
          <w:rFonts w:ascii="Times New Roman" w:hAnsi="Times New Roman" w:cs="Times New Roman"/>
          <w:sz w:val="24"/>
          <w:szCs w:val="24"/>
        </w:rPr>
        <w:t>elled</w:t>
      </w:r>
      <w:r>
        <w:rPr>
          <w:rFonts w:ascii="Times New Roman" w:hAnsi="Times New Roman" w:cs="Times New Roman"/>
          <w:sz w:val="24"/>
          <w:szCs w:val="24"/>
        </w:rPr>
        <w:t xml:space="preserve"> the liquidator’s statement which was to the effect that the bank’s liabilities exceeded the value of its assets. A reading of the comments which are con</w:t>
      </w:r>
      <w:r w:rsidR="008A338B">
        <w:rPr>
          <w:rFonts w:ascii="Times New Roman" w:hAnsi="Times New Roman" w:cs="Times New Roman"/>
          <w:sz w:val="24"/>
          <w:szCs w:val="24"/>
        </w:rPr>
        <w:t>tained</w:t>
      </w:r>
      <w:r>
        <w:rPr>
          <w:rFonts w:ascii="Times New Roman" w:hAnsi="Times New Roman" w:cs="Times New Roman"/>
          <w:sz w:val="24"/>
          <w:szCs w:val="24"/>
        </w:rPr>
        <w:t xml:space="preserve"> in the foregoing p</w:t>
      </w:r>
      <w:r w:rsidR="008A338B">
        <w:rPr>
          <w:rFonts w:ascii="Times New Roman" w:hAnsi="Times New Roman" w:cs="Times New Roman"/>
          <w:sz w:val="24"/>
          <w:szCs w:val="24"/>
        </w:rPr>
        <w:t>ortions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of this judgment showed that the opposite of what the liquidator stated was the case. The court was at a loss as to what the liquidator meant to convey when he stated that the sale was not concluded in the ordinary course of business. The fact that the bank had properties one of which it offered to sell to the trust spoke volumes of its multifaceted </w:t>
      </w:r>
      <w:r w:rsidR="008A338B">
        <w:rPr>
          <w:rFonts w:ascii="Times New Roman" w:hAnsi="Times New Roman" w:cs="Times New Roman"/>
          <w:sz w:val="24"/>
          <w:szCs w:val="24"/>
        </w:rPr>
        <w:t>functions</w:t>
      </w:r>
      <w:r>
        <w:rPr>
          <w:rFonts w:ascii="Times New Roman" w:hAnsi="Times New Roman" w:cs="Times New Roman"/>
          <w:sz w:val="24"/>
          <w:szCs w:val="24"/>
        </w:rPr>
        <w:t>.</w:t>
      </w:r>
      <w:r w:rsidR="008A338B">
        <w:rPr>
          <w:rFonts w:ascii="Times New Roman" w:hAnsi="Times New Roman" w:cs="Times New Roman"/>
          <w:sz w:val="24"/>
          <w:szCs w:val="24"/>
        </w:rPr>
        <w:t xml:space="preserve"> The liquidator could not seriously challenge the fact that the bank had properties one </w:t>
      </w:r>
      <w:r w:rsidR="006E7AAF">
        <w:rPr>
          <w:rFonts w:ascii="Times New Roman" w:hAnsi="Times New Roman" w:cs="Times New Roman"/>
          <w:sz w:val="24"/>
          <w:szCs w:val="24"/>
        </w:rPr>
        <w:t xml:space="preserve">of </w:t>
      </w:r>
      <w:r w:rsidR="008A338B">
        <w:rPr>
          <w:rFonts w:ascii="Times New Roman" w:hAnsi="Times New Roman" w:cs="Times New Roman"/>
          <w:sz w:val="24"/>
          <w:szCs w:val="24"/>
        </w:rPr>
        <w:t>which it sold to the trust.</w:t>
      </w:r>
    </w:p>
    <w:p w:rsidR="00B86871" w:rsidRDefault="00B86871" w:rsidP="00B868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E1666D">
        <w:rPr>
          <w:rFonts w:ascii="Times New Roman" w:hAnsi="Times New Roman" w:cs="Times New Roman"/>
          <w:sz w:val="24"/>
          <w:szCs w:val="24"/>
        </w:rPr>
        <w:t>trust stated, and correctly so</w:t>
      </w:r>
      <w:r>
        <w:rPr>
          <w:rFonts w:ascii="Times New Roman" w:hAnsi="Times New Roman" w:cs="Times New Roman"/>
          <w:sz w:val="24"/>
          <w:szCs w:val="24"/>
        </w:rPr>
        <w:t xml:space="preserve"> that, in the absence of a balance sheet, the liquidator could not state as a fact that the liabilities of the bank exceeded the value of its assets. It challenged the manner in which the liquidator handled the issue which related to its contract with the bank.</w:t>
      </w:r>
    </w:p>
    <w:p w:rsidR="00B86871" w:rsidRDefault="00B86871" w:rsidP="00B868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the court’s considered view that the attitude which the liquidator took of the sale was difficult, if not impossible, to countenance.  He was made aware of the existence of the contract of sale as soon as he came onto the scene. He gave the impression of a person who was genuinely investigating the matter which the trust had presented to him. He spent more than six months before his decision was made known to the trust. He did not even have the courtesy </w:t>
      </w:r>
      <w:r w:rsidR="00D6562C">
        <w:rPr>
          <w:rFonts w:ascii="Times New Roman" w:hAnsi="Times New Roman" w:cs="Times New Roman"/>
          <w:sz w:val="24"/>
          <w:szCs w:val="24"/>
        </w:rPr>
        <w:t>of</w:t>
      </w:r>
      <w:r>
        <w:rPr>
          <w:rFonts w:ascii="Times New Roman" w:hAnsi="Times New Roman" w:cs="Times New Roman"/>
          <w:sz w:val="24"/>
          <w:szCs w:val="24"/>
        </w:rPr>
        <w:t xml:space="preserve"> cancel</w:t>
      </w:r>
      <w:r w:rsidR="00D6562C">
        <w:rPr>
          <w:rFonts w:ascii="Times New Roman" w:hAnsi="Times New Roman" w:cs="Times New Roman"/>
          <w:sz w:val="24"/>
          <w:szCs w:val="24"/>
        </w:rPr>
        <w:t>ling</w:t>
      </w:r>
      <w:r>
        <w:rPr>
          <w:rFonts w:ascii="Times New Roman" w:hAnsi="Times New Roman" w:cs="Times New Roman"/>
          <w:sz w:val="24"/>
          <w:szCs w:val="24"/>
        </w:rPr>
        <w:t xml:space="preserve"> the contract which the bank and the trust concluded before he took over</w:t>
      </w:r>
      <w:r w:rsidR="00D6562C">
        <w:rPr>
          <w:rFonts w:ascii="Times New Roman" w:hAnsi="Times New Roman" w:cs="Times New Roman"/>
          <w:sz w:val="24"/>
          <w:szCs w:val="24"/>
        </w:rPr>
        <w:t xml:space="preserve"> management and</w:t>
      </w:r>
      <w:r>
        <w:rPr>
          <w:rFonts w:ascii="Times New Roman" w:hAnsi="Times New Roman" w:cs="Times New Roman"/>
          <w:sz w:val="24"/>
          <w:szCs w:val="24"/>
        </w:rPr>
        <w:t xml:space="preserve"> control of the bank. He proceeded to sell the property which h</w:t>
      </w:r>
      <w:r w:rsidR="00D6562C">
        <w:rPr>
          <w:rFonts w:ascii="Times New Roman" w:hAnsi="Times New Roman" w:cs="Times New Roman"/>
          <w:sz w:val="24"/>
          <w:szCs w:val="24"/>
        </w:rPr>
        <w:t>e</w:t>
      </w:r>
      <w:r>
        <w:rPr>
          <w:rFonts w:ascii="Times New Roman" w:hAnsi="Times New Roman" w:cs="Times New Roman"/>
          <w:sz w:val="24"/>
          <w:szCs w:val="24"/>
        </w:rPr>
        <w:t xml:space="preserve"> knew the trust had a vested interest in. He sold the property to some purchaser whom he did not disclose to the court or </w:t>
      </w:r>
      <w:r w:rsidR="004F6F9C">
        <w:rPr>
          <w:rFonts w:ascii="Times New Roman" w:hAnsi="Times New Roman" w:cs="Times New Roman"/>
          <w:sz w:val="24"/>
          <w:szCs w:val="24"/>
        </w:rPr>
        <w:t xml:space="preserve">to </w:t>
      </w:r>
      <w:r>
        <w:rPr>
          <w:rFonts w:ascii="Times New Roman" w:hAnsi="Times New Roman" w:cs="Times New Roman"/>
          <w:sz w:val="24"/>
          <w:szCs w:val="24"/>
        </w:rPr>
        <w:t xml:space="preserve">the trust. He was very much aware that the double sale which he involved himself into would chew </w:t>
      </w:r>
      <w:r w:rsidR="00D6562C">
        <w:rPr>
          <w:rFonts w:ascii="Times New Roman" w:hAnsi="Times New Roman" w:cs="Times New Roman"/>
          <w:sz w:val="24"/>
          <w:szCs w:val="24"/>
        </w:rPr>
        <w:t xml:space="preserve">a substantial </w:t>
      </w:r>
      <w:r w:rsidR="009604EA">
        <w:rPr>
          <w:rFonts w:ascii="Times New Roman" w:hAnsi="Times New Roman" w:cs="Times New Roman"/>
          <w:sz w:val="24"/>
          <w:szCs w:val="24"/>
        </w:rPr>
        <w:t>portion</w:t>
      </w:r>
      <w:r>
        <w:rPr>
          <w:rFonts w:ascii="Times New Roman" w:hAnsi="Times New Roman" w:cs="Times New Roman"/>
          <w:sz w:val="24"/>
          <w:szCs w:val="24"/>
        </w:rPr>
        <w:t xml:space="preserve"> of the bank’s assets in such </w:t>
      </w:r>
      <w:r w:rsidR="00D6562C">
        <w:rPr>
          <w:rFonts w:ascii="Times New Roman" w:hAnsi="Times New Roman" w:cs="Times New Roman"/>
          <w:sz w:val="24"/>
          <w:szCs w:val="24"/>
        </w:rPr>
        <w:t xml:space="preserve">unnecessary </w:t>
      </w:r>
      <w:r>
        <w:rPr>
          <w:rFonts w:ascii="Times New Roman" w:hAnsi="Times New Roman" w:cs="Times New Roman"/>
          <w:sz w:val="24"/>
          <w:szCs w:val="24"/>
        </w:rPr>
        <w:t xml:space="preserve">litigation as the present one. He did all that in the name of protecting creditors of the bank. </w:t>
      </w:r>
      <w:r w:rsidR="004F6F9C">
        <w:rPr>
          <w:rFonts w:ascii="Times New Roman" w:hAnsi="Times New Roman" w:cs="Times New Roman"/>
          <w:sz w:val="24"/>
          <w:szCs w:val="24"/>
        </w:rPr>
        <w:t>He, i</w:t>
      </w:r>
      <w:r w:rsidR="00D6562C">
        <w:rPr>
          <w:rFonts w:ascii="Times New Roman" w:hAnsi="Times New Roman" w:cs="Times New Roman"/>
          <w:sz w:val="24"/>
          <w:szCs w:val="24"/>
        </w:rPr>
        <w:t>f anything, worked to the total prejudice of the bank’s creditors.</w:t>
      </w:r>
    </w:p>
    <w:p w:rsidR="00B86871" w:rsidRDefault="00B86871" w:rsidP="00B868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certainly did not make good economic sense for the liquidator to have settled for a price which was $35 000-00 l</w:t>
      </w:r>
      <w:r w:rsidR="004F6F9C">
        <w:rPr>
          <w:rFonts w:ascii="Times New Roman" w:hAnsi="Times New Roman" w:cs="Times New Roman"/>
          <w:sz w:val="24"/>
          <w:szCs w:val="24"/>
        </w:rPr>
        <w:t>ower</w:t>
      </w:r>
      <w:r>
        <w:rPr>
          <w:rFonts w:ascii="Times New Roman" w:hAnsi="Times New Roman" w:cs="Times New Roman"/>
          <w:sz w:val="24"/>
          <w:szCs w:val="24"/>
        </w:rPr>
        <w:t xml:space="preserve"> </w:t>
      </w:r>
      <w:r w:rsidR="00D6562C">
        <w:rPr>
          <w:rFonts w:ascii="Times New Roman" w:hAnsi="Times New Roman" w:cs="Times New Roman"/>
          <w:sz w:val="24"/>
          <w:szCs w:val="24"/>
        </w:rPr>
        <w:t xml:space="preserve">than what </w:t>
      </w:r>
      <w:r w:rsidR="004F6F9C">
        <w:rPr>
          <w:rFonts w:ascii="Times New Roman" w:hAnsi="Times New Roman" w:cs="Times New Roman"/>
          <w:sz w:val="24"/>
          <w:szCs w:val="24"/>
        </w:rPr>
        <w:t>the trust had</w:t>
      </w:r>
      <w:r w:rsidR="00D6562C">
        <w:rPr>
          <w:rFonts w:ascii="Times New Roman" w:hAnsi="Times New Roman" w:cs="Times New Roman"/>
          <w:sz w:val="24"/>
          <w:szCs w:val="24"/>
        </w:rPr>
        <w:t xml:space="preserve"> </w:t>
      </w:r>
      <w:r>
        <w:rPr>
          <w:rFonts w:ascii="Times New Roman" w:hAnsi="Times New Roman" w:cs="Times New Roman"/>
          <w:sz w:val="24"/>
          <w:szCs w:val="24"/>
        </w:rPr>
        <w:t xml:space="preserve">offered for the same property. That decision worked to the disadvantage of the bank’s creditors whom he said he was protecting.   </w:t>
      </w:r>
    </w:p>
    <w:p w:rsidR="00B86871" w:rsidRDefault="00B86871" w:rsidP="00B868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liquidator is answerable to the Master who, in turn</w:t>
      </w:r>
      <w:r w:rsidR="00D6562C">
        <w:rPr>
          <w:rFonts w:ascii="Times New Roman" w:hAnsi="Times New Roman" w:cs="Times New Roman"/>
          <w:sz w:val="24"/>
          <w:szCs w:val="24"/>
        </w:rPr>
        <w:t>,</w:t>
      </w:r>
      <w:r>
        <w:rPr>
          <w:rFonts w:ascii="Times New Roman" w:hAnsi="Times New Roman" w:cs="Times New Roman"/>
          <w:sz w:val="24"/>
          <w:szCs w:val="24"/>
        </w:rPr>
        <w:t xml:space="preserve"> is answerable to the court. Both the liquidator and the master are officers of the court. They are, as such, enjoined to be always clear and transparent in the manner that they deal with cases which parties bring before them for determination. Anything which they do without transparency and/or accountability does, at the end of the day, </w:t>
      </w:r>
      <w:r w:rsidR="00484A37">
        <w:rPr>
          <w:rFonts w:ascii="Times New Roman" w:hAnsi="Times New Roman" w:cs="Times New Roman"/>
          <w:sz w:val="24"/>
          <w:szCs w:val="24"/>
        </w:rPr>
        <w:t>impact negatively on the country’s system of justice delivery</w:t>
      </w:r>
      <w:r>
        <w:rPr>
          <w:rFonts w:ascii="Times New Roman" w:hAnsi="Times New Roman" w:cs="Times New Roman"/>
          <w:sz w:val="24"/>
          <w:szCs w:val="24"/>
        </w:rPr>
        <w:t xml:space="preserve">. The current is a case </w:t>
      </w:r>
      <w:r w:rsidR="00484A37">
        <w:rPr>
          <w:rFonts w:ascii="Times New Roman" w:hAnsi="Times New Roman" w:cs="Times New Roman"/>
          <w:sz w:val="24"/>
          <w:szCs w:val="24"/>
        </w:rPr>
        <w:t>where</w:t>
      </w:r>
      <w:r>
        <w:rPr>
          <w:rFonts w:ascii="Times New Roman" w:hAnsi="Times New Roman" w:cs="Times New Roman"/>
          <w:sz w:val="24"/>
          <w:szCs w:val="24"/>
        </w:rPr>
        <w:t xml:space="preserve"> no court properly constituted </w:t>
      </w:r>
      <w:r w:rsidR="004F6F9C">
        <w:rPr>
          <w:rFonts w:ascii="Times New Roman" w:hAnsi="Times New Roman" w:cs="Times New Roman"/>
          <w:sz w:val="24"/>
          <w:szCs w:val="24"/>
        </w:rPr>
        <w:t>would</w:t>
      </w:r>
      <w:r>
        <w:rPr>
          <w:rFonts w:ascii="Times New Roman" w:hAnsi="Times New Roman" w:cs="Times New Roman"/>
          <w:sz w:val="24"/>
          <w:szCs w:val="24"/>
        </w:rPr>
        <w:t xml:space="preserve"> condone let alone accept</w:t>
      </w:r>
      <w:r w:rsidR="004F6F9C">
        <w:rPr>
          <w:rFonts w:ascii="Times New Roman" w:hAnsi="Times New Roman" w:cs="Times New Roman"/>
          <w:sz w:val="24"/>
          <w:szCs w:val="24"/>
        </w:rPr>
        <w:t xml:space="preserve"> what the liquidator did</w:t>
      </w:r>
      <w:r>
        <w:rPr>
          <w:rFonts w:ascii="Times New Roman" w:hAnsi="Times New Roman" w:cs="Times New Roman"/>
          <w:sz w:val="24"/>
          <w:szCs w:val="24"/>
        </w:rPr>
        <w:t xml:space="preserve">.  </w:t>
      </w:r>
      <w:r w:rsidR="004F6F9C">
        <w:rPr>
          <w:rFonts w:ascii="Times New Roman" w:hAnsi="Times New Roman" w:cs="Times New Roman"/>
          <w:sz w:val="24"/>
          <w:szCs w:val="24"/>
        </w:rPr>
        <w:t>He failed dismally to handle the issue which related to the property which is the subject of this counter-application in an impartial manner.</w:t>
      </w:r>
      <w:r>
        <w:rPr>
          <w:rFonts w:ascii="Times New Roman" w:hAnsi="Times New Roman" w:cs="Times New Roman"/>
          <w:sz w:val="24"/>
          <w:szCs w:val="24"/>
        </w:rPr>
        <w:t xml:space="preserve"> </w:t>
      </w:r>
    </w:p>
    <w:p w:rsidR="00B86871" w:rsidRDefault="00B86871" w:rsidP="00B868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court has considered all the circumstances of the counter-application. It is satisfied that the trust proved its case on a balance of probabilities. The trust’s counter-application is</w:t>
      </w:r>
      <w:r w:rsidR="00484A37">
        <w:rPr>
          <w:rFonts w:ascii="Times New Roman" w:hAnsi="Times New Roman" w:cs="Times New Roman"/>
          <w:sz w:val="24"/>
          <w:szCs w:val="24"/>
        </w:rPr>
        <w:t>,</w:t>
      </w:r>
      <w:r>
        <w:rPr>
          <w:rFonts w:ascii="Times New Roman" w:hAnsi="Times New Roman" w:cs="Times New Roman"/>
          <w:sz w:val="24"/>
          <w:szCs w:val="24"/>
        </w:rPr>
        <w:t xml:space="preserve"> accordingly, granted with costs.     </w:t>
      </w:r>
    </w:p>
    <w:p w:rsidR="00B86871" w:rsidRDefault="00B86871" w:rsidP="00B86871">
      <w:pPr>
        <w:spacing w:after="0" w:line="360" w:lineRule="auto"/>
        <w:jc w:val="both"/>
        <w:rPr>
          <w:rFonts w:ascii="Times New Roman" w:hAnsi="Times New Roman" w:cs="Times New Roman"/>
          <w:sz w:val="24"/>
          <w:szCs w:val="24"/>
        </w:rPr>
      </w:pPr>
    </w:p>
    <w:p w:rsidR="00B86871" w:rsidRDefault="00B86871" w:rsidP="00B86871">
      <w:pPr>
        <w:spacing w:after="0" w:line="360" w:lineRule="auto"/>
        <w:jc w:val="both"/>
        <w:rPr>
          <w:rFonts w:ascii="Times New Roman" w:hAnsi="Times New Roman" w:cs="Times New Roman"/>
          <w:sz w:val="24"/>
          <w:szCs w:val="24"/>
        </w:rPr>
      </w:pPr>
    </w:p>
    <w:p w:rsidR="00B86871" w:rsidRDefault="00B86871" w:rsidP="00B86871">
      <w:pPr>
        <w:spacing w:after="0" w:line="360" w:lineRule="auto"/>
        <w:jc w:val="both"/>
        <w:rPr>
          <w:rFonts w:ascii="Times New Roman" w:hAnsi="Times New Roman" w:cs="Times New Roman"/>
          <w:sz w:val="24"/>
          <w:szCs w:val="24"/>
        </w:rPr>
      </w:pPr>
    </w:p>
    <w:p w:rsidR="00B86871" w:rsidRDefault="00B86871" w:rsidP="00B8687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Ushewokunze Law Chambers</w:t>
      </w:r>
      <w:r>
        <w:rPr>
          <w:rFonts w:ascii="Times New Roman" w:hAnsi="Times New Roman" w:cs="Times New Roman"/>
          <w:sz w:val="24"/>
          <w:szCs w:val="24"/>
        </w:rPr>
        <w:t>, applicant’s legal practitioners</w:t>
      </w:r>
    </w:p>
    <w:p w:rsidR="00B86871" w:rsidRPr="00BC6D7B" w:rsidRDefault="00B86871" w:rsidP="00B8687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Wintertons</w:t>
      </w:r>
      <w:r>
        <w:rPr>
          <w:rFonts w:ascii="Times New Roman" w:hAnsi="Times New Roman" w:cs="Times New Roman"/>
          <w:sz w:val="24"/>
          <w:szCs w:val="24"/>
        </w:rPr>
        <w:t>, 1</w:t>
      </w:r>
      <w:r w:rsidRPr="00BC6D7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r>
        <w:rPr>
          <w:rFonts w:ascii="Times New Roman" w:hAnsi="Times New Roman" w:cs="Times New Roman"/>
          <w:i/>
          <w:sz w:val="24"/>
          <w:szCs w:val="24"/>
        </w:rPr>
        <w:t xml:space="preserve"> </w:t>
      </w:r>
    </w:p>
    <w:p w:rsidR="00CF5BF6" w:rsidRDefault="00CF5BF6" w:rsidP="00CF5BF6">
      <w:pPr>
        <w:pStyle w:val="ListParagraph"/>
        <w:spacing w:after="0" w:line="360" w:lineRule="auto"/>
        <w:ind w:left="0" w:firstLine="720"/>
        <w:jc w:val="both"/>
        <w:rPr>
          <w:rFonts w:ascii="Times New Roman" w:hAnsi="Times New Roman" w:cs="Times New Roman"/>
          <w:sz w:val="24"/>
          <w:szCs w:val="24"/>
        </w:rPr>
      </w:pPr>
    </w:p>
    <w:p w:rsidR="00382867" w:rsidRDefault="00382867" w:rsidP="00382867">
      <w:pPr>
        <w:pStyle w:val="ListParagraph"/>
        <w:spacing w:after="0" w:line="360" w:lineRule="auto"/>
        <w:ind w:left="0" w:firstLine="720"/>
        <w:jc w:val="both"/>
        <w:rPr>
          <w:rFonts w:ascii="Times New Roman" w:hAnsi="Times New Roman" w:cs="Times New Roman"/>
          <w:sz w:val="24"/>
          <w:szCs w:val="24"/>
        </w:rPr>
      </w:pPr>
    </w:p>
    <w:p w:rsidR="007E7729" w:rsidRDefault="007E7729" w:rsidP="00207F7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816322" w:rsidRPr="00816322" w:rsidRDefault="00816322" w:rsidP="00816322">
      <w:pPr>
        <w:pStyle w:val="ListParagraph"/>
        <w:spacing w:after="0" w:line="360" w:lineRule="auto"/>
        <w:ind w:left="0" w:firstLine="720"/>
        <w:jc w:val="both"/>
        <w:rPr>
          <w:rFonts w:ascii="Times New Roman" w:hAnsi="Times New Roman" w:cs="Times New Roman"/>
          <w:sz w:val="24"/>
          <w:szCs w:val="24"/>
        </w:rPr>
      </w:pPr>
    </w:p>
    <w:p w:rsidR="00D553B5" w:rsidRDefault="00D553B5" w:rsidP="008728EB">
      <w:pPr>
        <w:pStyle w:val="ListParagraph"/>
        <w:spacing w:after="0" w:line="240" w:lineRule="auto"/>
        <w:ind w:left="0" w:firstLine="720"/>
        <w:jc w:val="both"/>
        <w:rPr>
          <w:rFonts w:ascii="Times New Roman" w:hAnsi="Times New Roman" w:cs="Times New Roman"/>
        </w:rPr>
      </w:pPr>
    </w:p>
    <w:p w:rsidR="00D553B5" w:rsidRDefault="00D553B5" w:rsidP="008728EB">
      <w:pPr>
        <w:pStyle w:val="ListParagraph"/>
        <w:spacing w:after="0" w:line="240" w:lineRule="auto"/>
        <w:ind w:left="0" w:firstLine="720"/>
        <w:jc w:val="both"/>
        <w:rPr>
          <w:rFonts w:ascii="Times New Roman" w:hAnsi="Times New Roman" w:cs="Times New Roman"/>
        </w:rPr>
      </w:pPr>
    </w:p>
    <w:p w:rsidR="00DB73B9" w:rsidRPr="008728EB" w:rsidRDefault="00DB73B9" w:rsidP="008728EB">
      <w:pPr>
        <w:pStyle w:val="ListParagraph"/>
        <w:spacing w:after="0" w:line="240" w:lineRule="auto"/>
        <w:ind w:left="0" w:firstLine="720"/>
        <w:jc w:val="both"/>
        <w:rPr>
          <w:rFonts w:ascii="Times New Roman" w:hAnsi="Times New Roman" w:cs="Times New Roman"/>
        </w:rPr>
      </w:pPr>
    </w:p>
    <w:p w:rsidR="00F21B6E" w:rsidRDefault="00F21B6E" w:rsidP="00CC5B33">
      <w:pPr>
        <w:pStyle w:val="ListParagraph"/>
        <w:spacing w:after="0" w:line="360" w:lineRule="auto"/>
        <w:ind w:left="0" w:firstLine="720"/>
        <w:jc w:val="both"/>
        <w:rPr>
          <w:rFonts w:ascii="Times New Roman" w:hAnsi="Times New Roman" w:cs="Times New Roman"/>
          <w:sz w:val="24"/>
          <w:szCs w:val="24"/>
        </w:rPr>
      </w:pPr>
    </w:p>
    <w:p w:rsidR="0088235B" w:rsidRPr="00104F66" w:rsidRDefault="0088235B" w:rsidP="001B73A6">
      <w:pPr>
        <w:pStyle w:val="ListParagraph"/>
        <w:spacing w:after="0" w:line="360" w:lineRule="auto"/>
        <w:ind w:left="0" w:firstLine="720"/>
        <w:jc w:val="both"/>
        <w:rPr>
          <w:rFonts w:ascii="Times New Roman" w:hAnsi="Times New Roman" w:cs="Times New Roman"/>
          <w:sz w:val="24"/>
          <w:szCs w:val="24"/>
        </w:rPr>
      </w:pPr>
    </w:p>
    <w:sectPr w:rsidR="0088235B" w:rsidRPr="00104F6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A3" w:rsidRDefault="00B167A3" w:rsidP="00DA758E">
      <w:pPr>
        <w:spacing w:after="0" w:line="240" w:lineRule="auto"/>
      </w:pPr>
      <w:r>
        <w:separator/>
      </w:r>
    </w:p>
  </w:endnote>
  <w:endnote w:type="continuationSeparator" w:id="0">
    <w:p w:rsidR="00B167A3" w:rsidRDefault="00B167A3" w:rsidP="00DA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A3" w:rsidRDefault="00B167A3" w:rsidP="00DA758E">
      <w:pPr>
        <w:spacing w:after="0" w:line="240" w:lineRule="auto"/>
      </w:pPr>
      <w:r>
        <w:separator/>
      </w:r>
    </w:p>
  </w:footnote>
  <w:footnote w:type="continuationSeparator" w:id="0">
    <w:p w:rsidR="00B167A3" w:rsidRDefault="00B167A3" w:rsidP="00DA7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975616"/>
      <w:docPartObj>
        <w:docPartGallery w:val="Page Numbers (Top of Page)"/>
        <w:docPartUnique/>
      </w:docPartObj>
    </w:sdtPr>
    <w:sdtEndPr>
      <w:rPr>
        <w:noProof/>
      </w:rPr>
    </w:sdtEndPr>
    <w:sdtContent>
      <w:p w:rsidR="00DA758E" w:rsidRDefault="00DA758E">
        <w:pPr>
          <w:pStyle w:val="Header"/>
          <w:jc w:val="right"/>
          <w:rPr>
            <w:noProof/>
          </w:rPr>
        </w:pPr>
        <w:r>
          <w:fldChar w:fldCharType="begin"/>
        </w:r>
        <w:r>
          <w:instrText xml:space="preserve"> PAGE   \* MERGEFORMAT </w:instrText>
        </w:r>
        <w:r>
          <w:fldChar w:fldCharType="separate"/>
        </w:r>
        <w:r w:rsidR="00F2581F">
          <w:rPr>
            <w:noProof/>
          </w:rPr>
          <w:t>1</w:t>
        </w:r>
        <w:r>
          <w:rPr>
            <w:noProof/>
          </w:rPr>
          <w:fldChar w:fldCharType="end"/>
        </w:r>
      </w:p>
      <w:p w:rsidR="00DA758E" w:rsidRDefault="00DA758E">
        <w:pPr>
          <w:pStyle w:val="Header"/>
          <w:jc w:val="right"/>
          <w:rPr>
            <w:noProof/>
          </w:rPr>
        </w:pPr>
        <w:r>
          <w:rPr>
            <w:noProof/>
          </w:rPr>
          <w:t>HH</w:t>
        </w:r>
        <w:r w:rsidR="00EC5EE4">
          <w:rPr>
            <w:noProof/>
          </w:rPr>
          <w:t xml:space="preserve"> 572-16</w:t>
        </w:r>
      </w:p>
      <w:p w:rsidR="00DA758E" w:rsidRDefault="00DA758E">
        <w:pPr>
          <w:pStyle w:val="Header"/>
          <w:jc w:val="right"/>
        </w:pPr>
        <w:r>
          <w:rPr>
            <w:noProof/>
          </w:rPr>
          <w:t>HC 801/16</w:t>
        </w:r>
      </w:p>
    </w:sdtContent>
  </w:sdt>
  <w:p w:rsidR="00DA758E" w:rsidRDefault="00DA7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25F"/>
    <w:multiLevelType w:val="hybridMultilevel"/>
    <w:tmpl w:val="86226C32"/>
    <w:lvl w:ilvl="0" w:tplc="1FFA2F4A">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BA432B6"/>
    <w:multiLevelType w:val="hybridMultilevel"/>
    <w:tmpl w:val="4F6AE754"/>
    <w:lvl w:ilvl="0" w:tplc="151C332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BC41797"/>
    <w:multiLevelType w:val="hybridMultilevel"/>
    <w:tmpl w:val="50AE82C6"/>
    <w:lvl w:ilvl="0" w:tplc="72DE511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0BDB091C"/>
    <w:multiLevelType w:val="hybridMultilevel"/>
    <w:tmpl w:val="CF5816C2"/>
    <w:lvl w:ilvl="0" w:tplc="5DEA5AE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01E7947"/>
    <w:multiLevelType w:val="hybridMultilevel"/>
    <w:tmpl w:val="9C9C87DE"/>
    <w:lvl w:ilvl="0" w:tplc="28D8635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nsid w:val="114B1BC1"/>
    <w:multiLevelType w:val="hybridMultilevel"/>
    <w:tmpl w:val="3098BBCA"/>
    <w:lvl w:ilvl="0" w:tplc="C3F8871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1F826FA3"/>
    <w:multiLevelType w:val="hybridMultilevel"/>
    <w:tmpl w:val="A2E6C59A"/>
    <w:lvl w:ilvl="0" w:tplc="3580D114">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240F0AFC"/>
    <w:multiLevelType w:val="hybridMultilevel"/>
    <w:tmpl w:val="D1AAFC7E"/>
    <w:lvl w:ilvl="0" w:tplc="9F621B9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32034BCC"/>
    <w:multiLevelType w:val="hybridMultilevel"/>
    <w:tmpl w:val="6974E670"/>
    <w:lvl w:ilvl="0" w:tplc="3392B08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43765078"/>
    <w:multiLevelType w:val="hybridMultilevel"/>
    <w:tmpl w:val="4BCA0DFC"/>
    <w:lvl w:ilvl="0" w:tplc="4CFCB65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496B6489"/>
    <w:multiLevelType w:val="hybridMultilevel"/>
    <w:tmpl w:val="93968778"/>
    <w:lvl w:ilvl="0" w:tplc="B696507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nsid w:val="5917090F"/>
    <w:multiLevelType w:val="hybridMultilevel"/>
    <w:tmpl w:val="F5A66F4A"/>
    <w:lvl w:ilvl="0" w:tplc="95CAE2A2">
      <w:start w:val="1"/>
      <w:numFmt w:val="lowerRoman"/>
      <w:lvlText w:val="(%1)"/>
      <w:lvlJc w:val="left"/>
      <w:pPr>
        <w:ind w:left="1440" w:hanging="720"/>
      </w:pPr>
      <w:rPr>
        <w:rFonts w:hint="default"/>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72696B2E"/>
    <w:multiLevelType w:val="hybridMultilevel"/>
    <w:tmpl w:val="E450688A"/>
    <w:lvl w:ilvl="0" w:tplc="051088B4">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nsid w:val="7E1C5D6E"/>
    <w:multiLevelType w:val="hybridMultilevel"/>
    <w:tmpl w:val="57560CB6"/>
    <w:lvl w:ilvl="0" w:tplc="21947D6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7F8C643B"/>
    <w:multiLevelType w:val="hybridMultilevel"/>
    <w:tmpl w:val="F9E6A834"/>
    <w:lvl w:ilvl="0" w:tplc="826A95F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13"/>
  </w:num>
  <w:num w:numId="3">
    <w:abstractNumId w:val="5"/>
  </w:num>
  <w:num w:numId="4">
    <w:abstractNumId w:val="8"/>
  </w:num>
  <w:num w:numId="5">
    <w:abstractNumId w:val="14"/>
  </w:num>
  <w:num w:numId="6">
    <w:abstractNumId w:val="12"/>
  </w:num>
  <w:num w:numId="7">
    <w:abstractNumId w:val="7"/>
  </w:num>
  <w:num w:numId="8">
    <w:abstractNumId w:val="9"/>
  </w:num>
  <w:num w:numId="9">
    <w:abstractNumId w:val="3"/>
  </w:num>
  <w:num w:numId="10">
    <w:abstractNumId w:val="0"/>
  </w:num>
  <w:num w:numId="11">
    <w:abstractNumId w:val="10"/>
  </w:num>
  <w:num w:numId="12">
    <w:abstractNumId w:val="2"/>
  </w:num>
  <w:num w:numId="13">
    <w:abstractNumId w:val="6"/>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9E"/>
    <w:rsid w:val="00033B5B"/>
    <w:rsid w:val="00064D60"/>
    <w:rsid w:val="0008687C"/>
    <w:rsid w:val="00095DB8"/>
    <w:rsid w:val="000A4AA7"/>
    <w:rsid w:val="000B3B2B"/>
    <w:rsid w:val="00104F66"/>
    <w:rsid w:val="00134C2D"/>
    <w:rsid w:val="00154779"/>
    <w:rsid w:val="00161CF8"/>
    <w:rsid w:val="001804F3"/>
    <w:rsid w:val="001B73A6"/>
    <w:rsid w:val="001D7614"/>
    <w:rsid w:val="00207F7F"/>
    <w:rsid w:val="00213F76"/>
    <w:rsid w:val="002606EC"/>
    <w:rsid w:val="00271B01"/>
    <w:rsid w:val="0029317A"/>
    <w:rsid w:val="002B08AE"/>
    <w:rsid w:val="002E7D50"/>
    <w:rsid w:val="003121EA"/>
    <w:rsid w:val="003628D7"/>
    <w:rsid w:val="00382867"/>
    <w:rsid w:val="00451CF4"/>
    <w:rsid w:val="00454B0B"/>
    <w:rsid w:val="00475463"/>
    <w:rsid w:val="00484A37"/>
    <w:rsid w:val="004A5300"/>
    <w:rsid w:val="004B7B31"/>
    <w:rsid w:val="004F12A8"/>
    <w:rsid w:val="004F6F9C"/>
    <w:rsid w:val="0056626D"/>
    <w:rsid w:val="00573BC0"/>
    <w:rsid w:val="005C7B64"/>
    <w:rsid w:val="006227AC"/>
    <w:rsid w:val="00652DBD"/>
    <w:rsid w:val="00676213"/>
    <w:rsid w:val="006A4F77"/>
    <w:rsid w:val="006B2DD8"/>
    <w:rsid w:val="006E7AAF"/>
    <w:rsid w:val="0071262E"/>
    <w:rsid w:val="00736444"/>
    <w:rsid w:val="00736F01"/>
    <w:rsid w:val="00755472"/>
    <w:rsid w:val="00795016"/>
    <w:rsid w:val="007B594F"/>
    <w:rsid w:val="007D7510"/>
    <w:rsid w:val="007E7729"/>
    <w:rsid w:val="00805BF6"/>
    <w:rsid w:val="00816322"/>
    <w:rsid w:val="00855A66"/>
    <w:rsid w:val="00855BD4"/>
    <w:rsid w:val="008728EB"/>
    <w:rsid w:val="0088235B"/>
    <w:rsid w:val="008A338B"/>
    <w:rsid w:val="009604EA"/>
    <w:rsid w:val="009649BA"/>
    <w:rsid w:val="00981D3A"/>
    <w:rsid w:val="009A37CB"/>
    <w:rsid w:val="009A696D"/>
    <w:rsid w:val="009B5E15"/>
    <w:rsid w:val="00A03EE7"/>
    <w:rsid w:val="00A94FEB"/>
    <w:rsid w:val="00AB4EDD"/>
    <w:rsid w:val="00AB6941"/>
    <w:rsid w:val="00B167A3"/>
    <w:rsid w:val="00B25C41"/>
    <w:rsid w:val="00B34E03"/>
    <w:rsid w:val="00B86871"/>
    <w:rsid w:val="00B93051"/>
    <w:rsid w:val="00BB73F4"/>
    <w:rsid w:val="00BC1772"/>
    <w:rsid w:val="00BD29DE"/>
    <w:rsid w:val="00BF087F"/>
    <w:rsid w:val="00C10390"/>
    <w:rsid w:val="00CA1914"/>
    <w:rsid w:val="00CC5B33"/>
    <w:rsid w:val="00CE4ED7"/>
    <w:rsid w:val="00CE53C1"/>
    <w:rsid w:val="00CF500D"/>
    <w:rsid w:val="00CF5222"/>
    <w:rsid w:val="00CF5BF6"/>
    <w:rsid w:val="00D553B5"/>
    <w:rsid w:val="00D6562C"/>
    <w:rsid w:val="00DA758E"/>
    <w:rsid w:val="00DB73B9"/>
    <w:rsid w:val="00DF693D"/>
    <w:rsid w:val="00E1666D"/>
    <w:rsid w:val="00E24A60"/>
    <w:rsid w:val="00E946BA"/>
    <w:rsid w:val="00EC5EE4"/>
    <w:rsid w:val="00EC631C"/>
    <w:rsid w:val="00F15D37"/>
    <w:rsid w:val="00F21B6E"/>
    <w:rsid w:val="00F2581F"/>
    <w:rsid w:val="00F40030"/>
    <w:rsid w:val="00F46F72"/>
    <w:rsid w:val="00F5245A"/>
    <w:rsid w:val="00F623DA"/>
    <w:rsid w:val="00F63AFA"/>
    <w:rsid w:val="00F6709E"/>
    <w:rsid w:val="00FA0FE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24A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4A6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04F66"/>
    <w:pPr>
      <w:ind w:left="720"/>
      <w:contextualSpacing/>
    </w:pPr>
  </w:style>
  <w:style w:type="paragraph" w:styleId="Header">
    <w:name w:val="header"/>
    <w:basedOn w:val="Normal"/>
    <w:link w:val="HeaderChar"/>
    <w:uiPriority w:val="99"/>
    <w:unhideWhenUsed/>
    <w:rsid w:val="00DA7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58E"/>
  </w:style>
  <w:style w:type="paragraph" w:styleId="Footer">
    <w:name w:val="footer"/>
    <w:basedOn w:val="Normal"/>
    <w:link w:val="FooterChar"/>
    <w:uiPriority w:val="99"/>
    <w:unhideWhenUsed/>
    <w:rsid w:val="00DA7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58E"/>
  </w:style>
  <w:style w:type="paragraph" w:styleId="BalloonText">
    <w:name w:val="Balloon Text"/>
    <w:basedOn w:val="Normal"/>
    <w:link w:val="BalloonTextChar"/>
    <w:uiPriority w:val="99"/>
    <w:semiHidden/>
    <w:unhideWhenUsed/>
    <w:rsid w:val="001D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24A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4A6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04F66"/>
    <w:pPr>
      <w:ind w:left="720"/>
      <w:contextualSpacing/>
    </w:pPr>
  </w:style>
  <w:style w:type="paragraph" w:styleId="Header">
    <w:name w:val="header"/>
    <w:basedOn w:val="Normal"/>
    <w:link w:val="HeaderChar"/>
    <w:uiPriority w:val="99"/>
    <w:unhideWhenUsed/>
    <w:rsid w:val="00DA7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58E"/>
  </w:style>
  <w:style w:type="paragraph" w:styleId="Footer">
    <w:name w:val="footer"/>
    <w:basedOn w:val="Normal"/>
    <w:link w:val="FooterChar"/>
    <w:uiPriority w:val="99"/>
    <w:unhideWhenUsed/>
    <w:rsid w:val="00DA7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58E"/>
  </w:style>
  <w:style w:type="paragraph" w:styleId="BalloonText">
    <w:name w:val="Balloon Text"/>
    <w:basedOn w:val="Normal"/>
    <w:link w:val="BalloonTextChar"/>
    <w:uiPriority w:val="99"/>
    <w:semiHidden/>
    <w:unhideWhenUsed/>
    <w:rsid w:val="001D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2016-09-29T06:42:00Z</cp:lastPrinted>
  <dcterms:created xsi:type="dcterms:W3CDTF">2016-10-03T11:29:00Z</dcterms:created>
  <dcterms:modified xsi:type="dcterms:W3CDTF">2016-10-03T11:29:00Z</dcterms:modified>
</cp:coreProperties>
</file>