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04" w:rsidRDefault="00FF77F5" w:rsidP="00FF77F5">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FIRST MUTUAL INVESTMENT (PRIVATE) LIMITED</w:t>
      </w:r>
    </w:p>
    <w:p w:rsidR="00FF77F5" w:rsidRDefault="00FF77F5" w:rsidP="00FF77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FF77F5" w:rsidRDefault="00FF77F5" w:rsidP="00FF77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ROUSSALAND ENTERPRISES (PRIVATE) LIMITED t/a</w:t>
      </w:r>
    </w:p>
    <w:p w:rsidR="00FF77F5" w:rsidRDefault="00FF77F5" w:rsidP="00FF77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THIRD WORLD BAZZAR</w:t>
      </w:r>
    </w:p>
    <w:p w:rsidR="00FF77F5" w:rsidRDefault="00FF77F5" w:rsidP="00FF77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FF77F5" w:rsidRDefault="00FF77F5" w:rsidP="00FF77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SMITH C. OKONKWO</w:t>
      </w:r>
    </w:p>
    <w:p w:rsidR="00FF77F5" w:rsidRDefault="00FF77F5" w:rsidP="00FF77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FF77F5" w:rsidRDefault="00FF77F5" w:rsidP="00FF77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DADIRAI V.T. OKONKWO</w:t>
      </w:r>
    </w:p>
    <w:p w:rsidR="00FF77F5" w:rsidRDefault="00FF77F5" w:rsidP="00FF77F5">
      <w:pPr>
        <w:spacing w:after="0" w:line="240" w:lineRule="auto"/>
        <w:jc w:val="both"/>
        <w:rPr>
          <w:rFonts w:ascii="Times New Roman" w:hAnsi="Times New Roman" w:cs="Times New Roman"/>
          <w:sz w:val="24"/>
          <w:szCs w:val="24"/>
        </w:rPr>
      </w:pPr>
    </w:p>
    <w:p w:rsidR="00FF77F5" w:rsidRDefault="00FF77F5" w:rsidP="00FF77F5">
      <w:pPr>
        <w:spacing w:after="0" w:line="240" w:lineRule="auto"/>
        <w:jc w:val="both"/>
        <w:rPr>
          <w:rFonts w:ascii="Times New Roman" w:hAnsi="Times New Roman" w:cs="Times New Roman"/>
          <w:sz w:val="24"/>
          <w:szCs w:val="24"/>
        </w:rPr>
      </w:pPr>
    </w:p>
    <w:p w:rsidR="00FF77F5" w:rsidRDefault="00FF77F5" w:rsidP="00FF77F5">
      <w:pPr>
        <w:spacing w:after="0" w:line="240" w:lineRule="auto"/>
        <w:jc w:val="both"/>
        <w:rPr>
          <w:rFonts w:ascii="Times New Roman" w:hAnsi="Times New Roman" w:cs="Times New Roman"/>
          <w:sz w:val="24"/>
          <w:szCs w:val="24"/>
        </w:rPr>
      </w:pPr>
    </w:p>
    <w:p w:rsidR="00FF77F5" w:rsidRDefault="00FF77F5" w:rsidP="00FF77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FF77F5" w:rsidRDefault="00FF77F5" w:rsidP="00FF77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MANGOTA J</w:t>
      </w:r>
    </w:p>
    <w:p w:rsidR="00FF77F5" w:rsidRDefault="00FF77F5" w:rsidP="00FF77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22 February,</w:t>
      </w:r>
      <w:r w:rsidR="00487F68">
        <w:rPr>
          <w:rFonts w:ascii="Times New Roman" w:hAnsi="Times New Roman" w:cs="Times New Roman"/>
          <w:sz w:val="24"/>
          <w:szCs w:val="24"/>
        </w:rPr>
        <w:t xml:space="preserve"> and 15 May,</w:t>
      </w:r>
      <w:r>
        <w:rPr>
          <w:rFonts w:ascii="Times New Roman" w:hAnsi="Times New Roman" w:cs="Times New Roman"/>
          <w:sz w:val="24"/>
          <w:szCs w:val="24"/>
        </w:rPr>
        <w:t xml:space="preserve"> 2017</w:t>
      </w:r>
    </w:p>
    <w:p w:rsidR="00FF77F5" w:rsidRDefault="00FF77F5" w:rsidP="00FF77F5">
      <w:pPr>
        <w:spacing w:after="0" w:line="240" w:lineRule="auto"/>
        <w:jc w:val="both"/>
        <w:rPr>
          <w:rFonts w:ascii="Times New Roman" w:hAnsi="Times New Roman" w:cs="Times New Roman"/>
          <w:sz w:val="24"/>
          <w:szCs w:val="24"/>
        </w:rPr>
      </w:pPr>
    </w:p>
    <w:p w:rsidR="00FF77F5" w:rsidRDefault="00FF77F5" w:rsidP="00FF77F5">
      <w:pPr>
        <w:spacing w:after="0" w:line="240" w:lineRule="auto"/>
        <w:jc w:val="both"/>
        <w:rPr>
          <w:rFonts w:ascii="Times New Roman" w:hAnsi="Times New Roman" w:cs="Times New Roman"/>
          <w:sz w:val="24"/>
          <w:szCs w:val="24"/>
        </w:rPr>
      </w:pPr>
    </w:p>
    <w:p w:rsidR="00FF77F5" w:rsidRDefault="00FF77F5" w:rsidP="00FF77F5">
      <w:pPr>
        <w:spacing w:after="0" w:line="240" w:lineRule="auto"/>
        <w:jc w:val="both"/>
        <w:rPr>
          <w:rFonts w:ascii="Times New Roman" w:hAnsi="Times New Roman" w:cs="Times New Roman"/>
          <w:sz w:val="24"/>
          <w:szCs w:val="24"/>
        </w:rPr>
      </w:pPr>
    </w:p>
    <w:p w:rsidR="00FF77F5" w:rsidRDefault="00FF77F5" w:rsidP="00FF77F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Matter</w:t>
      </w:r>
    </w:p>
    <w:p w:rsidR="00FF77F5" w:rsidRDefault="00FF77F5" w:rsidP="00FF77F5">
      <w:pPr>
        <w:spacing w:after="0" w:line="240" w:lineRule="auto"/>
        <w:jc w:val="both"/>
        <w:rPr>
          <w:rFonts w:ascii="Times New Roman" w:hAnsi="Times New Roman" w:cs="Times New Roman"/>
          <w:b/>
          <w:sz w:val="24"/>
          <w:szCs w:val="24"/>
        </w:rPr>
      </w:pPr>
    </w:p>
    <w:p w:rsidR="00FF77F5" w:rsidRDefault="00FF77F5" w:rsidP="00FF77F5">
      <w:pPr>
        <w:spacing w:after="0" w:line="240" w:lineRule="auto"/>
        <w:jc w:val="both"/>
        <w:rPr>
          <w:rFonts w:ascii="Times New Roman" w:hAnsi="Times New Roman" w:cs="Times New Roman"/>
          <w:b/>
          <w:sz w:val="24"/>
          <w:szCs w:val="24"/>
        </w:rPr>
      </w:pPr>
    </w:p>
    <w:p w:rsidR="00FF77F5" w:rsidRDefault="0071577C" w:rsidP="00FF77F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Chagudumba, </w:t>
      </w:r>
      <w:r w:rsidR="00B548D2">
        <w:rPr>
          <w:rFonts w:ascii="Times New Roman" w:hAnsi="Times New Roman" w:cs="Times New Roman"/>
          <w:sz w:val="24"/>
          <w:szCs w:val="24"/>
        </w:rPr>
        <w:t>for the applicant</w:t>
      </w:r>
    </w:p>
    <w:p w:rsidR="00FF77F5" w:rsidRDefault="0071577C" w:rsidP="00FF77F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K Gama, </w:t>
      </w:r>
      <w:r w:rsidR="00B548D2">
        <w:rPr>
          <w:rFonts w:ascii="Times New Roman" w:hAnsi="Times New Roman" w:cs="Times New Roman"/>
          <w:sz w:val="24"/>
          <w:szCs w:val="24"/>
        </w:rPr>
        <w:t>for the respondents</w:t>
      </w:r>
    </w:p>
    <w:p w:rsidR="00B548D2" w:rsidRDefault="00B548D2" w:rsidP="00FF77F5">
      <w:pPr>
        <w:spacing w:after="0" w:line="240" w:lineRule="auto"/>
        <w:jc w:val="both"/>
        <w:rPr>
          <w:rFonts w:ascii="Times New Roman" w:hAnsi="Times New Roman" w:cs="Times New Roman"/>
          <w:sz w:val="24"/>
          <w:szCs w:val="24"/>
        </w:rPr>
      </w:pPr>
    </w:p>
    <w:p w:rsidR="00FF77F5" w:rsidRDefault="00FF77F5" w:rsidP="00FF77F5">
      <w:pPr>
        <w:spacing w:after="0" w:line="240" w:lineRule="auto"/>
        <w:jc w:val="both"/>
        <w:rPr>
          <w:rFonts w:ascii="Times New Roman" w:hAnsi="Times New Roman" w:cs="Times New Roman"/>
          <w:sz w:val="24"/>
          <w:szCs w:val="24"/>
        </w:rPr>
      </w:pPr>
    </w:p>
    <w:p w:rsidR="00FF77F5" w:rsidRDefault="00FF77F5" w:rsidP="00FF77F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FF77F5">
        <w:rPr>
          <w:rFonts w:ascii="Times New Roman" w:hAnsi="Times New Roman" w:cs="Times New Roman"/>
          <w:sz w:val="24"/>
          <w:szCs w:val="24"/>
        </w:rPr>
        <w:t>MANGOTA J: Losely defined, a lease i</w:t>
      </w:r>
      <w:r w:rsidR="003F5B26">
        <w:rPr>
          <w:rFonts w:ascii="Times New Roman" w:hAnsi="Times New Roman" w:cs="Times New Roman"/>
          <w:sz w:val="24"/>
          <w:szCs w:val="24"/>
        </w:rPr>
        <w:t>s</w:t>
      </w:r>
      <w:r w:rsidRPr="00FF77F5">
        <w:rPr>
          <w:rFonts w:ascii="Times New Roman" w:hAnsi="Times New Roman" w:cs="Times New Roman"/>
          <w:sz w:val="24"/>
          <w:szCs w:val="24"/>
        </w:rPr>
        <w:t xml:space="preserve"> an agreement in which one party (lessor) offers his property</w:t>
      </w:r>
      <w:r>
        <w:rPr>
          <w:rFonts w:ascii="Times New Roman" w:hAnsi="Times New Roman" w:cs="Times New Roman"/>
          <w:b/>
          <w:sz w:val="24"/>
          <w:szCs w:val="24"/>
        </w:rPr>
        <w:t xml:space="preserve"> </w:t>
      </w:r>
      <w:r w:rsidRPr="00FF77F5">
        <w:rPr>
          <w:rFonts w:ascii="Times New Roman" w:hAnsi="Times New Roman" w:cs="Times New Roman"/>
          <w:sz w:val="24"/>
          <w:szCs w:val="24"/>
        </w:rPr>
        <w:t>(</w:t>
      </w:r>
      <w:r>
        <w:rPr>
          <w:rFonts w:ascii="Times New Roman" w:hAnsi="Times New Roman" w:cs="Times New Roman"/>
          <w:sz w:val="24"/>
          <w:szCs w:val="24"/>
        </w:rPr>
        <w:t>subject matter of contract) on hire to another (lessee) for a certain fixed sum of money (rent) which is paid periodically. The lessor-lessee agreement is either written or verbal. Where it is written, its clauses spell out the rights and obligations of the parties and all matters which are ancillary to the contract.</w:t>
      </w:r>
    </w:p>
    <w:p w:rsidR="00E7097C" w:rsidRDefault="00FF77F5" w:rsidP="00FF77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and the first respondent entered into a written lessor-lessee relationship respectively. The first respondent leased from the applicant shop number</w:t>
      </w:r>
      <w:r w:rsidR="007A0899">
        <w:rPr>
          <w:rFonts w:ascii="Times New Roman" w:hAnsi="Times New Roman" w:cs="Times New Roman"/>
          <w:sz w:val="24"/>
          <w:szCs w:val="24"/>
        </w:rPr>
        <w:t xml:space="preserve"> </w:t>
      </w:r>
      <w:r w:rsidR="004D7072">
        <w:rPr>
          <w:rFonts w:ascii="Times New Roman" w:hAnsi="Times New Roman" w:cs="Times New Roman"/>
          <w:sz w:val="24"/>
          <w:szCs w:val="24"/>
        </w:rPr>
        <w:t>13</w:t>
      </w:r>
      <w:r w:rsidR="003F5B26">
        <w:rPr>
          <w:rFonts w:ascii="Times New Roman" w:hAnsi="Times New Roman" w:cs="Times New Roman"/>
          <w:sz w:val="24"/>
          <w:szCs w:val="24"/>
        </w:rPr>
        <w:t>,</w:t>
      </w:r>
      <w:r w:rsidR="004D7072">
        <w:rPr>
          <w:rFonts w:ascii="Times New Roman" w:hAnsi="Times New Roman" w:cs="Times New Roman"/>
          <w:sz w:val="24"/>
          <w:szCs w:val="24"/>
        </w:rPr>
        <w:t xml:space="preserve"> First Mutual Centre, 82-86 Herbert Chitepo Street, Mutare (“the property”). </w:t>
      </w:r>
    </w:p>
    <w:p w:rsidR="001C61F5" w:rsidRDefault="004D7072" w:rsidP="00E709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Clause 1.2 of the </w:t>
      </w:r>
      <w:r w:rsidR="00E7097C">
        <w:rPr>
          <w:rFonts w:ascii="Times New Roman" w:hAnsi="Times New Roman" w:cs="Times New Roman"/>
          <w:sz w:val="24"/>
          <w:szCs w:val="24"/>
        </w:rPr>
        <w:t>l</w:t>
      </w:r>
      <w:r>
        <w:rPr>
          <w:rFonts w:ascii="Times New Roman" w:hAnsi="Times New Roman" w:cs="Times New Roman"/>
          <w:sz w:val="24"/>
          <w:szCs w:val="24"/>
        </w:rPr>
        <w:t>ease stipulates the rent which the first respondent was to pay to the applicant. The second and thir</w:t>
      </w:r>
      <w:r w:rsidR="001C61F5">
        <w:rPr>
          <w:rFonts w:ascii="Times New Roman" w:hAnsi="Times New Roman" w:cs="Times New Roman"/>
          <w:sz w:val="24"/>
          <w:szCs w:val="24"/>
        </w:rPr>
        <w:t xml:space="preserve">d respondents stood as </w:t>
      </w:r>
      <w:r w:rsidR="00847B7E">
        <w:rPr>
          <w:rFonts w:ascii="Times New Roman" w:hAnsi="Times New Roman" w:cs="Times New Roman"/>
          <w:sz w:val="24"/>
          <w:szCs w:val="24"/>
        </w:rPr>
        <w:t>surities</w:t>
      </w:r>
      <w:r w:rsidR="001C61F5">
        <w:rPr>
          <w:rFonts w:ascii="Times New Roman" w:hAnsi="Times New Roman" w:cs="Times New Roman"/>
          <w:sz w:val="24"/>
          <w:szCs w:val="24"/>
        </w:rPr>
        <w:t xml:space="preserve"> and co-principal debtors for the due and punctual payment of the first respondent’s indebtedness to the applicant.</w:t>
      </w:r>
    </w:p>
    <w:p w:rsidR="00013EBB" w:rsidRDefault="001C61F5" w:rsidP="00FF77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parties’ relationship subsisted from September 2010 to February, 2016 when the applicant cancelled the lease. It did so</w:t>
      </w:r>
      <w:r w:rsidR="007A0899">
        <w:rPr>
          <w:rFonts w:ascii="Times New Roman" w:hAnsi="Times New Roman" w:cs="Times New Roman"/>
          <w:sz w:val="24"/>
          <w:szCs w:val="24"/>
        </w:rPr>
        <w:t xml:space="preserve"> </w:t>
      </w:r>
      <w:r>
        <w:rPr>
          <w:rFonts w:ascii="Times New Roman" w:hAnsi="Times New Roman" w:cs="Times New Roman"/>
          <w:sz w:val="24"/>
          <w:szCs w:val="24"/>
        </w:rPr>
        <w:t>on the allegation that the respondent(s) had breached the terms of the lease. It contended that these failed to pay the rent and operating costs as was stipulated in the lease. It alleged that</w:t>
      </w:r>
      <w:r w:rsidR="00013EBB">
        <w:rPr>
          <w:rFonts w:ascii="Times New Roman" w:hAnsi="Times New Roman" w:cs="Times New Roman"/>
          <w:sz w:val="24"/>
          <w:szCs w:val="24"/>
        </w:rPr>
        <w:t xml:space="preserve"> the respondents were indebted to it in the sum of $10 249.30 </w:t>
      </w:r>
      <w:r w:rsidR="00013EBB">
        <w:rPr>
          <w:rFonts w:ascii="Times New Roman" w:hAnsi="Times New Roman" w:cs="Times New Roman"/>
          <w:i/>
          <w:sz w:val="24"/>
          <w:szCs w:val="24"/>
        </w:rPr>
        <w:t>in toto.</w:t>
      </w:r>
      <w:r w:rsidR="00013EBB">
        <w:rPr>
          <w:rFonts w:ascii="Times New Roman" w:hAnsi="Times New Roman" w:cs="Times New Roman"/>
          <w:sz w:val="24"/>
          <w:szCs w:val="24"/>
        </w:rPr>
        <w:t xml:space="preserve"> It moved the court to: </w:t>
      </w:r>
    </w:p>
    <w:p w:rsidR="00D836B4" w:rsidRDefault="00013EBB" w:rsidP="00D836B4">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(i)</w:t>
      </w:r>
      <w:r>
        <w:rPr>
          <w:rFonts w:ascii="Times New Roman" w:hAnsi="Times New Roman" w:cs="Times New Roman"/>
          <w:sz w:val="24"/>
          <w:szCs w:val="24"/>
        </w:rPr>
        <w:tab/>
        <w:t xml:space="preserve">enter judgment against all the </w:t>
      </w:r>
      <w:r w:rsidR="00D836B4">
        <w:rPr>
          <w:rFonts w:ascii="Times New Roman" w:hAnsi="Times New Roman" w:cs="Times New Roman"/>
          <w:sz w:val="24"/>
          <w:szCs w:val="24"/>
        </w:rPr>
        <w:t>three respondents in the sum of $ 10 249.30 – and</w:t>
      </w:r>
    </w:p>
    <w:p w:rsidR="00D836B4" w:rsidRDefault="00D836B4" w:rsidP="00D836B4">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order that the respondents:</w:t>
      </w:r>
    </w:p>
    <w:p w:rsidR="00D836B4" w:rsidRPr="00D836B4" w:rsidRDefault="00847B7E" w:rsidP="00D836B4">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b</w:t>
      </w:r>
      <w:r w:rsidR="00D836B4">
        <w:rPr>
          <w:rFonts w:ascii="Times New Roman" w:hAnsi="Times New Roman" w:cs="Times New Roman"/>
          <w:sz w:val="24"/>
          <w:szCs w:val="24"/>
        </w:rPr>
        <w:t>e evicted from its property</w:t>
      </w:r>
    </w:p>
    <w:p w:rsidR="00D836B4" w:rsidRPr="00D836B4" w:rsidRDefault="00847B7E" w:rsidP="00D836B4">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p</w:t>
      </w:r>
      <w:r w:rsidR="00D836B4">
        <w:rPr>
          <w:rFonts w:ascii="Times New Roman" w:hAnsi="Times New Roman" w:cs="Times New Roman"/>
          <w:sz w:val="24"/>
          <w:szCs w:val="24"/>
        </w:rPr>
        <w:t xml:space="preserve">ay to it holding over </w:t>
      </w:r>
      <w:r>
        <w:rPr>
          <w:rFonts w:ascii="Times New Roman" w:hAnsi="Times New Roman" w:cs="Times New Roman"/>
          <w:sz w:val="24"/>
          <w:szCs w:val="24"/>
        </w:rPr>
        <w:t xml:space="preserve">damages at the rate of $66.87 per day </w:t>
      </w:r>
      <w:r w:rsidR="00D836B4">
        <w:rPr>
          <w:rFonts w:ascii="Times New Roman" w:hAnsi="Times New Roman" w:cs="Times New Roman"/>
          <w:sz w:val="24"/>
          <w:szCs w:val="24"/>
        </w:rPr>
        <w:t xml:space="preserve">with effect from 1 June, 2016 to the date of their eviction from the property – and </w:t>
      </w:r>
    </w:p>
    <w:p w:rsidR="006B6EE3" w:rsidRPr="006B6EE3" w:rsidRDefault="00847B7E" w:rsidP="00D836B4">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p</w:t>
      </w:r>
      <w:r w:rsidR="00D836B4">
        <w:rPr>
          <w:rFonts w:ascii="Times New Roman" w:hAnsi="Times New Roman" w:cs="Times New Roman"/>
          <w:sz w:val="24"/>
          <w:szCs w:val="24"/>
        </w:rPr>
        <w:t xml:space="preserve">ay costs of this application on </w:t>
      </w:r>
      <w:r w:rsidR="00E7097C">
        <w:rPr>
          <w:rFonts w:ascii="Times New Roman" w:hAnsi="Times New Roman" w:cs="Times New Roman"/>
          <w:sz w:val="24"/>
          <w:szCs w:val="24"/>
        </w:rPr>
        <w:t xml:space="preserve">a </w:t>
      </w:r>
      <w:r w:rsidR="00D836B4">
        <w:rPr>
          <w:rFonts w:ascii="Times New Roman" w:hAnsi="Times New Roman" w:cs="Times New Roman"/>
          <w:sz w:val="24"/>
          <w:szCs w:val="24"/>
        </w:rPr>
        <w:t>higher scale.</w:t>
      </w:r>
    </w:p>
    <w:p w:rsidR="00E7097C" w:rsidRDefault="006B6EE3" w:rsidP="00E7097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respondents opposed the application. They raised one preliminary matter. </w:t>
      </w:r>
    </w:p>
    <w:p w:rsidR="00FA7884" w:rsidRDefault="00603EFD" w:rsidP="006B6E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They averred</w:t>
      </w:r>
      <w:r w:rsidR="00847B7E">
        <w:rPr>
          <w:rFonts w:ascii="Times New Roman" w:hAnsi="Times New Roman" w:cs="Times New Roman"/>
          <w:sz w:val="24"/>
          <w:szCs w:val="24"/>
        </w:rPr>
        <w:t>,</w:t>
      </w:r>
      <w:r>
        <w:rPr>
          <w:rFonts w:ascii="Times New Roman" w:hAnsi="Times New Roman" w:cs="Times New Roman"/>
          <w:sz w:val="24"/>
          <w:szCs w:val="24"/>
        </w:rPr>
        <w:t xml:space="preserve"> on the merits, that the lease agreement which, according to them, expired on 31 August 2013 discharged the suretyship agreement. They stated that any claim against the second and third respondents was, therefore, without any basis. They submitted that no claim lay against </w:t>
      </w:r>
      <w:r w:rsidR="003F5B26">
        <w:rPr>
          <w:rFonts w:ascii="Times New Roman" w:hAnsi="Times New Roman" w:cs="Times New Roman"/>
          <w:sz w:val="24"/>
          <w:szCs w:val="24"/>
        </w:rPr>
        <w:t>t</w:t>
      </w:r>
      <w:r>
        <w:rPr>
          <w:rFonts w:ascii="Times New Roman" w:hAnsi="Times New Roman" w:cs="Times New Roman"/>
          <w:sz w:val="24"/>
          <w:szCs w:val="24"/>
        </w:rPr>
        <w:t>he second respondent as the latter did not sign the contract of suretyship. They denied breaching any terms of the lease. They insisted that, if any term(s) was/were breached</w:t>
      </w:r>
      <w:r w:rsidR="00847B7E">
        <w:rPr>
          <w:rFonts w:ascii="Times New Roman" w:hAnsi="Times New Roman" w:cs="Times New Roman"/>
          <w:sz w:val="24"/>
          <w:szCs w:val="24"/>
        </w:rPr>
        <w:t>,</w:t>
      </w:r>
      <w:r>
        <w:rPr>
          <w:rFonts w:ascii="Times New Roman" w:hAnsi="Times New Roman" w:cs="Times New Roman"/>
          <w:sz w:val="24"/>
          <w:szCs w:val="24"/>
        </w:rPr>
        <w:t xml:space="preserve"> the applicant condoned such breach. They contended that the court did not have the jurisdiction to hear and determine the application. They relied on clause 6.1 as read with clause 34.1 of the lease agreement in the mentioned regard. They stated that the applicant should have referred the rent dispute to an </w:t>
      </w:r>
      <w:r w:rsidR="000E1F67">
        <w:rPr>
          <w:rFonts w:ascii="Times New Roman" w:hAnsi="Times New Roman" w:cs="Times New Roman"/>
          <w:sz w:val="24"/>
          <w:szCs w:val="24"/>
        </w:rPr>
        <w:t>arbitrator. They submitted that the arbitrato</w:t>
      </w:r>
      <w:r w:rsidR="00FA7884">
        <w:rPr>
          <w:rFonts w:ascii="Times New Roman" w:hAnsi="Times New Roman" w:cs="Times New Roman"/>
          <w:sz w:val="24"/>
          <w:szCs w:val="24"/>
        </w:rPr>
        <w:t>r</w:t>
      </w:r>
      <w:r w:rsidR="000E1F67">
        <w:rPr>
          <w:rFonts w:ascii="Times New Roman" w:hAnsi="Times New Roman" w:cs="Times New Roman"/>
          <w:sz w:val="24"/>
          <w:szCs w:val="24"/>
        </w:rPr>
        <w:t>, and not the court, should</w:t>
      </w:r>
      <w:r w:rsidR="00FA7884">
        <w:rPr>
          <w:rFonts w:ascii="Times New Roman" w:hAnsi="Times New Roman" w:cs="Times New Roman"/>
          <w:sz w:val="24"/>
          <w:szCs w:val="24"/>
        </w:rPr>
        <w:t xml:space="preserve"> have determined the rent which they were enjoined to pay. They maintained the position that after 31 August 2013, the parties did not renew their lease and the first respondent became a statutory tenant. The first respondent, they stated, paid and continues to pay what it considered reasonable rentals for the property. They denied that they owed the applicant any money. They challenged the applicant’s statement of account. They insisted that the statement did not capture the parties’ transactions accurately. They moved the court to dismiss the application with costs on an attorney and client scale.</w:t>
      </w:r>
    </w:p>
    <w:p w:rsidR="00FF77F5" w:rsidRDefault="00FA7884" w:rsidP="006B6E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w:t>
      </w:r>
      <w:r>
        <w:rPr>
          <w:rFonts w:ascii="Times New Roman" w:hAnsi="Times New Roman" w:cs="Times New Roman"/>
          <w:i/>
          <w:sz w:val="24"/>
          <w:szCs w:val="24"/>
        </w:rPr>
        <w:t>in limine</w:t>
      </w:r>
      <w:r>
        <w:rPr>
          <w:rFonts w:ascii="Times New Roman" w:hAnsi="Times New Roman" w:cs="Times New Roman"/>
          <w:sz w:val="24"/>
          <w:szCs w:val="24"/>
        </w:rPr>
        <w:t xml:space="preserve"> matter which they raised, the </w:t>
      </w:r>
      <w:r w:rsidR="00147616">
        <w:rPr>
          <w:rFonts w:ascii="Times New Roman" w:hAnsi="Times New Roman" w:cs="Times New Roman"/>
          <w:sz w:val="24"/>
          <w:szCs w:val="24"/>
        </w:rPr>
        <w:t xml:space="preserve">respondents challenged the authority of the deponent to the founding affidavit. They </w:t>
      </w:r>
      <w:r w:rsidR="00FD5A33">
        <w:rPr>
          <w:rFonts w:ascii="Times New Roman" w:hAnsi="Times New Roman" w:cs="Times New Roman"/>
          <w:sz w:val="24"/>
          <w:szCs w:val="24"/>
        </w:rPr>
        <w:t xml:space="preserve">submitted that he was not clothed with the applicant’s authority to depose to the affidavit on its behalf as he did. They, on the mentioned basis, insisted that the applicant was not before the court and </w:t>
      </w:r>
      <w:r w:rsidR="003F5B26">
        <w:rPr>
          <w:rFonts w:ascii="Times New Roman" w:hAnsi="Times New Roman" w:cs="Times New Roman"/>
          <w:sz w:val="24"/>
          <w:szCs w:val="24"/>
        </w:rPr>
        <w:t xml:space="preserve">that </w:t>
      </w:r>
      <w:r w:rsidR="00FD5A33">
        <w:rPr>
          <w:rFonts w:ascii="Times New Roman" w:hAnsi="Times New Roman" w:cs="Times New Roman"/>
          <w:sz w:val="24"/>
          <w:szCs w:val="24"/>
        </w:rPr>
        <w:t>the application should, therefore, be dismissed.</w:t>
      </w:r>
      <w:r>
        <w:rPr>
          <w:rFonts w:ascii="Times New Roman" w:hAnsi="Times New Roman" w:cs="Times New Roman"/>
          <w:sz w:val="24"/>
          <w:szCs w:val="24"/>
        </w:rPr>
        <w:t xml:space="preserve"> </w:t>
      </w:r>
    </w:p>
    <w:p w:rsidR="00470DCD" w:rsidRDefault="00457722" w:rsidP="006B6E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deponent t</w:t>
      </w:r>
      <w:r w:rsidR="007A0899">
        <w:rPr>
          <w:rFonts w:ascii="Times New Roman" w:hAnsi="Times New Roman" w:cs="Times New Roman"/>
          <w:sz w:val="24"/>
          <w:szCs w:val="24"/>
        </w:rPr>
        <w:t>o</w:t>
      </w:r>
      <w:r>
        <w:rPr>
          <w:rFonts w:ascii="Times New Roman" w:hAnsi="Times New Roman" w:cs="Times New Roman"/>
          <w:sz w:val="24"/>
          <w:szCs w:val="24"/>
        </w:rPr>
        <w:t xml:space="preserve"> the founding affidavit, one Innocent </w:t>
      </w:r>
      <w:r w:rsidR="003F5B26">
        <w:rPr>
          <w:rFonts w:ascii="Times New Roman" w:hAnsi="Times New Roman" w:cs="Times New Roman"/>
          <w:sz w:val="24"/>
          <w:szCs w:val="24"/>
        </w:rPr>
        <w:t>Mupfururirwa</w:t>
      </w:r>
      <w:r>
        <w:rPr>
          <w:rFonts w:ascii="Times New Roman" w:hAnsi="Times New Roman" w:cs="Times New Roman"/>
          <w:sz w:val="24"/>
          <w:szCs w:val="24"/>
        </w:rPr>
        <w:t xml:space="preserve">, a property manager in the employment of the applicant, stated to the contrary. He said he was authorised to depose to the affidavit. He stated, in the answering affidavit, that it was not necessary for him to attach proof of authority to depose to the affidavit. He insisted that the respondents </w:t>
      </w:r>
      <w:r>
        <w:rPr>
          <w:rFonts w:ascii="Times New Roman" w:hAnsi="Times New Roman" w:cs="Times New Roman"/>
          <w:sz w:val="24"/>
          <w:szCs w:val="24"/>
        </w:rPr>
        <w:lastRenderedPageBreak/>
        <w:t xml:space="preserve">knew that he had the requisite authority. He said they knew of that matter because he had dealt with them on the matter which was then in dispute. He attached to his answering affidavit Annexures E, F and G. The annexures were, according to him, evidence of the letters which he respectively addressed to the respondents on 10 December 2013, 20 May 2015 and 12 February, 2016. The letters related to the issue of rent for the property. He contended that it was on the basis of the mentioned letters/annexures that the respondents were made aware of his authority to sue for, and on behalf of, the applicant.  </w:t>
      </w:r>
    </w:p>
    <w:p w:rsidR="003615E7" w:rsidRDefault="00470DCD" w:rsidP="006B6E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deponent’s argument is devoid of any substance. Authority to speak or act for, and on behalf of</w:t>
      </w:r>
      <w:r w:rsidR="00847B7E">
        <w:rPr>
          <w:rFonts w:ascii="Times New Roman" w:hAnsi="Times New Roman" w:cs="Times New Roman"/>
          <w:sz w:val="24"/>
          <w:szCs w:val="24"/>
        </w:rPr>
        <w:t>,</w:t>
      </w:r>
      <w:r>
        <w:rPr>
          <w:rFonts w:ascii="Times New Roman" w:hAnsi="Times New Roman" w:cs="Times New Roman"/>
          <w:sz w:val="24"/>
          <w:szCs w:val="24"/>
        </w:rPr>
        <w:t xml:space="preserve"> the applicant can never be derived from the correspondences which he made to, or with, the respondents as he claimed.</w:t>
      </w:r>
    </w:p>
    <w:p w:rsidR="00C36F58" w:rsidRPr="00C36F58" w:rsidRDefault="003615E7" w:rsidP="00C36F58">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t>A company, as a legal person</w:t>
      </w:r>
      <w:r w:rsidR="00E7097C">
        <w:rPr>
          <w:rFonts w:ascii="Times New Roman" w:hAnsi="Times New Roman" w:cs="Times New Roman"/>
          <w:sz w:val="24"/>
          <w:szCs w:val="24"/>
        </w:rPr>
        <w:t>,</w:t>
      </w:r>
      <w:r w:rsidR="00F42A4F">
        <w:rPr>
          <w:rFonts w:ascii="Times New Roman" w:hAnsi="Times New Roman" w:cs="Times New Roman"/>
          <w:sz w:val="24"/>
          <w:szCs w:val="24"/>
        </w:rPr>
        <w:t xml:space="preserve"> has no mouth through </w:t>
      </w:r>
      <w:r w:rsidR="003F5B26">
        <w:rPr>
          <w:rFonts w:ascii="Times New Roman" w:hAnsi="Times New Roman" w:cs="Times New Roman"/>
          <w:sz w:val="24"/>
          <w:szCs w:val="24"/>
        </w:rPr>
        <w:t xml:space="preserve">which </w:t>
      </w:r>
      <w:r w:rsidR="00F42A4F">
        <w:rPr>
          <w:rFonts w:ascii="Times New Roman" w:hAnsi="Times New Roman" w:cs="Times New Roman"/>
          <w:sz w:val="24"/>
          <w:szCs w:val="24"/>
        </w:rPr>
        <w:t>it articulate</w:t>
      </w:r>
      <w:r w:rsidR="003F5B26">
        <w:rPr>
          <w:rFonts w:ascii="Times New Roman" w:hAnsi="Times New Roman" w:cs="Times New Roman"/>
          <w:sz w:val="24"/>
          <w:szCs w:val="24"/>
        </w:rPr>
        <w:t>s</w:t>
      </w:r>
      <w:r w:rsidR="00F42A4F">
        <w:rPr>
          <w:rFonts w:ascii="Times New Roman" w:hAnsi="Times New Roman" w:cs="Times New Roman"/>
          <w:sz w:val="24"/>
          <w:szCs w:val="24"/>
        </w:rPr>
        <w:t xml:space="preserve"> its intentions. It has no ears with which to hear. It has no sense of sight</w:t>
      </w:r>
      <w:r w:rsidR="00E7097C">
        <w:rPr>
          <w:rFonts w:ascii="Times New Roman" w:hAnsi="Times New Roman" w:cs="Times New Roman"/>
          <w:sz w:val="24"/>
          <w:szCs w:val="24"/>
        </w:rPr>
        <w:t xml:space="preserve"> or smell</w:t>
      </w:r>
      <w:r w:rsidR="00F42A4F">
        <w:rPr>
          <w:rFonts w:ascii="Times New Roman" w:hAnsi="Times New Roman" w:cs="Times New Roman"/>
          <w:sz w:val="24"/>
          <w:szCs w:val="24"/>
        </w:rPr>
        <w:t>. It has no mind of its own. It speaks to no one except through its directors</w:t>
      </w:r>
      <w:r w:rsidR="003F5B26">
        <w:rPr>
          <w:rFonts w:ascii="Times New Roman" w:hAnsi="Times New Roman" w:cs="Times New Roman"/>
          <w:sz w:val="24"/>
          <w:szCs w:val="24"/>
        </w:rPr>
        <w:t>,</w:t>
      </w:r>
      <w:r w:rsidR="00F42A4F">
        <w:rPr>
          <w:rFonts w:ascii="Times New Roman" w:hAnsi="Times New Roman" w:cs="Times New Roman"/>
          <w:sz w:val="24"/>
          <w:szCs w:val="24"/>
        </w:rPr>
        <w:t xml:space="preserve"> not individually but collectively</w:t>
      </w:r>
      <w:r w:rsidR="003F5B26">
        <w:rPr>
          <w:rFonts w:ascii="Times New Roman" w:hAnsi="Times New Roman" w:cs="Times New Roman"/>
          <w:sz w:val="24"/>
          <w:szCs w:val="24"/>
        </w:rPr>
        <w:t>,</w:t>
      </w:r>
      <w:r w:rsidR="00F42A4F">
        <w:rPr>
          <w:rFonts w:ascii="Times New Roman" w:hAnsi="Times New Roman" w:cs="Times New Roman"/>
          <w:sz w:val="24"/>
          <w:szCs w:val="24"/>
        </w:rPr>
        <w:t xml:space="preserve"> through resolutions </w:t>
      </w:r>
      <w:r w:rsidR="00F42A4F" w:rsidRPr="00C36F58">
        <w:rPr>
          <w:rFonts w:ascii="Times New Roman" w:hAnsi="Times New Roman" w:cs="Times New Roman"/>
          <w:sz w:val="24"/>
          <w:szCs w:val="24"/>
        </w:rPr>
        <w:t>which</w:t>
      </w:r>
      <w:r w:rsidR="00F42A4F" w:rsidRPr="007A0899">
        <w:rPr>
          <w:rFonts w:ascii="Times New Roman" w:hAnsi="Times New Roman" w:cs="Times New Roman"/>
          <w:b/>
          <w:sz w:val="24"/>
          <w:szCs w:val="24"/>
        </w:rPr>
        <w:t xml:space="preserve"> </w:t>
      </w:r>
      <w:r w:rsidR="00C36F58">
        <w:rPr>
          <w:rFonts w:ascii="Times New Roman" w:hAnsi="Times New Roman" w:cs="Times New Roman"/>
          <w:sz w:val="24"/>
          <w:szCs w:val="24"/>
        </w:rPr>
        <w:t>they pass when they are assembled in one room for</w:t>
      </w:r>
      <w:r w:rsidR="00847B7E">
        <w:rPr>
          <w:rFonts w:ascii="Times New Roman" w:hAnsi="Times New Roman" w:cs="Times New Roman"/>
          <w:sz w:val="24"/>
          <w:szCs w:val="24"/>
        </w:rPr>
        <w:t xml:space="preserve"> the </w:t>
      </w:r>
      <w:r w:rsidR="00C36F58">
        <w:rPr>
          <w:rFonts w:ascii="Times New Roman" w:hAnsi="Times New Roman" w:cs="Times New Roman"/>
          <w:sz w:val="24"/>
          <w:szCs w:val="24"/>
        </w:rPr>
        <w:t>purpose of transacting the business of the company. Directors and no one else are, together, the eyes, ears</w:t>
      </w:r>
      <w:r w:rsidR="00E7097C">
        <w:rPr>
          <w:rFonts w:ascii="Times New Roman" w:hAnsi="Times New Roman" w:cs="Times New Roman"/>
          <w:sz w:val="24"/>
          <w:szCs w:val="24"/>
        </w:rPr>
        <w:t>, nose</w:t>
      </w:r>
      <w:r w:rsidR="00C36F58">
        <w:rPr>
          <w:rFonts w:ascii="Times New Roman" w:hAnsi="Times New Roman" w:cs="Times New Roman"/>
          <w:sz w:val="24"/>
          <w:szCs w:val="24"/>
        </w:rPr>
        <w:t xml:space="preserve"> and mind of the company. </w:t>
      </w:r>
    </w:p>
    <w:p w:rsidR="00C36F58" w:rsidRDefault="00C36F58" w:rsidP="00C36F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41141">
        <w:rPr>
          <w:rFonts w:ascii="Times New Roman" w:hAnsi="Times New Roman" w:cs="Times New Roman"/>
          <w:sz w:val="24"/>
          <w:szCs w:val="24"/>
        </w:rPr>
        <w:t xml:space="preserve">Hahlo </w:t>
      </w:r>
      <w:r>
        <w:rPr>
          <w:rFonts w:ascii="Times New Roman" w:hAnsi="Times New Roman" w:cs="Times New Roman"/>
          <w:sz w:val="24"/>
          <w:szCs w:val="24"/>
        </w:rPr>
        <w:t xml:space="preserve">brings out the above stated </w:t>
      </w:r>
      <w:r w:rsidR="003F5B26">
        <w:rPr>
          <w:rFonts w:ascii="Times New Roman" w:hAnsi="Times New Roman" w:cs="Times New Roman"/>
          <w:sz w:val="24"/>
          <w:szCs w:val="24"/>
        </w:rPr>
        <w:t>principle</w:t>
      </w:r>
      <w:r>
        <w:rPr>
          <w:rFonts w:ascii="Times New Roman" w:hAnsi="Times New Roman" w:cs="Times New Roman"/>
          <w:sz w:val="24"/>
          <w:szCs w:val="24"/>
        </w:rPr>
        <w:t xml:space="preserve"> in a clear and lucid manner in his </w:t>
      </w:r>
      <w:r>
        <w:rPr>
          <w:rFonts w:ascii="Times New Roman" w:hAnsi="Times New Roman" w:cs="Times New Roman"/>
          <w:i/>
          <w:sz w:val="24"/>
          <w:szCs w:val="24"/>
        </w:rPr>
        <w:t>South African Company Law</w:t>
      </w:r>
      <w:r>
        <w:rPr>
          <w:rFonts w:ascii="Times New Roman" w:hAnsi="Times New Roman" w:cs="Times New Roman"/>
          <w:sz w:val="24"/>
          <w:szCs w:val="24"/>
        </w:rPr>
        <w:t xml:space="preserve"> through cases, 6</w:t>
      </w:r>
      <w:r w:rsidRPr="00941141">
        <w:rPr>
          <w:rFonts w:ascii="Times New Roman" w:hAnsi="Times New Roman" w:cs="Times New Roman"/>
          <w:sz w:val="24"/>
          <w:szCs w:val="24"/>
          <w:vertAlign w:val="superscript"/>
        </w:rPr>
        <w:t>th</w:t>
      </w:r>
      <w:r>
        <w:rPr>
          <w:rFonts w:ascii="Times New Roman" w:hAnsi="Times New Roman" w:cs="Times New Roman"/>
          <w:sz w:val="24"/>
          <w:szCs w:val="24"/>
        </w:rPr>
        <w:t xml:space="preserve"> ed. The learned author makes reference to the board of directors and their powers. He states at p 343 as follows:</w:t>
      </w:r>
    </w:p>
    <w:p w:rsidR="00C36F58" w:rsidRDefault="00C36F58" w:rsidP="00C36F58">
      <w:pPr>
        <w:spacing w:after="0" w:line="240" w:lineRule="auto"/>
        <w:jc w:val="both"/>
        <w:rPr>
          <w:rFonts w:ascii="Times New Roman" w:hAnsi="Times New Roman" w:cs="Times New Roman"/>
        </w:rPr>
      </w:pPr>
      <w:r>
        <w:rPr>
          <w:rFonts w:ascii="Times New Roman" w:hAnsi="Times New Roman" w:cs="Times New Roman"/>
          <w:sz w:val="24"/>
          <w:szCs w:val="24"/>
        </w:rPr>
        <w:tab/>
      </w:r>
      <w:r w:rsidRPr="00941141">
        <w:rPr>
          <w:rFonts w:ascii="Times New Roman" w:hAnsi="Times New Roman" w:cs="Times New Roman"/>
          <w:i/>
          <w:sz w:val="24"/>
          <w:szCs w:val="24"/>
        </w:rPr>
        <w:t xml:space="preserve">  </w:t>
      </w:r>
      <w:r>
        <w:rPr>
          <w:rFonts w:ascii="Times New Roman" w:hAnsi="Times New Roman" w:cs="Times New Roman"/>
        </w:rPr>
        <w:t xml:space="preserve">“The powers of the company vest in the directors </w:t>
      </w:r>
      <w:r>
        <w:rPr>
          <w:rFonts w:ascii="Times New Roman" w:hAnsi="Times New Roman" w:cs="Times New Roman"/>
          <w:u w:val="single"/>
        </w:rPr>
        <w:t>as a board, and not as individuals</w:t>
      </w:r>
      <w:r>
        <w:rPr>
          <w:rFonts w:ascii="Times New Roman" w:hAnsi="Times New Roman" w:cs="Times New Roman"/>
        </w:rPr>
        <w:t xml:space="preserve">. </w:t>
      </w:r>
      <w:r>
        <w:rPr>
          <w:rFonts w:ascii="Times New Roman" w:hAnsi="Times New Roman" w:cs="Times New Roman"/>
        </w:rPr>
        <w:tab/>
        <w:t xml:space="preserve">Directors exercise their powers by passing resolutions at board meetings; of which </w:t>
      </w:r>
      <w:r>
        <w:rPr>
          <w:rFonts w:ascii="Times New Roman" w:hAnsi="Times New Roman" w:cs="Times New Roman"/>
          <w:u w:val="single"/>
        </w:rPr>
        <w:t xml:space="preserve">proper </w:t>
      </w:r>
      <w:r w:rsidRPr="00A31FEA">
        <w:rPr>
          <w:rFonts w:ascii="Times New Roman" w:hAnsi="Times New Roman" w:cs="Times New Roman"/>
        </w:rPr>
        <w:tab/>
      </w:r>
      <w:r>
        <w:rPr>
          <w:rFonts w:ascii="Times New Roman" w:hAnsi="Times New Roman" w:cs="Times New Roman"/>
          <w:u w:val="single"/>
        </w:rPr>
        <w:t>notice must be given to all  directors</w:t>
      </w:r>
      <w:r>
        <w:rPr>
          <w:rFonts w:ascii="Times New Roman" w:hAnsi="Times New Roman" w:cs="Times New Roman"/>
        </w:rPr>
        <w:t xml:space="preserve">, and at which a </w:t>
      </w:r>
      <w:r w:rsidRPr="004E7724">
        <w:rPr>
          <w:rFonts w:ascii="Times New Roman" w:hAnsi="Times New Roman" w:cs="Times New Roman"/>
        </w:rPr>
        <w:t>quorum must be present ….”  [</w:t>
      </w:r>
      <w:r>
        <w:rPr>
          <w:rFonts w:ascii="Times New Roman" w:hAnsi="Times New Roman" w:cs="Times New Roman"/>
        </w:rPr>
        <w:t xml:space="preserve">emphasis </w:t>
      </w:r>
      <w:r>
        <w:rPr>
          <w:rFonts w:ascii="Times New Roman" w:hAnsi="Times New Roman" w:cs="Times New Roman"/>
        </w:rPr>
        <w:tab/>
        <w:t xml:space="preserve">added]. </w:t>
      </w:r>
    </w:p>
    <w:p w:rsidR="00C36F58" w:rsidRDefault="00C36F58" w:rsidP="00C36F58">
      <w:pPr>
        <w:spacing w:after="0" w:line="240" w:lineRule="auto"/>
        <w:jc w:val="both"/>
        <w:rPr>
          <w:rFonts w:ascii="Times New Roman" w:hAnsi="Times New Roman" w:cs="Times New Roman"/>
        </w:rPr>
      </w:pPr>
    </w:p>
    <w:p w:rsidR="00C36F58" w:rsidRPr="00A31FEA" w:rsidRDefault="00C36F58" w:rsidP="00C36F58">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Just as the mind is the controlling </w:t>
      </w:r>
      <w:r w:rsidR="00847B7E">
        <w:rPr>
          <w:rFonts w:ascii="Times New Roman" w:hAnsi="Times New Roman" w:cs="Times New Roman"/>
          <w:sz w:val="24"/>
          <w:szCs w:val="24"/>
        </w:rPr>
        <w:t>faculty</w:t>
      </w:r>
      <w:r>
        <w:rPr>
          <w:rFonts w:ascii="Times New Roman" w:hAnsi="Times New Roman" w:cs="Times New Roman"/>
          <w:sz w:val="24"/>
          <w:szCs w:val="24"/>
        </w:rPr>
        <w:t xml:space="preserve"> </w:t>
      </w:r>
      <w:r w:rsidR="003F5B26">
        <w:rPr>
          <w:rFonts w:ascii="Times New Roman" w:hAnsi="Times New Roman" w:cs="Times New Roman"/>
          <w:sz w:val="24"/>
          <w:szCs w:val="24"/>
        </w:rPr>
        <w:t>of</w:t>
      </w:r>
      <w:r>
        <w:rPr>
          <w:rFonts w:ascii="Times New Roman" w:hAnsi="Times New Roman" w:cs="Times New Roman"/>
          <w:sz w:val="24"/>
          <w:szCs w:val="24"/>
        </w:rPr>
        <w:t xml:space="preserve"> a person’s whole being</w:t>
      </w:r>
      <w:r w:rsidR="00847B7E">
        <w:rPr>
          <w:rFonts w:ascii="Times New Roman" w:hAnsi="Times New Roman" w:cs="Times New Roman"/>
          <w:sz w:val="24"/>
          <w:szCs w:val="24"/>
        </w:rPr>
        <w:t>,</w:t>
      </w:r>
      <w:r>
        <w:rPr>
          <w:rFonts w:ascii="Times New Roman" w:hAnsi="Times New Roman" w:cs="Times New Roman"/>
          <w:sz w:val="24"/>
          <w:szCs w:val="24"/>
        </w:rPr>
        <w:t xml:space="preserve"> directors are the controlling mind of the company. They manage it and they act on its behalf.  </w:t>
      </w:r>
    </w:p>
    <w:p w:rsidR="00C36F58" w:rsidRDefault="00C36F58" w:rsidP="00C36F58">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The Supreme Court </w:t>
      </w:r>
      <w:r w:rsidR="00847B7E">
        <w:rPr>
          <w:rFonts w:ascii="Times New Roman" w:hAnsi="Times New Roman" w:cs="Times New Roman"/>
          <w:sz w:val="24"/>
          <w:szCs w:val="24"/>
        </w:rPr>
        <w:t>restated that</w:t>
      </w:r>
      <w:r>
        <w:rPr>
          <w:rFonts w:ascii="Times New Roman" w:hAnsi="Times New Roman" w:cs="Times New Roman"/>
          <w:sz w:val="24"/>
          <w:szCs w:val="24"/>
        </w:rPr>
        <w:t xml:space="preserve"> obvious position in </w:t>
      </w:r>
      <w:r>
        <w:rPr>
          <w:rFonts w:ascii="Times New Roman" w:hAnsi="Times New Roman" w:cs="Times New Roman"/>
          <w:i/>
          <w:sz w:val="24"/>
          <w:szCs w:val="24"/>
        </w:rPr>
        <w:t xml:space="preserve">Madzivire &amp; Ors </w:t>
      </w:r>
      <w:r>
        <w:rPr>
          <w:rFonts w:ascii="Times New Roman" w:hAnsi="Times New Roman" w:cs="Times New Roman"/>
          <w:sz w:val="24"/>
          <w:szCs w:val="24"/>
        </w:rPr>
        <w:t>v</w:t>
      </w:r>
      <w:r>
        <w:rPr>
          <w:rFonts w:ascii="Times New Roman" w:hAnsi="Times New Roman" w:cs="Times New Roman"/>
          <w:i/>
          <w:sz w:val="24"/>
          <w:szCs w:val="24"/>
        </w:rPr>
        <w:t xml:space="preserve"> Zvarivadza &amp; Ors</w:t>
      </w:r>
      <w:r>
        <w:rPr>
          <w:rFonts w:ascii="Times New Roman" w:hAnsi="Times New Roman" w:cs="Times New Roman"/>
          <w:sz w:val="24"/>
          <w:szCs w:val="24"/>
        </w:rPr>
        <w:t>, 2006 (1) ZLR 514 (S) the headnote of which reads:</w:t>
      </w:r>
    </w:p>
    <w:p w:rsidR="00C36F58" w:rsidRDefault="00C36F58" w:rsidP="00C36F58">
      <w:pPr>
        <w:spacing w:after="0" w:line="240" w:lineRule="auto"/>
        <w:ind w:left="720"/>
        <w:jc w:val="both"/>
        <w:rPr>
          <w:rFonts w:ascii="Times New Roman" w:hAnsi="Times New Roman" w:cs="Times New Roman"/>
          <w:u w:val="single"/>
        </w:rPr>
      </w:pPr>
      <w:r>
        <w:rPr>
          <w:rFonts w:ascii="Times New Roman" w:hAnsi="Times New Roman" w:cs="Times New Roman"/>
        </w:rPr>
        <w:t xml:space="preserve">“A company, being a separate legal entity from its directors, cannot be represented in a legal suit by a person who has not been authorised to do so. This is </w:t>
      </w:r>
      <w:r>
        <w:rPr>
          <w:rFonts w:ascii="Times New Roman" w:hAnsi="Times New Roman" w:cs="Times New Roman"/>
          <w:u w:val="single"/>
        </w:rPr>
        <w:t>a well-established legal principle which the courts cannot ignore</w:t>
      </w:r>
      <w:r w:rsidRPr="00026206">
        <w:rPr>
          <w:rFonts w:ascii="Times New Roman" w:hAnsi="Times New Roman" w:cs="Times New Roman"/>
        </w:rPr>
        <w:t>…. The fact that a person is the managing director of the company does not clothes him with the authority to sue on behalf of the company in the absence of a</w:t>
      </w:r>
      <w:r>
        <w:rPr>
          <w:rFonts w:ascii="Times New Roman" w:hAnsi="Times New Roman" w:cs="Times New Roman"/>
        </w:rPr>
        <w:t xml:space="preserve"> resolution authorising him to do so. The general rule is that directors of a company </w:t>
      </w:r>
      <w:r>
        <w:rPr>
          <w:rFonts w:ascii="Times New Roman" w:hAnsi="Times New Roman" w:cs="Times New Roman"/>
          <w:u w:val="single"/>
        </w:rPr>
        <w:t>can only act validly when assembled at a board meeting</w:t>
      </w:r>
      <w:r>
        <w:rPr>
          <w:rFonts w:ascii="Times New Roman" w:hAnsi="Times New Roman" w:cs="Times New Roman"/>
        </w:rPr>
        <w:t>. An exception to this rule is where a company has only one director who can perform all judicial acts without holding</w:t>
      </w:r>
      <w:r w:rsidR="00847B7E">
        <w:rPr>
          <w:rFonts w:ascii="Times New Roman" w:hAnsi="Times New Roman" w:cs="Times New Roman"/>
        </w:rPr>
        <w:t xml:space="preserve"> a</w:t>
      </w:r>
      <w:r>
        <w:rPr>
          <w:rFonts w:ascii="Times New Roman" w:hAnsi="Times New Roman" w:cs="Times New Roman"/>
        </w:rPr>
        <w:t xml:space="preserve"> full meeting” [emphasis added]</w:t>
      </w:r>
      <w:r>
        <w:rPr>
          <w:rFonts w:ascii="Times New Roman" w:hAnsi="Times New Roman" w:cs="Times New Roman"/>
          <w:u w:val="single"/>
        </w:rPr>
        <w:t xml:space="preserve"> </w:t>
      </w:r>
    </w:p>
    <w:p w:rsidR="00C36F58" w:rsidRDefault="00C36F58" w:rsidP="00C36F58">
      <w:pPr>
        <w:spacing w:after="0" w:line="360" w:lineRule="auto"/>
        <w:ind w:left="720"/>
        <w:jc w:val="both"/>
        <w:rPr>
          <w:rFonts w:ascii="Times New Roman" w:hAnsi="Times New Roman" w:cs="Times New Roman"/>
          <w:sz w:val="24"/>
          <w:szCs w:val="24"/>
        </w:rPr>
      </w:pPr>
    </w:p>
    <w:p w:rsidR="00C36F58" w:rsidRDefault="00C36F58" w:rsidP="00C36F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It is evident</w:t>
      </w:r>
      <w:r w:rsidR="00847B7E">
        <w:rPr>
          <w:rFonts w:ascii="Times New Roman" w:hAnsi="Times New Roman" w:cs="Times New Roman"/>
          <w:sz w:val="24"/>
          <w:szCs w:val="24"/>
        </w:rPr>
        <w:t>,</w:t>
      </w:r>
      <w:r>
        <w:rPr>
          <w:rFonts w:ascii="Times New Roman" w:hAnsi="Times New Roman" w:cs="Times New Roman"/>
          <w:sz w:val="24"/>
          <w:szCs w:val="24"/>
        </w:rPr>
        <w:t xml:space="preserve"> from the foregoing, that the</w:t>
      </w:r>
      <w:r w:rsidR="003F5B26">
        <w:rPr>
          <w:rFonts w:ascii="Times New Roman" w:hAnsi="Times New Roman" w:cs="Times New Roman"/>
          <w:sz w:val="24"/>
          <w:szCs w:val="24"/>
        </w:rPr>
        <w:t xml:space="preserve"> assertion of the</w:t>
      </w:r>
      <w:r>
        <w:rPr>
          <w:rFonts w:ascii="Times New Roman" w:hAnsi="Times New Roman" w:cs="Times New Roman"/>
          <w:sz w:val="24"/>
          <w:szCs w:val="24"/>
        </w:rPr>
        <w:t xml:space="preserve"> deponent </w:t>
      </w:r>
      <w:r w:rsidR="003F5B26">
        <w:rPr>
          <w:rFonts w:ascii="Times New Roman" w:hAnsi="Times New Roman" w:cs="Times New Roman"/>
          <w:sz w:val="24"/>
          <w:szCs w:val="24"/>
        </w:rPr>
        <w:t>to</w:t>
      </w:r>
      <w:r>
        <w:rPr>
          <w:rFonts w:ascii="Times New Roman" w:hAnsi="Times New Roman" w:cs="Times New Roman"/>
          <w:sz w:val="24"/>
          <w:szCs w:val="24"/>
        </w:rPr>
        <w:t xml:space="preserve"> the founding affidavit</w:t>
      </w:r>
      <w:r w:rsidR="003F5B26">
        <w:rPr>
          <w:rFonts w:ascii="Times New Roman" w:hAnsi="Times New Roman" w:cs="Times New Roman"/>
          <w:sz w:val="24"/>
          <w:szCs w:val="24"/>
        </w:rPr>
        <w:t xml:space="preserve"> which is to the effect</w:t>
      </w:r>
      <w:r>
        <w:rPr>
          <w:rFonts w:ascii="Times New Roman" w:hAnsi="Times New Roman" w:cs="Times New Roman"/>
          <w:sz w:val="24"/>
          <w:szCs w:val="24"/>
        </w:rPr>
        <w:t xml:space="preserve"> that he did not need to produce proof of authority was misplaced. The law is clear on the matter. Authority to sue is a </w:t>
      </w:r>
      <w:r>
        <w:rPr>
          <w:rFonts w:ascii="Times New Roman" w:hAnsi="Times New Roman" w:cs="Times New Roman"/>
          <w:i/>
          <w:sz w:val="24"/>
          <w:szCs w:val="24"/>
        </w:rPr>
        <w:t>sine qua non</w:t>
      </w:r>
      <w:r>
        <w:rPr>
          <w:rFonts w:ascii="Times New Roman" w:hAnsi="Times New Roman" w:cs="Times New Roman"/>
          <w:sz w:val="24"/>
          <w:szCs w:val="24"/>
        </w:rPr>
        <w:t xml:space="preserve"> of applications of the present nature. He said his statement was anchored on the advice which his legal practitioners tendered to him. That advice was unfortunately for him a very poor one. A </w:t>
      </w:r>
      <w:r>
        <w:rPr>
          <w:rFonts w:ascii="Times New Roman" w:hAnsi="Times New Roman" w:cs="Times New Roman"/>
          <w:i/>
          <w:sz w:val="24"/>
          <w:szCs w:val="24"/>
        </w:rPr>
        <w:t>fortori</w:t>
      </w:r>
      <w:r>
        <w:rPr>
          <w:rFonts w:ascii="Times New Roman" w:hAnsi="Times New Roman" w:cs="Times New Roman"/>
          <w:sz w:val="24"/>
          <w:szCs w:val="24"/>
        </w:rPr>
        <w:t xml:space="preserve"> when his authority to sue for</w:t>
      </w:r>
      <w:r w:rsidR="00E7097C">
        <w:rPr>
          <w:rFonts w:ascii="Times New Roman" w:hAnsi="Times New Roman" w:cs="Times New Roman"/>
          <w:sz w:val="24"/>
          <w:szCs w:val="24"/>
        </w:rPr>
        <w:t>,</w:t>
      </w:r>
      <w:r>
        <w:rPr>
          <w:rFonts w:ascii="Times New Roman" w:hAnsi="Times New Roman" w:cs="Times New Roman"/>
          <w:sz w:val="24"/>
          <w:szCs w:val="24"/>
        </w:rPr>
        <w:t xml:space="preserve"> and on behalf of</w:t>
      </w:r>
      <w:r w:rsidR="00E7097C">
        <w:rPr>
          <w:rFonts w:ascii="Times New Roman" w:hAnsi="Times New Roman" w:cs="Times New Roman"/>
          <w:sz w:val="24"/>
          <w:szCs w:val="24"/>
        </w:rPr>
        <w:t>,</w:t>
      </w:r>
      <w:r>
        <w:rPr>
          <w:rFonts w:ascii="Times New Roman" w:hAnsi="Times New Roman" w:cs="Times New Roman"/>
          <w:sz w:val="24"/>
          <w:szCs w:val="24"/>
        </w:rPr>
        <w:t xml:space="preserve"> his employer was being challenged. He did not say the applicant fell into the</w:t>
      </w:r>
      <w:r w:rsidR="003F5B26">
        <w:rPr>
          <w:rFonts w:ascii="Times New Roman" w:hAnsi="Times New Roman" w:cs="Times New Roman"/>
          <w:sz w:val="24"/>
          <w:szCs w:val="24"/>
        </w:rPr>
        <w:t xml:space="preserve"> category of</w:t>
      </w:r>
      <w:r>
        <w:rPr>
          <w:rFonts w:ascii="Times New Roman" w:hAnsi="Times New Roman" w:cs="Times New Roman"/>
          <w:sz w:val="24"/>
          <w:szCs w:val="24"/>
        </w:rPr>
        <w:t xml:space="preserve"> exception</w:t>
      </w:r>
      <w:r w:rsidR="003F5B26">
        <w:rPr>
          <w:rFonts w:ascii="Times New Roman" w:hAnsi="Times New Roman" w:cs="Times New Roman"/>
          <w:sz w:val="24"/>
          <w:szCs w:val="24"/>
        </w:rPr>
        <w:t>s</w:t>
      </w:r>
      <w:r>
        <w:rPr>
          <w:rFonts w:ascii="Times New Roman" w:hAnsi="Times New Roman" w:cs="Times New Roman"/>
          <w:sz w:val="24"/>
          <w:szCs w:val="24"/>
        </w:rPr>
        <w:t xml:space="preserve"> which the Supreme Court enunciated in </w:t>
      </w:r>
      <w:r>
        <w:rPr>
          <w:rFonts w:ascii="Times New Roman" w:hAnsi="Times New Roman" w:cs="Times New Roman"/>
          <w:i/>
          <w:sz w:val="24"/>
          <w:szCs w:val="24"/>
        </w:rPr>
        <w:t>Madzivire</w:t>
      </w:r>
      <w:r>
        <w:rPr>
          <w:rFonts w:ascii="Times New Roman" w:hAnsi="Times New Roman" w:cs="Times New Roman"/>
          <w:sz w:val="24"/>
          <w:szCs w:val="24"/>
        </w:rPr>
        <w:t xml:space="preserve">’s case.  </w:t>
      </w:r>
      <w:r>
        <w:rPr>
          <w:rFonts w:ascii="Times New Roman" w:hAnsi="Times New Roman" w:cs="Times New Roman"/>
          <w:i/>
          <w:sz w:val="24"/>
          <w:szCs w:val="24"/>
        </w:rPr>
        <w:t xml:space="preserve">Madzivire </w:t>
      </w:r>
      <w:r>
        <w:rPr>
          <w:rFonts w:ascii="Times New Roman" w:hAnsi="Times New Roman" w:cs="Times New Roman"/>
          <w:sz w:val="24"/>
          <w:szCs w:val="24"/>
        </w:rPr>
        <w:t>v</w:t>
      </w:r>
      <w:r>
        <w:rPr>
          <w:rFonts w:ascii="Times New Roman" w:hAnsi="Times New Roman" w:cs="Times New Roman"/>
          <w:i/>
          <w:sz w:val="24"/>
          <w:szCs w:val="24"/>
        </w:rPr>
        <w:t xml:space="preserve"> Zvarivadza</w:t>
      </w:r>
      <w:r>
        <w:rPr>
          <w:rFonts w:ascii="Times New Roman" w:hAnsi="Times New Roman" w:cs="Times New Roman"/>
          <w:sz w:val="24"/>
          <w:szCs w:val="24"/>
        </w:rPr>
        <w:t xml:space="preserve"> over-ruled the case which he cited in support of his position on the matter at hand. </w:t>
      </w:r>
      <w:r>
        <w:rPr>
          <w:rFonts w:ascii="Times New Roman" w:hAnsi="Times New Roman" w:cs="Times New Roman"/>
          <w:i/>
          <w:sz w:val="24"/>
          <w:szCs w:val="24"/>
        </w:rPr>
        <w:t xml:space="preserve">Direct Response </w:t>
      </w:r>
      <w:r w:rsidR="00BD61EC">
        <w:rPr>
          <w:rFonts w:ascii="Times New Roman" w:hAnsi="Times New Roman" w:cs="Times New Roman"/>
          <w:i/>
          <w:sz w:val="24"/>
          <w:szCs w:val="24"/>
        </w:rPr>
        <w:t>M</w:t>
      </w:r>
      <w:r>
        <w:rPr>
          <w:rFonts w:ascii="Times New Roman" w:hAnsi="Times New Roman" w:cs="Times New Roman"/>
          <w:i/>
          <w:sz w:val="24"/>
          <w:szCs w:val="24"/>
        </w:rPr>
        <w:t>arketing (Pvt) Ltd</w:t>
      </w:r>
      <w:r>
        <w:rPr>
          <w:rFonts w:ascii="Times New Roman" w:hAnsi="Times New Roman" w:cs="Times New Roman"/>
          <w:sz w:val="24"/>
          <w:szCs w:val="24"/>
        </w:rPr>
        <w:t xml:space="preserve"> v</w:t>
      </w:r>
      <w:r>
        <w:rPr>
          <w:rFonts w:ascii="Times New Roman" w:hAnsi="Times New Roman" w:cs="Times New Roman"/>
          <w:i/>
          <w:sz w:val="24"/>
          <w:szCs w:val="24"/>
        </w:rPr>
        <w:t xml:space="preserve"> Shepherd</w:t>
      </w:r>
      <w:r>
        <w:rPr>
          <w:rFonts w:ascii="Times New Roman" w:hAnsi="Times New Roman" w:cs="Times New Roman"/>
          <w:sz w:val="24"/>
          <w:szCs w:val="24"/>
        </w:rPr>
        <w:t xml:space="preserve">, 1993 (2) ZLR 218 (H) was decided by this court before </w:t>
      </w:r>
      <w:r>
        <w:rPr>
          <w:rFonts w:ascii="Times New Roman" w:hAnsi="Times New Roman" w:cs="Times New Roman"/>
          <w:i/>
          <w:sz w:val="24"/>
          <w:szCs w:val="24"/>
        </w:rPr>
        <w:t xml:space="preserve">Madzivire </w:t>
      </w:r>
      <w:r>
        <w:rPr>
          <w:rFonts w:ascii="Times New Roman" w:hAnsi="Times New Roman" w:cs="Times New Roman"/>
          <w:sz w:val="24"/>
          <w:szCs w:val="24"/>
        </w:rPr>
        <w:t>v</w:t>
      </w:r>
      <w:r>
        <w:rPr>
          <w:rFonts w:ascii="Times New Roman" w:hAnsi="Times New Roman" w:cs="Times New Roman"/>
          <w:i/>
          <w:sz w:val="24"/>
          <w:szCs w:val="24"/>
        </w:rPr>
        <w:t xml:space="preserve"> Zvarivadza</w:t>
      </w:r>
      <w:r>
        <w:rPr>
          <w:rFonts w:ascii="Times New Roman" w:hAnsi="Times New Roman" w:cs="Times New Roman"/>
          <w:sz w:val="24"/>
          <w:szCs w:val="24"/>
        </w:rPr>
        <w:t xml:space="preserve">. </w:t>
      </w:r>
    </w:p>
    <w:p w:rsidR="00C36F58" w:rsidRDefault="00C36F58" w:rsidP="00C36F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mention in passing</w:t>
      </w:r>
      <w:r w:rsidR="00847B7E">
        <w:rPr>
          <w:rFonts w:ascii="Times New Roman" w:hAnsi="Times New Roman" w:cs="Times New Roman"/>
          <w:sz w:val="24"/>
          <w:szCs w:val="24"/>
        </w:rPr>
        <w:t xml:space="preserve"> that</w:t>
      </w:r>
      <w:r>
        <w:rPr>
          <w:rFonts w:ascii="Times New Roman" w:hAnsi="Times New Roman" w:cs="Times New Roman"/>
          <w:sz w:val="24"/>
          <w:szCs w:val="24"/>
        </w:rPr>
        <w:t xml:space="preserve"> the citation which counsel</w:t>
      </w:r>
      <w:r w:rsidR="008402D6">
        <w:rPr>
          <w:rFonts w:ascii="Times New Roman" w:hAnsi="Times New Roman" w:cs="Times New Roman"/>
          <w:sz w:val="24"/>
          <w:szCs w:val="24"/>
        </w:rPr>
        <w:t xml:space="preserve"> for the respondent</w:t>
      </w:r>
      <w:r>
        <w:rPr>
          <w:rFonts w:ascii="Times New Roman" w:hAnsi="Times New Roman" w:cs="Times New Roman"/>
          <w:sz w:val="24"/>
          <w:szCs w:val="24"/>
        </w:rPr>
        <w:t xml:space="preserve"> referred in </w:t>
      </w:r>
      <w:r w:rsidR="0071577C">
        <w:rPr>
          <w:rFonts w:ascii="Times New Roman" w:hAnsi="Times New Roman" w:cs="Times New Roman"/>
          <w:i/>
          <w:sz w:val="24"/>
          <w:szCs w:val="24"/>
        </w:rPr>
        <w:t>Ta</w:t>
      </w:r>
      <w:r w:rsidR="006D0B98">
        <w:rPr>
          <w:rFonts w:ascii="Times New Roman" w:hAnsi="Times New Roman" w:cs="Times New Roman"/>
          <w:i/>
          <w:sz w:val="24"/>
          <w:szCs w:val="24"/>
        </w:rPr>
        <w:t>t</w:t>
      </w:r>
      <w:r w:rsidR="0071577C">
        <w:rPr>
          <w:rFonts w:ascii="Times New Roman" w:hAnsi="Times New Roman" w:cs="Times New Roman"/>
          <w:i/>
          <w:sz w:val="24"/>
          <w:szCs w:val="24"/>
        </w:rPr>
        <w:t xml:space="preserve">tersal and </w:t>
      </w:r>
      <w:r w:rsidR="00847B7E" w:rsidRPr="00847B7E">
        <w:rPr>
          <w:rFonts w:ascii="Times New Roman" w:hAnsi="Times New Roman" w:cs="Times New Roman"/>
          <w:i/>
          <w:sz w:val="24"/>
          <w:szCs w:val="24"/>
        </w:rPr>
        <w:t xml:space="preserve"> Anor</w:t>
      </w:r>
      <w:r w:rsidR="00847B7E">
        <w:rPr>
          <w:rFonts w:ascii="Times New Roman" w:hAnsi="Times New Roman" w:cs="Times New Roman"/>
          <w:sz w:val="24"/>
          <w:szCs w:val="24"/>
        </w:rPr>
        <w:t xml:space="preserve"> v </w:t>
      </w:r>
      <w:r w:rsidR="00847B7E" w:rsidRPr="00847B7E">
        <w:rPr>
          <w:rFonts w:ascii="Times New Roman" w:hAnsi="Times New Roman" w:cs="Times New Roman"/>
          <w:i/>
          <w:sz w:val="24"/>
          <w:szCs w:val="24"/>
        </w:rPr>
        <w:t>Nedor Bank</w:t>
      </w:r>
      <w:r w:rsidR="0071577C">
        <w:rPr>
          <w:rFonts w:ascii="Times New Roman" w:hAnsi="Times New Roman" w:cs="Times New Roman"/>
          <w:i/>
          <w:sz w:val="24"/>
          <w:szCs w:val="24"/>
        </w:rPr>
        <w:t xml:space="preserve"> Ltd, </w:t>
      </w:r>
      <w:r w:rsidR="00847B7E">
        <w:rPr>
          <w:rFonts w:ascii="Times New Roman" w:hAnsi="Times New Roman" w:cs="Times New Roman"/>
          <w:sz w:val="24"/>
          <w:szCs w:val="24"/>
        </w:rPr>
        <w:t xml:space="preserve"> 1995 (2) SA 222</w:t>
      </w:r>
      <w:r w:rsidR="0071577C">
        <w:rPr>
          <w:rFonts w:ascii="Times New Roman" w:hAnsi="Times New Roman" w:cs="Times New Roman"/>
          <w:sz w:val="24"/>
          <w:szCs w:val="24"/>
        </w:rPr>
        <w:t>, 2</w:t>
      </w:r>
      <w:r w:rsidR="00847B7E">
        <w:rPr>
          <w:rFonts w:ascii="Times New Roman" w:hAnsi="Times New Roman" w:cs="Times New Roman"/>
          <w:sz w:val="24"/>
          <w:szCs w:val="24"/>
        </w:rPr>
        <w:t>28F</w:t>
      </w:r>
      <w:r>
        <w:rPr>
          <w:rFonts w:ascii="Times New Roman" w:hAnsi="Times New Roman" w:cs="Times New Roman"/>
          <w:sz w:val="24"/>
          <w:szCs w:val="24"/>
        </w:rPr>
        <w:t xml:space="preserve"> did not match the names of the parties. I was</w:t>
      </w:r>
      <w:r w:rsidR="00847B7E">
        <w:rPr>
          <w:rFonts w:ascii="Times New Roman" w:hAnsi="Times New Roman" w:cs="Times New Roman"/>
          <w:sz w:val="24"/>
          <w:szCs w:val="24"/>
        </w:rPr>
        <w:t>,</w:t>
      </w:r>
      <w:r>
        <w:rPr>
          <w:rFonts w:ascii="Times New Roman" w:hAnsi="Times New Roman" w:cs="Times New Roman"/>
          <w:sz w:val="24"/>
          <w:szCs w:val="24"/>
        </w:rPr>
        <w:t xml:space="preserve"> therefore, unable to derive any benefit from that case as I did not find it in the 1995 (2) set of case authorities.</w:t>
      </w:r>
      <w:r w:rsidR="00E7097C">
        <w:rPr>
          <w:rFonts w:ascii="Times New Roman" w:hAnsi="Times New Roman" w:cs="Times New Roman"/>
          <w:sz w:val="24"/>
          <w:szCs w:val="24"/>
        </w:rPr>
        <w:t xml:space="preserve"> </w:t>
      </w:r>
      <w:r w:rsidR="00E7097C" w:rsidRPr="00E7097C">
        <w:rPr>
          <w:rFonts w:ascii="Times New Roman" w:hAnsi="Times New Roman" w:cs="Times New Roman"/>
          <w:i/>
          <w:sz w:val="24"/>
          <w:szCs w:val="24"/>
        </w:rPr>
        <w:t>Tatters</w:t>
      </w:r>
      <w:r w:rsidR="00E7097C">
        <w:rPr>
          <w:rFonts w:ascii="Times New Roman" w:hAnsi="Times New Roman" w:cs="Times New Roman"/>
          <w:i/>
          <w:sz w:val="24"/>
          <w:szCs w:val="24"/>
        </w:rPr>
        <w:t>a</w:t>
      </w:r>
      <w:r w:rsidR="00E7097C" w:rsidRPr="00E7097C">
        <w:rPr>
          <w:rFonts w:ascii="Times New Roman" w:hAnsi="Times New Roman" w:cs="Times New Roman"/>
          <w:i/>
          <w:sz w:val="24"/>
          <w:szCs w:val="24"/>
        </w:rPr>
        <w:t>l</w:t>
      </w:r>
      <w:r w:rsidR="00E7097C">
        <w:rPr>
          <w:rFonts w:ascii="Times New Roman" w:hAnsi="Times New Roman" w:cs="Times New Roman"/>
          <w:sz w:val="24"/>
          <w:szCs w:val="24"/>
        </w:rPr>
        <w:t xml:space="preserve"> v </w:t>
      </w:r>
      <w:r w:rsidR="00E7097C" w:rsidRPr="00E7097C">
        <w:rPr>
          <w:rFonts w:ascii="Times New Roman" w:hAnsi="Times New Roman" w:cs="Times New Roman"/>
          <w:i/>
          <w:sz w:val="24"/>
          <w:szCs w:val="24"/>
        </w:rPr>
        <w:t>Nedor Bank</w:t>
      </w:r>
      <w:r w:rsidR="00E7097C">
        <w:rPr>
          <w:rFonts w:ascii="Times New Roman" w:hAnsi="Times New Roman" w:cs="Times New Roman"/>
          <w:sz w:val="24"/>
          <w:szCs w:val="24"/>
        </w:rPr>
        <w:t xml:space="preserve"> was, at any rate decided earlier than </w:t>
      </w:r>
      <w:r w:rsidR="00E7097C">
        <w:rPr>
          <w:rFonts w:ascii="Times New Roman" w:hAnsi="Times New Roman" w:cs="Times New Roman"/>
          <w:i/>
          <w:sz w:val="24"/>
          <w:szCs w:val="24"/>
        </w:rPr>
        <w:t xml:space="preserve">Madzivire </w:t>
      </w:r>
      <w:r w:rsidR="00E7097C">
        <w:rPr>
          <w:rFonts w:ascii="Times New Roman" w:hAnsi="Times New Roman" w:cs="Times New Roman"/>
          <w:sz w:val="24"/>
          <w:szCs w:val="24"/>
        </w:rPr>
        <w:t xml:space="preserve">v </w:t>
      </w:r>
      <w:r w:rsidR="00E7097C">
        <w:rPr>
          <w:rFonts w:ascii="Times New Roman" w:hAnsi="Times New Roman" w:cs="Times New Roman"/>
          <w:i/>
          <w:sz w:val="24"/>
          <w:szCs w:val="24"/>
        </w:rPr>
        <w:t xml:space="preserve">Zvarivadza. </w:t>
      </w:r>
      <w:r w:rsidR="00E7097C" w:rsidRPr="00E7097C">
        <w:rPr>
          <w:rFonts w:ascii="Times New Roman" w:hAnsi="Times New Roman" w:cs="Times New Roman"/>
          <w:sz w:val="24"/>
          <w:szCs w:val="24"/>
        </w:rPr>
        <w:t>The lat</w:t>
      </w:r>
      <w:r w:rsidR="00E7097C">
        <w:rPr>
          <w:rFonts w:ascii="Times New Roman" w:hAnsi="Times New Roman" w:cs="Times New Roman"/>
          <w:sz w:val="24"/>
          <w:szCs w:val="24"/>
        </w:rPr>
        <w:t>t</w:t>
      </w:r>
      <w:r w:rsidR="00E7097C" w:rsidRPr="00E7097C">
        <w:rPr>
          <w:rFonts w:ascii="Times New Roman" w:hAnsi="Times New Roman" w:cs="Times New Roman"/>
          <w:sz w:val="24"/>
          <w:szCs w:val="24"/>
        </w:rPr>
        <w:t>er case</w:t>
      </w:r>
      <w:r w:rsidR="00E7097C">
        <w:rPr>
          <w:rFonts w:ascii="Times New Roman" w:hAnsi="Times New Roman" w:cs="Times New Roman"/>
          <w:sz w:val="24"/>
          <w:szCs w:val="24"/>
        </w:rPr>
        <w:t xml:space="preserve"> therefore, over ruled the </w:t>
      </w:r>
      <w:r w:rsidR="00E7097C" w:rsidRPr="00B318F2">
        <w:rPr>
          <w:rFonts w:ascii="Times New Roman" w:hAnsi="Times New Roman" w:cs="Times New Roman"/>
          <w:i/>
          <w:sz w:val="24"/>
          <w:szCs w:val="24"/>
        </w:rPr>
        <w:t>Tattersal</w:t>
      </w:r>
      <w:r w:rsidR="00E7097C">
        <w:rPr>
          <w:rFonts w:ascii="Times New Roman" w:hAnsi="Times New Roman" w:cs="Times New Roman"/>
          <w:sz w:val="24"/>
          <w:szCs w:val="24"/>
        </w:rPr>
        <w:t xml:space="preserve"> case as i</w:t>
      </w:r>
      <w:r w:rsidR="00646B92">
        <w:rPr>
          <w:rFonts w:ascii="Times New Roman" w:hAnsi="Times New Roman" w:cs="Times New Roman"/>
          <w:sz w:val="24"/>
          <w:szCs w:val="24"/>
        </w:rPr>
        <w:t>t</w:t>
      </w:r>
      <w:r w:rsidR="00E7097C">
        <w:rPr>
          <w:rFonts w:ascii="Times New Roman" w:hAnsi="Times New Roman" w:cs="Times New Roman"/>
          <w:sz w:val="24"/>
          <w:szCs w:val="24"/>
        </w:rPr>
        <w:t xml:space="preserve"> did the </w:t>
      </w:r>
      <w:r w:rsidR="00B318F2" w:rsidRPr="00B318F2">
        <w:rPr>
          <w:rFonts w:ascii="Times New Roman" w:hAnsi="Times New Roman" w:cs="Times New Roman"/>
          <w:i/>
          <w:sz w:val="24"/>
          <w:szCs w:val="24"/>
        </w:rPr>
        <w:t>D</w:t>
      </w:r>
      <w:r w:rsidR="00E7097C" w:rsidRPr="00B318F2">
        <w:rPr>
          <w:rFonts w:ascii="Times New Roman" w:hAnsi="Times New Roman" w:cs="Times New Roman"/>
          <w:i/>
          <w:sz w:val="24"/>
          <w:szCs w:val="24"/>
        </w:rPr>
        <w:t xml:space="preserve">irect </w:t>
      </w:r>
      <w:r w:rsidR="00B318F2" w:rsidRPr="00B318F2">
        <w:rPr>
          <w:rFonts w:ascii="Times New Roman" w:hAnsi="Times New Roman" w:cs="Times New Roman"/>
          <w:i/>
          <w:sz w:val="24"/>
          <w:szCs w:val="24"/>
        </w:rPr>
        <w:t>R</w:t>
      </w:r>
      <w:r w:rsidR="00E7097C" w:rsidRPr="00B318F2">
        <w:rPr>
          <w:rFonts w:ascii="Times New Roman" w:hAnsi="Times New Roman" w:cs="Times New Roman"/>
          <w:i/>
          <w:sz w:val="24"/>
          <w:szCs w:val="24"/>
        </w:rPr>
        <w:t xml:space="preserve">esponse </w:t>
      </w:r>
      <w:r w:rsidR="00B318F2" w:rsidRPr="00B318F2">
        <w:rPr>
          <w:rFonts w:ascii="Times New Roman" w:hAnsi="Times New Roman" w:cs="Times New Roman"/>
          <w:i/>
          <w:sz w:val="24"/>
          <w:szCs w:val="24"/>
        </w:rPr>
        <w:t>M</w:t>
      </w:r>
      <w:r w:rsidR="00E7097C" w:rsidRPr="00B318F2">
        <w:rPr>
          <w:rFonts w:ascii="Times New Roman" w:hAnsi="Times New Roman" w:cs="Times New Roman"/>
          <w:i/>
          <w:sz w:val="24"/>
          <w:szCs w:val="24"/>
        </w:rPr>
        <w:t>arketing</w:t>
      </w:r>
      <w:r w:rsidR="00E7097C">
        <w:rPr>
          <w:rFonts w:ascii="Times New Roman" w:hAnsi="Times New Roman" w:cs="Times New Roman"/>
          <w:sz w:val="24"/>
          <w:szCs w:val="24"/>
        </w:rPr>
        <w:t xml:space="preserve"> case.  </w:t>
      </w:r>
    </w:p>
    <w:p w:rsidR="00C36F58" w:rsidRDefault="00C36F58" w:rsidP="00C36F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deponent to the founding affidavit had every opportunity to attach to his answering affidavit a resolution of the applicant’s directors as the law required him to have done. The resolution would have constituted clear evidence of his authority to depose to the</w:t>
      </w:r>
      <w:r w:rsidR="00847B7E">
        <w:rPr>
          <w:rFonts w:ascii="Times New Roman" w:hAnsi="Times New Roman" w:cs="Times New Roman"/>
          <w:sz w:val="24"/>
          <w:szCs w:val="24"/>
        </w:rPr>
        <w:t xml:space="preserve"> </w:t>
      </w:r>
      <w:r>
        <w:rPr>
          <w:rFonts w:ascii="Times New Roman" w:hAnsi="Times New Roman" w:cs="Times New Roman"/>
          <w:sz w:val="24"/>
          <w:szCs w:val="24"/>
        </w:rPr>
        <w:t>founding affidavit. His decision not to attach the resolution left</w:t>
      </w:r>
      <w:r w:rsidR="00847B7E">
        <w:rPr>
          <w:rFonts w:ascii="Times New Roman" w:hAnsi="Times New Roman" w:cs="Times New Roman"/>
          <w:sz w:val="24"/>
          <w:szCs w:val="24"/>
        </w:rPr>
        <w:t xml:space="preserve"> the applicant’s </w:t>
      </w:r>
      <w:r>
        <w:rPr>
          <w:rFonts w:ascii="Times New Roman" w:hAnsi="Times New Roman" w:cs="Times New Roman"/>
          <w:sz w:val="24"/>
          <w:szCs w:val="24"/>
        </w:rPr>
        <w:t>case standing on</w:t>
      </w:r>
      <w:r w:rsidR="00847B7E">
        <w:rPr>
          <w:rFonts w:ascii="Times New Roman" w:hAnsi="Times New Roman" w:cs="Times New Roman"/>
          <w:sz w:val="24"/>
          <w:szCs w:val="24"/>
        </w:rPr>
        <w:t xml:space="preserve"> nothing</w:t>
      </w:r>
      <w:r>
        <w:rPr>
          <w:rFonts w:ascii="Times New Roman" w:hAnsi="Times New Roman" w:cs="Times New Roman"/>
          <w:sz w:val="24"/>
          <w:szCs w:val="24"/>
        </w:rPr>
        <w:t>. He failed to convince the court that he was clothed with the requisite authority to speak for, and on behalf of</w:t>
      </w:r>
      <w:r w:rsidR="00847B7E">
        <w:rPr>
          <w:rFonts w:ascii="Times New Roman" w:hAnsi="Times New Roman" w:cs="Times New Roman"/>
          <w:sz w:val="24"/>
          <w:szCs w:val="24"/>
        </w:rPr>
        <w:t>,</w:t>
      </w:r>
      <w:r>
        <w:rPr>
          <w:rFonts w:ascii="Times New Roman" w:hAnsi="Times New Roman" w:cs="Times New Roman"/>
          <w:sz w:val="24"/>
          <w:szCs w:val="24"/>
        </w:rPr>
        <w:t xml:space="preserve"> h</w:t>
      </w:r>
      <w:r w:rsidR="00847B7E">
        <w:rPr>
          <w:rFonts w:ascii="Times New Roman" w:hAnsi="Times New Roman" w:cs="Times New Roman"/>
          <w:sz w:val="24"/>
          <w:szCs w:val="24"/>
        </w:rPr>
        <w:t>i</w:t>
      </w:r>
      <w:r>
        <w:rPr>
          <w:rFonts w:ascii="Times New Roman" w:hAnsi="Times New Roman" w:cs="Times New Roman"/>
          <w:sz w:val="24"/>
          <w:szCs w:val="24"/>
        </w:rPr>
        <w:t xml:space="preserve">s employer. The application cannot, on the mentioned basis, be allowed to stand. </w:t>
      </w:r>
    </w:p>
    <w:p w:rsidR="00C36F58" w:rsidRDefault="00C36F58" w:rsidP="00C36F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respondents</w:t>
      </w:r>
      <w:r w:rsidR="00847B7E">
        <w:rPr>
          <w:rFonts w:ascii="Times New Roman" w:hAnsi="Times New Roman" w:cs="Times New Roman"/>
          <w:sz w:val="24"/>
          <w:szCs w:val="24"/>
        </w:rPr>
        <w:t>’</w:t>
      </w:r>
      <w:r>
        <w:rPr>
          <w:rFonts w:ascii="Times New Roman" w:hAnsi="Times New Roman" w:cs="Times New Roman"/>
          <w:sz w:val="24"/>
          <w:szCs w:val="24"/>
        </w:rPr>
        <w:t xml:space="preserve"> assertion which was to the effect that the court did not have the jurisdiction to hear the application fell more into the realms of a wild goose chase than it </w:t>
      </w:r>
      <w:r w:rsidR="008402D6">
        <w:rPr>
          <w:rFonts w:ascii="Times New Roman" w:hAnsi="Times New Roman" w:cs="Times New Roman"/>
          <w:sz w:val="24"/>
          <w:szCs w:val="24"/>
        </w:rPr>
        <w:t xml:space="preserve">fell </w:t>
      </w:r>
      <w:r>
        <w:rPr>
          <w:rFonts w:ascii="Times New Roman" w:hAnsi="Times New Roman" w:cs="Times New Roman"/>
          <w:sz w:val="24"/>
          <w:szCs w:val="24"/>
        </w:rPr>
        <w:t>into the domain of reason. They hinged that statement on clause 6.1 as read with clause 34 of the lease agreement.</w:t>
      </w:r>
    </w:p>
    <w:p w:rsidR="00C36F58" w:rsidRDefault="00C36F58" w:rsidP="00C36F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respondents know as much as I do that s 17</w:t>
      </w:r>
      <w:r w:rsidR="00847B7E">
        <w:rPr>
          <w:rFonts w:ascii="Times New Roman" w:hAnsi="Times New Roman" w:cs="Times New Roman"/>
          <w:sz w:val="24"/>
          <w:szCs w:val="24"/>
        </w:rPr>
        <w:t>1 (a)</w:t>
      </w:r>
      <w:r>
        <w:rPr>
          <w:rFonts w:ascii="Times New Roman" w:hAnsi="Times New Roman" w:cs="Times New Roman"/>
          <w:sz w:val="24"/>
          <w:szCs w:val="24"/>
        </w:rPr>
        <w:t xml:space="preserve"> of the Constitution of Zimbabwe did not, and does not</w:t>
      </w:r>
      <w:r w:rsidR="00167C0A">
        <w:rPr>
          <w:rFonts w:ascii="Times New Roman" w:hAnsi="Times New Roman" w:cs="Times New Roman"/>
          <w:sz w:val="24"/>
          <w:szCs w:val="24"/>
        </w:rPr>
        <w:t>,</w:t>
      </w:r>
      <w:r>
        <w:rPr>
          <w:rFonts w:ascii="Times New Roman" w:hAnsi="Times New Roman" w:cs="Times New Roman"/>
          <w:sz w:val="24"/>
          <w:szCs w:val="24"/>
        </w:rPr>
        <w:t xml:space="preserve"> allow them to enter into a contract which ousts the jurisdiction of this court. It reads: </w:t>
      </w:r>
    </w:p>
    <w:p w:rsidR="00C36F58" w:rsidRDefault="00C36F58" w:rsidP="00C36F58">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“171 JURISDICTION OF THE HIGH COURT</w:t>
      </w:r>
    </w:p>
    <w:p w:rsidR="00C36F58" w:rsidRDefault="00C36F58" w:rsidP="00C36F58">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The High Court- </w:t>
      </w:r>
    </w:p>
    <w:p w:rsidR="00C36F58" w:rsidRDefault="00C36F58" w:rsidP="00C36F58">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has original jurisdiction over all civil  and criminal matters throughout Zimbabwe;</w:t>
      </w:r>
    </w:p>
    <w:p w:rsidR="00C36F58" w:rsidRDefault="00C36F58" w:rsidP="00C36F58">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w:t>
      </w:r>
    </w:p>
    <w:p w:rsidR="00C36F58" w:rsidRDefault="00C36F58" w:rsidP="00C36F58">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lastRenderedPageBreak/>
        <w:t>………...;</w:t>
      </w:r>
    </w:p>
    <w:p w:rsidR="00C36F58" w:rsidRDefault="00C36F58" w:rsidP="00C36F58">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 </w:t>
      </w:r>
    </w:p>
    <w:p w:rsidR="00C36F58" w:rsidRDefault="00C36F58" w:rsidP="00C36F58">
      <w:pPr>
        <w:pStyle w:val="ListParagraph"/>
        <w:spacing w:after="0" w:line="240" w:lineRule="auto"/>
        <w:ind w:left="0"/>
        <w:jc w:val="both"/>
        <w:rPr>
          <w:rFonts w:ascii="Times New Roman" w:hAnsi="Times New Roman" w:cs="Times New Roman"/>
        </w:rPr>
      </w:pPr>
    </w:p>
    <w:p w:rsidR="00C36F58" w:rsidRDefault="00C36F58" w:rsidP="00C36F5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rPr>
        <w:tab/>
      </w:r>
      <w:r w:rsidRPr="00B045AD">
        <w:rPr>
          <w:rFonts w:ascii="Times New Roman" w:hAnsi="Times New Roman" w:cs="Times New Roman"/>
          <w:smallCaps/>
          <w:sz w:val="24"/>
          <w:szCs w:val="24"/>
        </w:rPr>
        <w:t>Garwe</w:t>
      </w:r>
      <w:r>
        <w:rPr>
          <w:rFonts w:ascii="Times New Roman" w:hAnsi="Times New Roman" w:cs="Times New Roman"/>
          <w:sz w:val="24"/>
          <w:szCs w:val="24"/>
        </w:rPr>
        <w:t xml:space="preserve"> JA lucidly stated the inherent jurisdiction of this court in </w:t>
      </w:r>
      <w:r>
        <w:rPr>
          <w:rFonts w:ascii="Times New Roman" w:hAnsi="Times New Roman" w:cs="Times New Roman"/>
          <w:i/>
          <w:sz w:val="24"/>
          <w:szCs w:val="24"/>
        </w:rPr>
        <w:t>Gawa &amp; Anor</w:t>
      </w:r>
      <w:r>
        <w:rPr>
          <w:rFonts w:ascii="Times New Roman" w:hAnsi="Times New Roman" w:cs="Times New Roman"/>
          <w:sz w:val="24"/>
          <w:szCs w:val="24"/>
        </w:rPr>
        <w:t xml:space="preserve"> v </w:t>
      </w:r>
      <w:r>
        <w:rPr>
          <w:rFonts w:ascii="Times New Roman" w:hAnsi="Times New Roman" w:cs="Times New Roman"/>
          <w:i/>
          <w:sz w:val="24"/>
          <w:szCs w:val="24"/>
        </w:rPr>
        <w:t>Willoughyhy’s Investments (Pvt) Ltd</w:t>
      </w:r>
      <w:r>
        <w:rPr>
          <w:rFonts w:ascii="Times New Roman" w:hAnsi="Times New Roman" w:cs="Times New Roman"/>
          <w:sz w:val="24"/>
          <w:szCs w:val="24"/>
        </w:rPr>
        <w:t xml:space="preserve">, 2009 (1) ZLR 368 (S) wherein he remarked at 383 that: </w:t>
      </w:r>
    </w:p>
    <w:p w:rsidR="00C36F58" w:rsidRDefault="00C36F58" w:rsidP="00C36F58">
      <w:pPr>
        <w:pStyle w:val="ListParagraph"/>
        <w:spacing w:after="0" w:line="240" w:lineRule="auto"/>
        <w:jc w:val="both"/>
        <w:rPr>
          <w:rFonts w:ascii="Times New Roman" w:hAnsi="Times New Roman" w:cs="Times New Roman"/>
          <w:sz w:val="24"/>
          <w:szCs w:val="24"/>
        </w:rPr>
      </w:pPr>
      <w:r>
        <w:rPr>
          <w:rFonts w:ascii="Times New Roman" w:hAnsi="Times New Roman" w:cs="Times New Roman"/>
        </w:rPr>
        <w:t xml:space="preserve">“…. In terms of jurisdiction, the distinction between the Supreme Court and the High Court may be summarised as follows: Except where specifically empowered, the Supreme Court has no jurisdiction to </w:t>
      </w:r>
      <w:r w:rsidR="00167C0A">
        <w:rPr>
          <w:rFonts w:ascii="Times New Roman" w:hAnsi="Times New Roman" w:cs="Times New Roman"/>
        </w:rPr>
        <w:t>h</w:t>
      </w:r>
      <w:r>
        <w:rPr>
          <w:rFonts w:ascii="Times New Roman" w:hAnsi="Times New Roman" w:cs="Times New Roman"/>
        </w:rPr>
        <w:t xml:space="preserve">ear or determine any matter and may only exercise powers in respect of an appeal in terms of the provisions of the Act and Rules of the court. The High Court on the other hand has the jurisdiction to hear </w:t>
      </w:r>
      <w:r>
        <w:rPr>
          <w:rFonts w:ascii="Times New Roman" w:hAnsi="Times New Roman" w:cs="Times New Roman"/>
          <w:u w:val="single"/>
        </w:rPr>
        <w:t>all matters</w:t>
      </w:r>
      <w:r>
        <w:rPr>
          <w:rFonts w:ascii="Times New Roman" w:hAnsi="Times New Roman" w:cs="Times New Roman"/>
        </w:rPr>
        <w:t xml:space="preserve"> except where limitations are imposed by law. In other words, whilst the Supreme Court may do nothing that the law does not </w:t>
      </w:r>
      <w:r w:rsidR="00167C0A">
        <w:rPr>
          <w:rFonts w:ascii="Times New Roman" w:hAnsi="Times New Roman" w:cs="Times New Roman"/>
        </w:rPr>
        <w:t>permit</w:t>
      </w:r>
      <w:r>
        <w:rPr>
          <w:rFonts w:ascii="Times New Roman" w:hAnsi="Times New Roman" w:cs="Times New Roman"/>
        </w:rPr>
        <w:t xml:space="preserve">, </w:t>
      </w:r>
      <w:r>
        <w:rPr>
          <w:rFonts w:ascii="Times New Roman" w:hAnsi="Times New Roman" w:cs="Times New Roman"/>
          <w:u w:val="single"/>
        </w:rPr>
        <w:t>the High Court may do anything  that the law does not forbid.”</w:t>
      </w:r>
      <w:r w:rsidRPr="001204D0">
        <w:rPr>
          <w:rFonts w:ascii="Times New Roman" w:hAnsi="Times New Roman" w:cs="Times New Roman"/>
        </w:rPr>
        <w:t xml:space="preserve">  [emphasis added].</w:t>
      </w:r>
      <w:r w:rsidRPr="001204D0">
        <w:rPr>
          <w:rFonts w:ascii="Times New Roman" w:hAnsi="Times New Roman" w:cs="Times New Roman"/>
          <w:sz w:val="24"/>
          <w:szCs w:val="24"/>
        </w:rPr>
        <w:t xml:space="preserve">  </w:t>
      </w:r>
    </w:p>
    <w:p w:rsidR="00C36F58" w:rsidRDefault="00C36F58" w:rsidP="00C36F58">
      <w:pPr>
        <w:pStyle w:val="ListParagraph"/>
        <w:spacing w:after="0" w:line="240" w:lineRule="auto"/>
        <w:jc w:val="both"/>
        <w:rPr>
          <w:rFonts w:ascii="Times New Roman" w:hAnsi="Times New Roman" w:cs="Times New Roman"/>
          <w:sz w:val="24"/>
          <w:szCs w:val="24"/>
        </w:rPr>
      </w:pPr>
    </w:p>
    <w:p w:rsidR="00BD6685" w:rsidRPr="00BD6685" w:rsidRDefault="008402D6" w:rsidP="00BD6685">
      <w:pPr>
        <w:pStyle w:val="ListParagraph"/>
        <w:tabs>
          <w:tab w:val="left" w:pos="630"/>
        </w:tabs>
        <w:spacing w:after="0" w:line="360" w:lineRule="auto"/>
        <w:ind w:left="0"/>
        <w:jc w:val="both"/>
        <w:rPr>
          <w:rFonts w:ascii="Times New Roman" w:hAnsi="Times New Roman" w:cs="Times New Roman"/>
        </w:rPr>
      </w:pPr>
      <w:r>
        <w:rPr>
          <w:rFonts w:ascii="Times New Roman" w:hAnsi="Times New Roman" w:cs="Times New Roman"/>
          <w:sz w:val="24"/>
          <w:szCs w:val="24"/>
        </w:rPr>
        <w:tab/>
      </w:r>
      <w:r w:rsidR="00C36F58">
        <w:rPr>
          <w:rFonts w:ascii="Times New Roman" w:hAnsi="Times New Roman" w:cs="Times New Roman"/>
          <w:sz w:val="24"/>
          <w:szCs w:val="24"/>
        </w:rPr>
        <w:t>For the abovementioned reason, it was perfectly in order for me to hear the application. I would</w:t>
      </w:r>
      <w:r w:rsidR="00167C0A">
        <w:rPr>
          <w:rFonts w:ascii="Times New Roman" w:hAnsi="Times New Roman" w:cs="Times New Roman"/>
          <w:sz w:val="24"/>
          <w:szCs w:val="24"/>
        </w:rPr>
        <w:t>,</w:t>
      </w:r>
      <w:r w:rsidR="00C36F58">
        <w:rPr>
          <w:rFonts w:ascii="Times New Roman" w:hAnsi="Times New Roman" w:cs="Times New Roman"/>
          <w:sz w:val="24"/>
          <w:szCs w:val="24"/>
        </w:rPr>
        <w:t xml:space="preserve"> in any event, have heard it for the other reason that the lease agreement which the parties signed contained a condition precedent which the respondents </w:t>
      </w:r>
      <w:r w:rsidR="00C36F58" w:rsidRPr="00BD6685">
        <w:rPr>
          <w:rFonts w:ascii="Times New Roman" w:hAnsi="Times New Roman" w:cs="Times New Roman"/>
          <w:sz w:val="24"/>
          <w:szCs w:val="24"/>
        </w:rPr>
        <w:t>did</w:t>
      </w:r>
      <w:r w:rsidR="00C36F58" w:rsidRPr="00BD6685">
        <w:rPr>
          <w:rFonts w:ascii="Times New Roman" w:hAnsi="Times New Roman" w:cs="Times New Roman"/>
          <w:b/>
          <w:sz w:val="24"/>
          <w:szCs w:val="24"/>
        </w:rPr>
        <w:t xml:space="preserve"> </w:t>
      </w:r>
      <w:r w:rsidR="00BD6685">
        <w:rPr>
          <w:rFonts w:ascii="Times New Roman" w:hAnsi="Times New Roman" w:cs="Times New Roman"/>
          <w:sz w:val="24"/>
          <w:szCs w:val="24"/>
        </w:rPr>
        <w:t xml:space="preserve">not fulfil. The condition rendered the contract inoperative until it was satisfied. Reference is made in </w:t>
      </w:r>
      <w:r>
        <w:rPr>
          <w:rFonts w:ascii="Times New Roman" w:hAnsi="Times New Roman" w:cs="Times New Roman"/>
          <w:sz w:val="24"/>
          <w:szCs w:val="24"/>
        </w:rPr>
        <w:t>t</w:t>
      </w:r>
      <w:r w:rsidR="00BD6685">
        <w:rPr>
          <w:rFonts w:ascii="Times New Roman" w:hAnsi="Times New Roman" w:cs="Times New Roman"/>
          <w:sz w:val="24"/>
          <w:szCs w:val="24"/>
        </w:rPr>
        <w:t>his regard to clause 38 of the lease agreement. It reads:</w:t>
      </w:r>
    </w:p>
    <w:p w:rsidR="0071577C" w:rsidRDefault="00BD6685" w:rsidP="00BD6685">
      <w:pPr>
        <w:spacing w:after="0" w:line="240" w:lineRule="auto"/>
        <w:ind w:left="720"/>
        <w:jc w:val="both"/>
        <w:rPr>
          <w:rFonts w:ascii="Times New Roman" w:hAnsi="Times New Roman" w:cs="Times New Roman"/>
        </w:rPr>
      </w:pPr>
      <w:r>
        <w:rPr>
          <w:rFonts w:ascii="Times New Roman" w:hAnsi="Times New Roman" w:cs="Times New Roman"/>
        </w:rPr>
        <w:t xml:space="preserve">“38. SURETYSHIP IF TENANT </w:t>
      </w:r>
      <w:r w:rsidR="00BD61EC">
        <w:rPr>
          <w:rFonts w:ascii="Times New Roman" w:hAnsi="Times New Roman" w:cs="Times New Roman"/>
        </w:rPr>
        <w:t xml:space="preserve">IS A </w:t>
      </w:r>
      <w:r w:rsidR="00167C0A">
        <w:rPr>
          <w:rFonts w:ascii="Times New Roman" w:hAnsi="Times New Roman" w:cs="Times New Roman"/>
        </w:rPr>
        <w:t>COMPANY</w:t>
      </w:r>
    </w:p>
    <w:p w:rsidR="00BD6685" w:rsidRDefault="00BD6685" w:rsidP="0071577C">
      <w:pPr>
        <w:spacing w:after="0" w:line="240" w:lineRule="auto"/>
        <w:ind w:left="720"/>
        <w:jc w:val="both"/>
        <w:rPr>
          <w:rFonts w:ascii="Times New Roman" w:hAnsi="Times New Roman" w:cs="Times New Roman"/>
        </w:rPr>
      </w:pPr>
      <w:r>
        <w:rPr>
          <w:rFonts w:ascii="Times New Roman" w:hAnsi="Times New Roman" w:cs="Times New Roman"/>
        </w:rPr>
        <w:t xml:space="preserve"> </w:t>
      </w:r>
      <w:r w:rsidR="00167C0A">
        <w:rPr>
          <w:rFonts w:ascii="Times New Roman" w:hAnsi="Times New Roman" w:cs="Times New Roman"/>
        </w:rPr>
        <w:t>I</w:t>
      </w:r>
      <w:r>
        <w:rPr>
          <w:rFonts w:ascii="Times New Roman" w:hAnsi="Times New Roman" w:cs="Times New Roman"/>
        </w:rPr>
        <w:t xml:space="preserve">n the event that the Tenant is a private  incorporated company, it is a </w:t>
      </w:r>
      <w:r w:rsidRPr="00286374">
        <w:rPr>
          <w:rFonts w:ascii="Times New Roman" w:hAnsi="Times New Roman" w:cs="Times New Roman"/>
          <w:u w:val="single"/>
        </w:rPr>
        <w:t>condition precedent to this Agreement</w:t>
      </w:r>
      <w:r>
        <w:rPr>
          <w:rFonts w:ascii="Times New Roman" w:hAnsi="Times New Roman" w:cs="Times New Roman"/>
        </w:rPr>
        <w:t xml:space="preserve"> that at  the time of  signature thereof the Tenant shall furnish to the Landlord with written deeds of   suretyship and co-debtorship </w:t>
      </w:r>
      <w:r w:rsidRPr="00286374">
        <w:rPr>
          <w:rFonts w:ascii="Times New Roman" w:hAnsi="Times New Roman" w:cs="Times New Roman"/>
          <w:u w:val="single"/>
        </w:rPr>
        <w:t>signed by at least two (2) of the directors</w:t>
      </w:r>
      <w:r>
        <w:rPr>
          <w:rFonts w:ascii="Times New Roman" w:hAnsi="Times New Roman" w:cs="Times New Roman"/>
        </w:rPr>
        <w:t xml:space="preserve"> of the Tenant (or  in the event that the </w:t>
      </w:r>
      <w:r w:rsidRPr="00286374">
        <w:rPr>
          <w:rFonts w:ascii="Times New Roman" w:hAnsi="Times New Roman" w:cs="Times New Roman"/>
          <w:u w:val="single"/>
        </w:rPr>
        <w:t>Tenant has only one director,</w:t>
      </w:r>
      <w:r>
        <w:rPr>
          <w:rFonts w:ascii="Times New Roman" w:hAnsi="Times New Roman" w:cs="Times New Roman"/>
        </w:rPr>
        <w:t xml:space="preserve"> that person plus </w:t>
      </w:r>
      <w:r w:rsidRPr="00286374">
        <w:rPr>
          <w:rFonts w:ascii="Times New Roman" w:hAnsi="Times New Roman" w:cs="Times New Roman"/>
          <w:u w:val="single"/>
        </w:rPr>
        <w:t>one other person of</w:t>
      </w:r>
      <w:r>
        <w:rPr>
          <w:rFonts w:ascii="Times New Roman" w:hAnsi="Times New Roman" w:cs="Times New Roman"/>
          <w:u w:val="single"/>
        </w:rPr>
        <w:t xml:space="preserve"> equivalent financial mea</w:t>
      </w:r>
      <w:r w:rsidRPr="00286374">
        <w:rPr>
          <w:rFonts w:ascii="Times New Roman" w:hAnsi="Times New Roman" w:cs="Times New Roman"/>
          <w:u w:val="single"/>
        </w:rPr>
        <w:t>ns</w:t>
      </w:r>
      <w:r>
        <w:rPr>
          <w:rFonts w:ascii="Times New Roman" w:hAnsi="Times New Roman" w:cs="Times New Roman"/>
        </w:rPr>
        <w:t xml:space="preserve">), binding themselves jointly and severally to the Landlord and </w:t>
      </w:r>
      <w:r w:rsidRPr="00BD6685">
        <w:rPr>
          <w:rFonts w:ascii="Times New Roman" w:hAnsi="Times New Roman" w:cs="Times New Roman"/>
        </w:rPr>
        <w:t xml:space="preserve"> as co-principal debtors with each other and as co-sureties for each other and renouncing</w:t>
      </w:r>
      <w:r>
        <w:rPr>
          <w:rFonts w:ascii="Times New Roman" w:hAnsi="Times New Roman" w:cs="Times New Roman"/>
        </w:rPr>
        <w:t xml:space="preserve">   the benefits of excursion and division owed to the Landlord by the Tenant in terms of  this Agreement” [emphasis added].</w:t>
      </w:r>
    </w:p>
    <w:p w:rsidR="00BD6685" w:rsidRDefault="00BD6685" w:rsidP="00BD6685">
      <w:pPr>
        <w:spacing w:after="0" w:line="240" w:lineRule="auto"/>
        <w:jc w:val="both"/>
        <w:rPr>
          <w:rFonts w:ascii="Times New Roman" w:hAnsi="Times New Roman" w:cs="Times New Roman"/>
        </w:rPr>
      </w:pPr>
    </w:p>
    <w:p w:rsidR="00BD6685" w:rsidRDefault="00BD6685" w:rsidP="00BD6685">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Annexure B which the deponent to the founding affidavit attached to the application is the Deed of Suretyship. Only one director of the first respondent signed the deed. Dadirai V. T. Okonkwo signed</w:t>
      </w:r>
      <w:r w:rsidR="00BD61EC">
        <w:rPr>
          <w:rFonts w:ascii="Times New Roman" w:hAnsi="Times New Roman" w:cs="Times New Roman"/>
          <w:sz w:val="24"/>
          <w:szCs w:val="24"/>
        </w:rPr>
        <w:t xml:space="preserve"> it.</w:t>
      </w:r>
      <w:r>
        <w:rPr>
          <w:rFonts w:ascii="Times New Roman" w:hAnsi="Times New Roman" w:cs="Times New Roman"/>
          <w:sz w:val="24"/>
          <w:szCs w:val="24"/>
        </w:rPr>
        <w:t xml:space="preserve"> </w:t>
      </w:r>
      <w:r w:rsidR="00BD61EC">
        <w:rPr>
          <w:rFonts w:ascii="Times New Roman" w:hAnsi="Times New Roman" w:cs="Times New Roman"/>
          <w:sz w:val="24"/>
          <w:szCs w:val="24"/>
        </w:rPr>
        <w:t>T</w:t>
      </w:r>
      <w:r>
        <w:rPr>
          <w:rFonts w:ascii="Times New Roman" w:hAnsi="Times New Roman" w:cs="Times New Roman"/>
          <w:sz w:val="24"/>
          <w:szCs w:val="24"/>
        </w:rPr>
        <w:t>he other director</w:t>
      </w:r>
      <w:r w:rsidR="00167C0A">
        <w:rPr>
          <w:rFonts w:ascii="Times New Roman" w:hAnsi="Times New Roman" w:cs="Times New Roman"/>
          <w:sz w:val="24"/>
          <w:szCs w:val="24"/>
        </w:rPr>
        <w:t>,</w:t>
      </w:r>
      <w:r>
        <w:rPr>
          <w:rFonts w:ascii="Times New Roman" w:hAnsi="Times New Roman" w:cs="Times New Roman"/>
          <w:sz w:val="24"/>
          <w:szCs w:val="24"/>
        </w:rPr>
        <w:t xml:space="preserve"> </w:t>
      </w:r>
      <w:r w:rsidR="00167C0A">
        <w:rPr>
          <w:rFonts w:ascii="Times New Roman" w:hAnsi="Times New Roman" w:cs="Times New Roman"/>
          <w:sz w:val="24"/>
          <w:szCs w:val="24"/>
        </w:rPr>
        <w:t>Smith</w:t>
      </w:r>
      <w:r>
        <w:rPr>
          <w:rFonts w:ascii="Times New Roman" w:hAnsi="Times New Roman" w:cs="Times New Roman"/>
          <w:sz w:val="24"/>
          <w:szCs w:val="24"/>
        </w:rPr>
        <w:t xml:space="preserve"> Okonkwo, did not. No reasons were advanced in regard to the observed matter.</w:t>
      </w:r>
    </w:p>
    <w:p w:rsidR="00BD6685" w:rsidRDefault="00BD6685" w:rsidP="00BD66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evident that the </w:t>
      </w:r>
      <w:r w:rsidR="00D7286C">
        <w:rPr>
          <w:rFonts w:ascii="Times New Roman" w:hAnsi="Times New Roman" w:cs="Times New Roman"/>
          <w:sz w:val="24"/>
          <w:szCs w:val="24"/>
        </w:rPr>
        <w:t>lease contains</w:t>
      </w:r>
      <w:r>
        <w:rPr>
          <w:rFonts w:ascii="Times New Roman" w:hAnsi="Times New Roman" w:cs="Times New Roman"/>
          <w:sz w:val="24"/>
          <w:szCs w:val="24"/>
        </w:rPr>
        <w:t xml:space="preserve"> a suspensive condition. It is also clear that the condition remained </w:t>
      </w:r>
      <w:r w:rsidR="00167C0A">
        <w:rPr>
          <w:rFonts w:ascii="Times New Roman" w:hAnsi="Times New Roman" w:cs="Times New Roman"/>
          <w:sz w:val="24"/>
          <w:szCs w:val="24"/>
        </w:rPr>
        <w:t>unfulfilled</w:t>
      </w:r>
      <w:r>
        <w:rPr>
          <w:rFonts w:ascii="Times New Roman" w:hAnsi="Times New Roman" w:cs="Times New Roman"/>
          <w:sz w:val="24"/>
          <w:szCs w:val="24"/>
        </w:rPr>
        <w:t xml:space="preserve"> from the time that the parties signed the lease todate.</w:t>
      </w:r>
    </w:p>
    <w:p w:rsidR="00BD6685" w:rsidRDefault="00BD6685" w:rsidP="00BD66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suspensive condition suspends or postpones the operation of a contract or obligation until the condition is fulfilled. (See Innocent Maja: </w:t>
      </w:r>
      <w:r w:rsidRPr="001E7588">
        <w:rPr>
          <w:rFonts w:ascii="Times New Roman" w:hAnsi="Times New Roman" w:cs="Times New Roman"/>
          <w:i/>
          <w:sz w:val="24"/>
          <w:szCs w:val="24"/>
        </w:rPr>
        <w:t>The Law of Contract in Zimbabwe</w:t>
      </w:r>
      <w:r>
        <w:rPr>
          <w:rFonts w:ascii="Times New Roman" w:hAnsi="Times New Roman" w:cs="Times New Roman"/>
          <w:sz w:val="24"/>
          <w:szCs w:val="24"/>
        </w:rPr>
        <w:t xml:space="preserve"> p 88). A suspensive condition</w:t>
      </w:r>
      <w:r w:rsidR="00167C0A">
        <w:rPr>
          <w:rFonts w:ascii="Times New Roman" w:hAnsi="Times New Roman" w:cs="Times New Roman"/>
          <w:sz w:val="24"/>
          <w:szCs w:val="24"/>
        </w:rPr>
        <w:t>,</w:t>
      </w:r>
      <w:r>
        <w:rPr>
          <w:rFonts w:ascii="Times New Roman" w:hAnsi="Times New Roman" w:cs="Times New Roman"/>
          <w:sz w:val="24"/>
          <w:szCs w:val="24"/>
        </w:rPr>
        <w:t xml:space="preserve"> also known as a condition precedent</w:t>
      </w:r>
      <w:r w:rsidR="00167C0A">
        <w:rPr>
          <w:rFonts w:ascii="Times New Roman" w:hAnsi="Times New Roman" w:cs="Times New Roman"/>
          <w:sz w:val="24"/>
          <w:szCs w:val="24"/>
        </w:rPr>
        <w:t>,</w:t>
      </w:r>
      <w:r>
        <w:rPr>
          <w:rFonts w:ascii="Times New Roman" w:hAnsi="Times New Roman" w:cs="Times New Roman"/>
          <w:sz w:val="24"/>
          <w:szCs w:val="24"/>
        </w:rPr>
        <w:t xml:space="preserve"> is an event or a state of affairs that is required before something else occurs. It is an event which must occur unless its non-occurrence is excused before performance becomes due, i.e, before any contractual duty exists (Wikipedia: the free encyclopedia)</w:t>
      </w:r>
      <w:r w:rsidR="00167C0A">
        <w:rPr>
          <w:rFonts w:ascii="Times New Roman" w:hAnsi="Times New Roman" w:cs="Times New Roman"/>
          <w:sz w:val="24"/>
          <w:szCs w:val="24"/>
        </w:rPr>
        <w:t>.</w:t>
      </w:r>
      <w:r>
        <w:rPr>
          <w:rFonts w:ascii="Times New Roman" w:hAnsi="Times New Roman" w:cs="Times New Roman"/>
          <w:sz w:val="24"/>
          <w:szCs w:val="24"/>
        </w:rPr>
        <w:t xml:space="preserve"> </w:t>
      </w:r>
      <w:r w:rsidR="00167C0A" w:rsidRPr="00167C0A">
        <w:rPr>
          <w:rFonts w:ascii="Times New Roman" w:hAnsi="Times New Roman" w:cs="Times New Roman"/>
          <w:i/>
          <w:sz w:val="24"/>
          <w:szCs w:val="24"/>
        </w:rPr>
        <w:t>Duhaime’s Law Dictionary</w:t>
      </w:r>
      <w:r>
        <w:rPr>
          <w:rFonts w:ascii="Times New Roman" w:hAnsi="Times New Roman" w:cs="Times New Roman"/>
          <w:sz w:val="24"/>
          <w:szCs w:val="24"/>
        </w:rPr>
        <w:t xml:space="preserve"> </w:t>
      </w:r>
      <w:r w:rsidR="00167C0A">
        <w:rPr>
          <w:rFonts w:ascii="Times New Roman" w:hAnsi="Times New Roman" w:cs="Times New Roman"/>
          <w:sz w:val="24"/>
          <w:szCs w:val="24"/>
        </w:rPr>
        <w:lastRenderedPageBreak/>
        <w:t xml:space="preserve">defines </w:t>
      </w:r>
      <w:r w:rsidR="008402D6">
        <w:rPr>
          <w:rFonts w:ascii="Times New Roman" w:hAnsi="Times New Roman" w:cs="Times New Roman"/>
          <w:sz w:val="24"/>
          <w:szCs w:val="24"/>
        </w:rPr>
        <w:t>a</w:t>
      </w:r>
      <w:r w:rsidR="00167C0A">
        <w:rPr>
          <w:rFonts w:ascii="Times New Roman" w:hAnsi="Times New Roman" w:cs="Times New Roman"/>
          <w:sz w:val="24"/>
          <w:szCs w:val="24"/>
        </w:rPr>
        <w:t xml:space="preserve"> </w:t>
      </w:r>
      <w:r>
        <w:rPr>
          <w:rFonts w:ascii="Times New Roman" w:hAnsi="Times New Roman" w:cs="Times New Roman"/>
          <w:sz w:val="24"/>
          <w:szCs w:val="24"/>
        </w:rPr>
        <w:t>condition precedent as a contractual condition that suspends the coming into effect of a contract unless and until a certain event takes place.</w:t>
      </w:r>
    </w:p>
    <w:p w:rsidR="00BD6685" w:rsidRDefault="00BD6685" w:rsidP="00BD66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condition to which the parties subscribed when they signed the lease is clear and unambiguous. It falls within the ambit of the remarks of </w:t>
      </w:r>
      <w:r w:rsidRPr="005F26DE">
        <w:rPr>
          <w:rFonts w:ascii="Times New Roman" w:hAnsi="Times New Roman" w:cs="Times New Roman"/>
          <w:smallCaps/>
          <w:sz w:val="24"/>
          <w:szCs w:val="24"/>
        </w:rPr>
        <w:t>Greenberg JA</w:t>
      </w:r>
      <w:r>
        <w:rPr>
          <w:rFonts w:ascii="Times New Roman" w:hAnsi="Times New Roman" w:cs="Times New Roman"/>
          <w:sz w:val="24"/>
          <w:szCs w:val="24"/>
        </w:rPr>
        <w:t xml:space="preserve"> who, in </w:t>
      </w:r>
      <w:r w:rsidRPr="00BC411C">
        <w:rPr>
          <w:rFonts w:ascii="Times New Roman" w:hAnsi="Times New Roman" w:cs="Times New Roman"/>
          <w:i/>
          <w:sz w:val="24"/>
          <w:szCs w:val="24"/>
        </w:rPr>
        <w:t>Worman</w:t>
      </w:r>
      <w:r>
        <w:rPr>
          <w:rFonts w:ascii="Times New Roman" w:hAnsi="Times New Roman" w:cs="Times New Roman"/>
          <w:sz w:val="24"/>
          <w:szCs w:val="24"/>
        </w:rPr>
        <w:t xml:space="preserve"> v </w:t>
      </w:r>
      <w:r w:rsidRPr="00BC411C">
        <w:rPr>
          <w:rFonts w:ascii="Times New Roman" w:hAnsi="Times New Roman" w:cs="Times New Roman"/>
          <w:i/>
          <w:sz w:val="24"/>
          <w:szCs w:val="24"/>
        </w:rPr>
        <w:t>Hughes &amp; Ors,</w:t>
      </w:r>
      <w:r>
        <w:rPr>
          <w:rFonts w:ascii="Times New Roman" w:hAnsi="Times New Roman" w:cs="Times New Roman"/>
          <w:sz w:val="24"/>
          <w:szCs w:val="24"/>
        </w:rPr>
        <w:t xml:space="preserve"> 1948 (3) SA 495 (A) stated </w:t>
      </w:r>
      <w:r w:rsidR="008402D6">
        <w:rPr>
          <w:rFonts w:ascii="Times New Roman" w:hAnsi="Times New Roman" w:cs="Times New Roman"/>
          <w:sz w:val="24"/>
          <w:szCs w:val="24"/>
        </w:rPr>
        <w:t xml:space="preserve">at 505 </w:t>
      </w:r>
      <w:r>
        <w:rPr>
          <w:rFonts w:ascii="Times New Roman" w:hAnsi="Times New Roman" w:cs="Times New Roman"/>
          <w:sz w:val="24"/>
          <w:szCs w:val="24"/>
        </w:rPr>
        <w:t>as follows:</w:t>
      </w:r>
    </w:p>
    <w:p w:rsidR="00BD6685" w:rsidRDefault="00BD6685" w:rsidP="00D7286C">
      <w:pPr>
        <w:spacing w:after="0" w:line="240" w:lineRule="auto"/>
        <w:ind w:left="720"/>
        <w:jc w:val="both"/>
        <w:rPr>
          <w:rFonts w:ascii="Times New Roman" w:hAnsi="Times New Roman" w:cs="Times New Roman"/>
        </w:rPr>
      </w:pPr>
      <w:r w:rsidRPr="00BC411C">
        <w:rPr>
          <w:rFonts w:ascii="Times New Roman" w:hAnsi="Times New Roman" w:cs="Times New Roman"/>
        </w:rPr>
        <w:t xml:space="preserve">“It must be born in mind that in an action on a contract, the rule of interpretation is to ascertain, not what the parties intention was, but what the language used in the contract means, i.e what </w:t>
      </w:r>
      <w:r>
        <w:rPr>
          <w:rFonts w:ascii="Times New Roman" w:hAnsi="Times New Roman" w:cs="Times New Roman"/>
        </w:rPr>
        <w:tab/>
      </w:r>
      <w:r w:rsidRPr="00BC411C">
        <w:rPr>
          <w:rFonts w:ascii="Times New Roman" w:hAnsi="Times New Roman" w:cs="Times New Roman"/>
        </w:rPr>
        <w:t>their intention was as exp</w:t>
      </w:r>
      <w:r w:rsidR="00167C0A">
        <w:rPr>
          <w:rFonts w:ascii="Times New Roman" w:hAnsi="Times New Roman" w:cs="Times New Roman"/>
        </w:rPr>
        <w:t>ressed</w:t>
      </w:r>
      <w:r w:rsidRPr="00BC411C">
        <w:rPr>
          <w:rFonts w:ascii="Times New Roman" w:hAnsi="Times New Roman" w:cs="Times New Roman"/>
        </w:rPr>
        <w:t xml:space="preserve"> in the contract.”</w:t>
      </w:r>
    </w:p>
    <w:p w:rsidR="00BD6685" w:rsidRDefault="00BD6685" w:rsidP="00BD6685">
      <w:pPr>
        <w:spacing w:after="0" w:line="240" w:lineRule="auto"/>
        <w:jc w:val="both"/>
        <w:rPr>
          <w:rFonts w:ascii="Times New Roman" w:hAnsi="Times New Roman" w:cs="Times New Roman"/>
        </w:rPr>
      </w:pPr>
    </w:p>
    <w:p w:rsidR="00167C0A" w:rsidRDefault="00BD6685" w:rsidP="00BD66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condition</w:t>
      </w:r>
      <w:r w:rsidR="00167C0A">
        <w:rPr>
          <w:rFonts w:ascii="Times New Roman" w:hAnsi="Times New Roman" w:cs="Times New Roman"/>
          <w:sz w:val="24"/>
          <w:szCs w:val="24"/>
        </w:rPr>
        <w:t>,</w:t>
      </w:r>
      <w:r>
        <w:rPr>
          <w:rFonts w:ascii="Times New Roman" w:hAnsi="Times New Roman" w:cs="Times New Roman"/>
          <w:sz w:val="24"/>
          <w:szCs w:val="24"/>
        </w:rPr>
        <w:t xml:space="preserve"> in my view, should have been fulfilled </w:t>
      </w:r>
      <w:r w:rsidRPr="005F26DE">
        <w:rPr>
          <w:rFonts w:ascii="Times New Roman" w:hAnsi="Times New Roman" w:cs="Times New Roman"/>
          <w:i/>
          <w:sz w:val="24"/>
          <w:szCs w:val="24"/>
        </w:rPr>
        <w:t>informa</w:t>
      </w:r>
      <w:r w:rsidRPr="00BC411C">
        <w:rPr>
          <w:rFonts w:ascii="Times New Roman" w:hAnsi="Times New Roman" w:cs="Times New Roman"/>
          <w:i/>
          <w:sz w:val="24"/>
          <w:szCs w:val="24"/>
        </w:rPr>
        <w:t xml:space="preserve"> specifica</w:t>
      </w:r>
      <w:r>
        <w:rPr>
          <w:rFonts w:ascii="Times New Roman" w:hAnsi="Times New Roman" w:cs="Times New Roman"/>
          <w:sz w:val="24"/>
          <w:szCs w:val="24"/>
        </w:rPr>
        <w:t xml:space="preserve"> and not </w:t>
      </w:r>
      <w:r w:rsidRPr="00BC411C">
        <w:rPr>
          <w:rFonts w:ascii="Times New Roman" w:hAnsi="Times New Roman" w:cs="Times New Roman"/>
          <w:i/>
          <w:sz w:val="24"/>
          <w:szCs w:val="24"/>
        </w:rPr>
        <w:t xml:space="preserve">per </w:t>
      </w:r>
      <w:r w:rsidR="00167C0A">
        <w:rPr>
          <w:rFonts w:ascii="Times New Roman" w:hAnsi="Times New Roman" w:cs="Times New Roman"/>
          <w:i/>
          <w:sz w:val="24"/>
          <w:szCs w:val="24"/>
        </w:rPr>
        <w:t>ae</w:t>
      </w:r>
      <w:r w:rsidRPr="00BC411C">
        <w:rPr>
          <w:rFonts w:ascii="Times New Roman" w:hAnsi="Times New Roman" w:cs="Times New Roman"/>
          <w:i/>
          <w:sz w:val="24"/>
          <w:szCs w:val="24"/>
        </w:rPr>
        <w:t>quipollens</w:t>
      </w:r>
      <w:r>
        <w:rPr>
          <w:rFonts w:ascii="Times New Roman" w:hAnsi="Times New Roman" w:cs="Times New Roman"/>
          <w:sz w:val="24"/>
          <w:szCs w:val="24"/>
        </w:rPr>
        <w:t xml:space="preserve">. </w:t>
      </w:r>
      <w:r w:rsidRPr="00BC411C">
        <w:rPr>
          <w:rFonts w:ascii="Times New Roman" w:hAnsi="Times New Roman" w:cs="Times New Roman"/>
          <w:i/>
          <w:sz w:val="24"/>
          <w:szCs w:val="24"/>
        </w:rPr>
        <w:t>In form</w:t>
      </w:r>
      <w:r>
        <w:rPr>
          <w:rFonts w:ascii="Times New Roman" w:hAnsi="Times New Roman" w:cs="Times New Roman"/>
          <w:i/>
          <w:sz w:val="24"/>
          <w:szCs w:val="24"/>
        </w:rPr>
        <w:t>a</w:t>
      </w:r>
      <w:r w:rsidRPr="00BC411C">
        <w:rPr>
          <w:rFonts w:ascii="Times New Roman" w:hAnsi="Times New Roman" w:cs="Times New Roman"/>
          <w:i/>
          <w:sz w:val="24"/>
          <w:szCs w:val="24"/>
        </w:rPr>
        <w:t xml:space="preserve"> specific</w:t>
      </w:r>
      <w:r>
        <w:rPr>
          <w:rFonts w:ascii="Times New Roman" w:hAnsi="Times New Roman" w:cs="Times New Roman"/>
          <w:i/>
          <w:sz w:val="24"/>
          <w:szCs w:val="24"/>
        </w:rPr>
        <w:t xml:space="preserve">a </w:t>
      </w:r>
      <w:r>
        <w:rPr>
          <w:rFonts w:ascii="Times New Roman" w:hAnsi="Times New Roman" w:cs="Times New Roman"/>
          <w:sz w:val="24"/>
          <w:szCs w:val="24"/>
        </w:rPr>
        <w:t>because the contract of suretyship required the signatures of at least two of the first respondent’s directors and not one. The fact that the first respondent has two directors</w:t>
      </w:r>
      <w:r w:rsidR="00167C0A">
        <w:rPr>
          <w:rFonts w:ascii="Times New Roman" w:hAnsi="Times New Roman" w:cs="Times New Roman"/>
          <w:sz w:val="24"/>
          <w:szCs w:val="24"/>
        </w:rPr>
        <w:t xml:space="preserve"> mean</w:t>
      </w:r>
      <w:r w:rsidR="0071577C">
        <w:rPr>
          <w:rFonts w:ascii="Times New Roman" w:hAnsi="Times New Roman" w:cs="Times New Roman"/>
          <w:sz w:val="24"/>
          <w:szCs w:val="24"/>
        </w:rPr>
        <w:t>s</w:t>
      </w:r>
      <w:r w:rsidR="00167C0A">
        <w:rPr>
          <w:rFonts w:ascii="Times New Roman" w:hAnsi="Times New Roman" w:cs="Times New Roman"/>
          <w:sz w:val="24"/>
          <w:szCs w:val="24"/>
        </w:rPr>
        <w:t xml:space="preserve"> that</w:t>
      </w:r>
      <w:r>
        <w:rPr>
          <w:rFonts w:ascii="Times New Roman" w:hAnsi="Times New Roman" w:cs="Times New Roman"/>
          <w:sz w:val="24"/>
          <w:szCs w:val="24"/>
        </w:rPr>
        <w:t xml:space="preserve"> the signatures of those two to the suretyship deed would have sufficed. That would have made the </w:t>
      </w:r>
      <w:r w:rsidR="00167C0A">
        <w:rPr>
          <w:rFonts w:ascii="Times New Roman" w:hAnsi="Times New Roman" w:cs="Times New Roman"/>
          <w:sz w:val="24"/>
          <w:szCs w:val="24"/>
        </w:rPr>
        <w:t>lease</w:t>
      </w:r>
      <w:r>
        <w:rPr>
          <w:rFonts w:ascii="Times New Roman" w:hAnsi="Times New Roman" w:cs="Times New Roman"/>
          <w:sz w:val="24"/>
          <w:szCs w:val="24"/>
        </w:rPr>
        <w:t xml:space="preserve"> agreement operative with rights and obligations of the parties to the lease flowing from the same</w:t>
      </w:r>
      <w:r w:rsidR="00167C0A">
        <w:rPr>
          <w:rFonts w:ascii="Times New Roman" w:hAnsi="Times New Roman" w:cs="Times New Roman"/>
          <w:sz w:val="24"/>
          <w:szCs w:val="24"/>
        </w:rPr>
        <w:t>.</w:t>
      </w:r>
      <w:r>
        <w:rPr>
          <w:rFonts w:ascii="Times New Roman" w:hAnsi="Times New Roman" w:cs="Times New Roman"/>
          <w:sz w:val="24"/>
          <w:szCs w:val="24"/>
        </w:rPr>
        <w:t xml:space="preserve"> </w:t>
      </w:r>
    </w:p>
    <w:p w:rsidR="00BD6685" w:rsidRDefault="00167C0A" w:rsidP="00167C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BD6685">
        <w:rPr>
          <w:rFonts w:ascii="Times New Roman" w:hAnsi="Times New Roman" w:cs="Times New Roman"/>
          <w:sz w:val="24"/>
          <w:szCs w:val="24"/>
        </w:rPr>
        <w:t>lause 39.2 of the lease provides that the agreement represents the parties</w:t>
      </w:r>
      <w:r>
        <w:rPr>
          <w:rFonts w:ascii="Times New Roman" w:hAnsi="Times New Roman" w:cs="Times New Roman"/>
          <w:sz w:val="24"/>
          <w:szCs w:val="24"/>
        </w:rPr>
        <w:t>’</w:t>
      </w:r>
      <w:r w:rsidR="00BD6685">
        <w:rPr>
          <w:rFonts w:ascii="Times New Roman" w:hAnsi="Times New Roman" w:cs="Times New Roman"/>
          <w:sz w:val="24"/>
          <w:szCs w:val="24"/>
        </w:rPr>
        <w:t xml:space="preserve"> entire contract and that no amendment, </w:t>
      </w:r>
      <w:r w:rsidR="00BD6685" w:rsidRPr="008402D6">
        <w:rPr>
          <w:rFonts w:ascii="Times New Roman" w:hAnsi="Times New Roman" w:cs="Times New Roman"/>
          <w:i/>
          <w:sz w:val="24"/>
          <w:szCs w:val="24"/>
        </w:rPr>
        <w:t>etcetera</w:t>
      </w:r>
      <w:r w:rsidR="00BD6685">
        <w:rPr>
          <w:rFonts w:ascii="Times New Roman" w:hAnsi="Times New Roman" w:cs="Times New Roman"/>
          <w:sz w:val="24"/>
          <w:szCs w:val="24"/>
        </w:rPr>
        <w:t>, shall be valid until it is reduced to writing and signed by them. No such amendment of the agreement was made by the parties. That</w:t>
      </w:r>
      <w:r>
        <w:rPr>
          <w:rFonts w:ascii="Times New Roman" w:hAnsi="Times New Roman" w:cs="Times New Roman"/>
          <w:sz w:val="24"/>
          <w:szCs w:val="24"/>
        </w:rPr>
        <w:t>,</w:t>
      </w:r>
      <w:r w:rsidR="00BD6685">
        <w:rPr>
          <w:rFonts w:ascii="Times New Roman" w:hAnsi="Times New Roman" w:cs="Times New Roman"/>
          <w:sz w:val="24"/>
          <w:szCs w:val="24"/>
        </w:rPr>
        <w:t xml:space="preserve"> it is evident, constitutes the parties</w:t>
      </w:r>
      <w:r w:rsidR="004A12BF">
        <w:rPr>
          <w:rFonts w:ascii="Times New Roman" w:hAnsi="Times New Roman" w:cs="Times New Roman"/>
          <w:sz w:val="24"/>
          <w:szCs w:val="24"/>
        </w:rPr>
        <w:t>’</w:t>
      </w:r>
      <w:r w:rsidR="00BD6685">
        <w:rPr>
          <w:rFonts w:ascii="Times New Roman" w:hAnsi="Times New Roman" w:cs="Times New Roman"/>
          <w:sz w:val="24"/>
          <w:szCs w:val="24"/>
        </w:rPr>
        <w:t xml:space="preserve"> acknowledgment that their agreement was to be </w:t>
      </w:r>
      <w:r w:rsidR="004A12BF">
        <w:rPr>
          <w:rFonts w:ascii="Times New Roman" w:hAnsi="Times New Roman" w:cs="Times New Roman"/>
          <w:sz w:val="24"/>
          <w:szCs w:val="24"/>
        </w:rPr>
        <w:t>carried</w:t>
      </w:r>
      <w:r w:rsidR="00BD6685">
        <w:rPr>
          <w:rFonts w:ascii="Times New Roman" w:hAnsi="Times New Roman" w:cs="Times New Roman"/>
          <w:sz w:val="24"/>
          <w:szCs w:val="24"/>
        </w:rPr>
        <w:t xml:space="preserve"> out in its original form.</w:t>
      </w:r>
    </w:p>
    <w:p w:rsidR="00BD6685" w:rsidRDefault="00BD6685" w:rsidP="00BD66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duty to comply with the deed of suretyship lay on the respondents. They did not fulfil their obligation in the mentioned regard. They </w:t>
      </w:r>
      <w:r w:rsidR="004A12BF">
        <w:rPr>
          <w:rFonts w:ascii="Times New Roman" w:hAnsi="Times New Roman" w:cs="Times New Roman"/>
          <w:sz w:val="24"/>
          <w:szCs w:val="24"/>
        </w:rPr>
        <w:t>proferred</w:t>
      </w:r>
      <w:r>
        <w:rPr>
          <w:rFonts w:ascii="Times New Roman" w:hAnsi="Times New Roman" w:cs="Times New Roman"/>
          <w:sz w:val="24"/>
          <w:szCs w:val="24"/>
        </w:rPr>
        <w:t xml:space="preserve"> no </w:t>
      </w:r>
      <w:r w:rsidR="004A12BF">
        <w:rPr>
          <w:rFonts w:ascii="Times New Roman" w:hAnsi="Times New Roman" w:cs="Times New Roman"/>
          <w:sz w:val="24"/>
          <w:szCs w:val="24"/>
        </w:rPr>
        <w:t>reason</w:t>
      </w:r>
      <w:r>
        <w:rPr>
          <w:rFonts w:ascii="Times New Roman" w:hAnsi="Times New Roman" w:cs="Times New Roman"/>
          <w:sz w:val="24"/>
          <w:szCs w:val="24"/>
        </w:rPr>
        <w:t xml:space="preserve"> for their                  non-compliance with the mandatory provision of the lea</w:t>
      </w:r>
      <w:r w:rsidR="004A12BF">
        <w:rPr>
          <w:rFonts w:ascii="Times New Roman" w:hAnsi="Times New Roman" w:cs="Times New Roman"/>
          <w:sz w:val="24"/>
          <w:szCs w:val="24"/>
        </w:rPr>
        <w:t>s</w:t>
      </w:r>
      <w:r>
        <w:rPr>
          <w:rFonts w:ascii="Times New Roman" w:hAnsi="Times New Roman" w:cs="Times New Roman"/>
          <w:sz w:val="24"/>
          <w:szCs w:val="24"/>
        </w:rPr>
        <w:t>e which they signed with the applicant.</w:t>
      </w:r>
    </w:p>
    <w:p w:rsidR="00BD6685" w:rsidRDefault="00BD6685" w:rsidP="00BD66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suspensive condition which existed in the deed of suretyship suspended the rights and obligations of each party to the lease agreement. The suspension is still </w:t>
      </w:r>
      <w:r w:rsidR="004A12BF">
        <w:rPr>
          <w:rFonts w:ascii="Times New Roman" w:hAnsi="Times New Roman" w:cs="Times New Roman"/>
          <w:sz w:val="24"/>
          <w:szCs w:val="24"/>
        </w:rPr>
        <w:t>extant</w:t>
      </w:r>
      <w:r>
        <w:rPr>
          <w:rFonts w:ascii="Times New Roman" w:hAnsi="Times New Roman" w:cs="Times New Roman"/>
          <w:sz w:val="24"/>
          <w:szCs w:val="24"/>
        </w:rPr>
        <w:t xml:space="preserve"> until the condition is fulfilled.</w:t>
      </w:r>
    </w:p>
    <w:p w:rsidR="00BD6685" w:rsidRDefault="00BD6685" w:rsidP="00BD66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follows from the foregoing that, but for the lack of authority by the dep</w:t>
      </w:r>
      <w:r w:rsidR="004A12BF">
        <w:rPr>
          <w:rFonts w:ascii="Times New Roman" w:hAnsi="Times New Roman" w:cs="Times New Roman"/>
          <w:sz w:val="24"/>
          <w:szCs w:val="24"/>
        </w:rPr>
        <w:t>onent</w:t>
      </w:r>
      <w:r>
        <w:rPr>
          <w:rFonts w:ascii="Times New Roman" w:hAnsi="Times New Roman" w:cs="Times New Roman"/>
          <w:sz w:val="24"/>
          <w:szCs w:val="24"/>
        </w:rPr>
        <w:t xml:space="preserve"> of the founding affidavit, the applicant could have lawfully terminated the contract of lea</w:t>
      </w:r>
      <w:r w:rsidR="004A12BF">
        <w:rPr>
          <w:rFonts w:ascii="Times New Roman" w:hAnsi="Times New Roman" w:cs="Times New Roman"/>
          <w:sz w:val="24"/>
          <w:szCs w:val="24"/>
        </w:rPr>
        <w:t>s</w:t>
      </w:r>
      <w:r>
        <w:rPr>
          <w:rFonts w:ascii="Times New Roman" w:hAnsi="Times New Roman" w:cs="Times New Roman"/>
          <w:sz w:val="24"/>
          <w:szCs w:val="24"/>
        </w:rPr>
        <w:t>e. It</w:t>
      </w:r>
      <w:r w:rsidR="004A12BF">
        <w:rPr>
          <w:rFonts w:ascii="Times New Roman" w:hAnsi="Times New Roman" w:cs="Times New Roman"/>
          <w:sz w:val="24"/>
          <w:szCs w:val="24"/>
        </w:rPr>
        <w:t>,</w:t>
      </w:r>
      <w:r>
        <w:rPr>
          <w:rFonts w:ascii="Times New Roman" w:hAnsi="Times New Roman" w:cs="Times New Roman"/>
          <w:sz w:val="24"/>
          <w:szCs w:val="24"/>
        </w:rPr>
        <w:t xml:space="preserve"> however, cannot do so a</w:t>
      </w:r>
      <w:r w:rsidR="004A12BF">
        <w:rPr>
          <w:rFonts w:ascii="Times New Roman" w:hAnsi="Times New Roman" w:cs="Times New Roman"/>
          <w:sz w:val="24"/>
          <w:szCs w:val="24"/>
        </w:rPr>
        <w:t>s</w:t>
      </w:r>
      <w:r>
        <w:rPr>
          <w:rFonts w:ascii="Times New Roman" w:hAnsi="Times New Roman" w:cs="Times New Roman"/>
          <w:sz w:val="24"/>
          <w:szCs w:val="24"/>
        </w:rPr>
        <w:t xml:space="preserve"> it remained out of, instead of inside, the court.</w:t>
      </w:r>
    </w:p>
    <w:p w:rsidR="00BD6685" w:rsidRPr="00BC411C" w:rsidRDefault="00BD6685" w:rsidP="00BD66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4A12BF">
        <w:rPr>
          <w:rFonts w:ascii="Times New Roman" w:hAnsi="Times New Roman" w:cs="Times New Roman"/>
          <w:sz w:val="24"/>
          <w:szCs w:val="24"/>
        </w:rPr>
        <w:t>applicant</w:t>
      </w:r>
      <w:r>
        <w:rPr>
          <w:rFonts w:ascii="Times New Roman" w:hAnsi="Times New Roman" w:cs="Times New Roman"/>
          <w:sz w:val="24"/>
          <w:szCs w:val="24"/>
        </w:rPr>
        <w:t xml:space="preserve"> is not before the court. The application is, accordingly</w:t>
      </w:r>
      <w:r w:rsidR="004A12BF">
        <w:rPr>
          <w:rFonts w:ascii="Times New Roman" w:hAnsi="Times New Roman" w:cs="Times New Roman"/>
          <w:sz w:val="24"/>
          <w:szCs w:val="24"/>
        </w:rPr>
        <w:t>,</w:t>
      </w:r>
      <w:r>
        <w:rPr>
          <w:rFonts w:ascii="Times New Roman" w:hAnsi="Times New Roman" w:cs="Times New Roman"/>
          <w:sz w:val="24"/>
          <w:szCs w:val="24"/>
        </w:rPr>
        <w:t xml:space="preserve"> dismissed with each party being ordered to bear its own costs.</w:t>
      </w:r>
    </w:p>
    <w:p w:rsidR="00C36F58" w:rsidRPr="000D2EEB" w:rsidRDefault="00C36F58" w:rsidP="00C36F58">
      <w:pPr>
        <w:pStyle w:val="ListParagraph"/>
        <w:tabs>
          <w:tab w:val="left" w:pos="630"/>
        </w:tabs>
        <w:spacing w:after="0" w:line="360" w:lineRule="auto"/>
        <w:ind w:left="0"/>
        <w:jc w:val="both"/>
        <w:rPr>
          <w:rFonts w:ascii="Times New Roman" w:hAnsi="Times New Roman" w:cs="Times New Roman"/>
        </w:rPr>
      </w:pPr>
      <w:r w:rsidRPr="00BD6685">
        <w:rPr>
          <w:rFonts w:ascii="Times New Roman" w:hAnsi="Times New Roman" w:cs="Times New Roman"/>
        </w:rPr>
        <w:t xml:space="preserve"> </w:t>
      </w:r>
      <w:r w:rsidRPr="000D2EEB">
        <w:rPr>
          <w:rFonts w:ascii="Times New Roman" w:hAnsi="Times New Roman" w:cs="Times New Roman"/>
        </w:rPr>
        <w:tab/>
      </w:r>
    </w:p>
    <w:p w:rsidR="00C36F58" w:rsidRPr="000D2EEB" w:rsidRDefault="00C36F58" w:rsidP="00C36F58">
      <w:pPr>
        <w:spacing w:after="0" w:line="360" w:lineRule="auto"/>
        <w:jc w:val="both"/>
        <w:rPr>
          <w:rFonts w:ascii="Times New Roman" w:hAnsi="Times New Roman" w:cs="Times New Roman"/>
        </w:rPr>
      </w:pPr>
    </w:p>
    <w:p w:rsidR="00C36F58" w:rsidRPr="00E90D42" w:rsidRDefault="00C36F58" w:rsidP="00C36F58">
      <w:pPr>
        <w:spacing w:after="0" w:line="360" w:lineRule="auto"/>
        <w:jc w:val="both"/>
        <w:rPr>
          <w:rFonts w:ascii="Times New Roman" w:hAnsi="Times New Roman" w:cs="Times New Roman"/>
        </w:rPr>
      </w:pPr>
    </w:p>
    <w:p w:rsidR="007A0899" w:rsidRDefault="007A0899" w:rsidP="006B6EE3">
      <w:pPr>
        <w:spacing w:after="0" w:line="360" w:lineRule="auto"/>
        <w:jc w:val="both"/>
        <w:rPr>
          <w:rFonts w:ascii="Times New Roman" w:hAnsi="Times New Roman" w:cs="Times New Roman"/>
          <w:b/>
          <w:sz w:val="24"/>
          <w:szCs w:val="24"/>
        </w:rPr>
      </w:pPr>
    </w:p>
    <w:p w:rsidR="007A0899" w:rsidRDefault="007A0899" w:rsidP="006B6EE3">
      <w:pPr>
        <w:spacing w:after="0" w:line="360" w:lineRule="auto"/>
        <w:jc w:val="both"/>
        <w:rPr>
          <w:rFonts w:ascii="Times New Roman" w:hAnsi="Times New Roman" w:cs="Times New Roman"/>
          <w:b/>
          <w:sz w:val="24"/>
          <w:szCs w:val="24"/>
        </w:rPr>
      </w:pPr>
    </w:p>
    <w:p w:rsidR="007A0899" w:rsidRDefault="007A0899" w:rsidP="007A089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Atherstone &amp; Cook</w:t>
      </w:r>
      <w:r>
        <w:rPr>
          <w:rFonts w:ascii="Times New Roman" w:hAnsi="Times New Roman" w:cs="Times New Roman"/>
          <w:sz w:val="24"/>
          <w:szCs w:val="24"/>
        </w:rPr>
        <w:t>, applicant’s legal practitioners</w:t>
      </w:r>
    </w:p>
    <w:p w:rsidR="00457722" w:rsidRPr="006B6EE3" w:rsidRDefault="007A0899" w:rsidP="007A0899">
      <w:pPr>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Gama &amp; Partners,</w:t>
      </w:r>
      <w:r>
        <w:rPr>
          <w:rFonts w:ascii="Times New Roman" w:hAnsi="Times New Roman" w:cs="Times New Roman"/>
          <w:sz w:val="24"/>
          <w:szCs w:val="24"/>
        </w:rPr>
        <w:t xml:space="preserve"> respondents’ legal practitioners</w:t>
      </w:r>
      <w:r w:rsidR="00F42A4F">
        <w:rPr>
          <w:rFonts w:ascii="Times New Roman" w:hAnsi="Times New Roman" w:cs="Times New Roman"/>
          <w:sz w:val="24"/>
          <w:szCs w:val="24"/>
        </w:rPr>
        <w:t xml:space="preserve"> </w:t>
      </w:r>
      <w:r w:rsidR="00470DCD">
        <w:rPr>
          <w:rFonts w:ascii="Times New Roman" w:hAnsi="Times New Roman" w:cs="Times New Roman"/>
          <w:sz w:val="24"/>
          <w:szCs w:val="24"/>
        </w:rPr>
        <w:t xml:space="preserve"> </w:t>
      </w:r>
      <w:r w:rsidR="00457722">
        <w:rPr>
          <w:rFonts w:ascii="Times New Roman" w:hAnsi="Times New Roman" w:cs="Times New Roman"/>
          <w:sz w:val="24"/>
          <w:szCs w:val="24"/>
        </w:rPr>
        <w:t xml:space="preserve">  </w:t>
      </w:r>
    </w:p>
    <w:sectPr w:rsidR="00457722" w:rsidRPr="006B6EE3">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295" w:rsidRDefault="00953295" w:rsidP="005722BC">
      <w:pPr>
        <w:spacing w:after="0" w:line="240" w:lineRule="auto"/>
      </w:pPr>
      <w:r>
        <w:separator/>
      </w:r>
    </w:p>
  </w:endnote>
  <w:endnote w:type="continuationSeparator" w:id="0">
    <w:p w:rsidR="00953295" w:rsidRDefault="00953295" w:rsidP="0057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295" w:rsidRDefault="00953295" w:rsidP="005722BC">
      <w:pPr>
        <w:spacing w:after="0" w:line="240" w:lineRule="auto"/>
      </w:pPr>
      <w:r>
        <w:separator/>
      </w:r>
    </w:p>
  </w:footnote>
  <w:footnote w:type="continuationSeparator" w:id="0">
    <w:p w:rsidR="00953295" w:rsidRDefault="00953295" w:rsidP="00572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330943"/>
      <w:docPartObj>
        <w:docPartGallery w:val="Page Numbers (Top of Page)"/>
        <w:docPartUnique/>
      </w:docPartObj>
    </w:sdtPr>
    <w:sdtEndPr>
      <w:rPr>
        <w:noProof/>
      </w:rPr>
    </w:sdtEndPr>
    <w:sdtContent>
      <w:p w:rsidR="005722BC" w:rsidRDefault="005722BC">
        <w:pPr>
          <w:pStyle w:val="Header"/>
          <w:jc w:val="right"/>
          <w:rPr>
            <w:noProof/>
          </w:rPr>
        </w:pPr>
        <w:r>
          <w:fldChar w:fldCharType="begin"/>
        </w:r>
        <w:r>
          <w:instrText xml:space="preserve"> PAGE   \* MERGEFORMAT </w:instrText>
        </w:r>
        <w:r>
          <w:fldChar w:fldCharType="separate"/>
        </w:r>
        <w:r w:rsidR="00AC4A31">
          <w:rPr>
            <w:noProof/>
          </w:rPr>
          <w:t>1</w:t>
        </w:r>
        <w:r>
          <w:rPr>
            <w:noProof/>
          </w:rPr>
          <w:fldChar w:fldCharType="end"/>
        </w:r>
      </w:p>
      <w:p w:rsidR="005722BC" w:rsidRDefault="005722BC">
        <w:pPr>
          <w:pStyle w:val="Header"/>
          <w:jc w:val="right"/>
          <w:rPr>
            <w:noProof/>
          </w:rPr>
        </w:pPr>
        <w:r>
          <w:rPr>
            <w:noProof/>
          </w:rPr>
          <w:t>HH</w:t>
        </w:r>
        <w:r w:rsidR="00487F68">
          <w:rPr>
            <w:noProof/>
          </w:rPr>
          <w:t xml:space="preserve"> 301-17</w:t>
        </w:r>
      </w:p>
      <w:p w:rsidR="005722BC" w:rsidRDefault="005722BC">
        <w:pPr>
          <w:pStyle w:val="Header"/>
          <w:jc w:val="right"/>
        </w:pPr>
        <w:r>
          <w:rPr>
            <w:noProof/>
          </w:rPr>
          <w:t>HC 6475/16</w:t>
        </w:r>
      </w:p>
    </w:sdtContent>
  </w:sdt>
  <w:p w:rsidR="005722BC" w:rsidRDefault="00572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2C10"/>
    <w:multiLevelType w:val="hybridMultilevel"/>
    <w:tmpl w:val="48ECF626"/>
    <w:lvl w:ilvl="0" w:tplc="E92E3C44">
      <w:start w:val="1"/>
      <w:numFmt w:val="lowerLetter"/>
      <w:lvlText w:val="(%1)"/>
      <w:lvlJc w:val="left"/>
      <w:pPr>
        <w:ind w:left="1800" w:hanging="360"/>
      </w:pPr>
      <w:rPr>
        <w:rFonts w:hint="default"/>
        <w:b w:val="0"/>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1E3F0C1A"/>
    <w:multiLevelType w:val="hybridMultilevel"/>
    <w:tmpl w:val="82E045EE"/>
    <w:lvl w:ilvl="0" w:tplc="8F4E21EA">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nsid w:val="2DBA69DB"/>
    <w:multiLevelType w:val="hybridMultilevel"/>
    <w:tmpl w:val="A5149518"/>
    <w:lvl w:ilvl="0" w:tplc="EC2008A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F5"/>
    <w:rsid w:val="00013EBB"/>
    <w:rsid w:val="00021589"/>
    <w:rsid w:val="00072DE4"/>
    <w:rsid w:val="000E1F67"/>
    <w:rsid w:val="000E4F5C"/>
    <w:rsid w:val="00134D3B"/>
    <w:rsid w:val="00147616"/>
    <w:rsid w:val="00167C0A"/>
    <w:rsid w:val="001B7907"/>
    <w:rsid w:val="001C61F5"/>
    <w:rsid w:val="001E3704"/>
    <w:rsid w:val="002C1D90"/>
    <w:rsid w:val="00323C1F"/>
    <w:rsid w:val="003615E7"/>
    <w:rsid w:val="003D772A"/>
    <w:rsid w:val="003F5B26"/>
    <w:rsid w:val="00457722"/>
    <w:rsid w:val="00461E85"/>
    <w:rsid w:val="00470DCD"/>
    <w:rsid w:val="00487F68"/>
    <w:rsid w:val="004A12BF"/>
    <w:rsid w:val="004D7072"/>
    <w:rsid w:val="005722BC"/>
    <w:rsid w:val="00603EFD"/>
    <w:rsid w:val="00646B92"/>
    <w:rsid w:val="006B6EE3"/>
    <w:rsid w:val="006D0B98"/>
    <w:rsid w:val="0071577C"/>
    <w:rsid w:val="00750B9A"/>
    <w:rsid w:val="007A0899"/>
    <w:rsid w:val="008402D6"/>
    <w:rsid w:val="00847B7E"/>
    <w:rsid w:val="00953295"/>
    <w:rsid w:val="00AC4A31"/>
    <w:rsid w:val="00B318F2"/>
    <w:rsid w:val="00B548D2"/>
    <w:rsid w:val="00BD61EC"/>
    <w:rsid w:val="00BD6685"/>
    <w:rsid w:val="00C36F58"/>
    <w:rsid w:val="00D7286C"/>
    <w:rsid w:val="00D836B4"/>
    <w:rsid w:val="00E13103"/>
    <w:rsid w:val="00E7097C"/>
    <w:rsid w:val="00E94941"/>
    <w:rsid w:val="00EC1B22"/>
    <w:rsid w:val="00EC563B"/>
    <w:rsid w:val="00F42A4F"/>
    <w:rsid w:val="00FA7884"/>
    <w:rsid w:val="00FD5A33"/>
    <w:rsid w:val="00FF77F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6B4"/>
    <w:pPr>
      <w:ind w:left="720"/>
      <w:contextualSpacing/>
    </w:pPr>
  </w:style>
  <w:style w:type="paragraph" w:styleId="Header">
    <w:name w:val="header"/>
    <w:basedOn w:val="Normal"/>
    <w:link w:val="HeaderChar"/>
    <w:uiPriority w:val="99"/>
    <w:unhideWhenUsed/>
    <w:rsid w:val="00572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2BC"/>
  </w:style>
  <w:style w:type="paragraph" w:styleId="Footer">
    <w:name w:val="footer"/>
    <w:basedOn w:val="Normal"/>
    <w:link w:val="FooterChar"/>
    <w:uiPriority w:val="99"/>
    <w:unhideWhenUsed/>
    <w:rsid w:val="00572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2BC"/>
  </w:style>
  <w:style w:type="paragraph" w:styleId="BalloonText">
    <w:name w:val="Balloon Text"/>
    <w:basedOn w:val="Normal"/>
    <w:link w:val="BalloonTextChar"/>
    <w:uiPriority w:val="99"/>
    <w:semiHidden/>
    <w:unhideWhenUsed/>
    <w:rsid w:val="002C1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D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6B4"/>
    <w:pPr>
      <w:ind w:left="720"/>
      <w:contextualSpacing/>
    </w:pPr>
  </w:style>
  <w:style w:type="paragraph" w:styleId="Header">
    <w:name w:val="header"/>
    <w:basedOn w:val="Normal"/>
    <w:link w:val="HeaderChar"/>
    <w:uiPriority w:val="99"/>
    <w:unhideWhenUsed/>
    <w:rsid w:val="00572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2BC"/>
  </w:style>
  <w:style w:type="paragraph" w:styleId="Footer">
    <w:name w:val="footer"/>
    <w:basedOn w:val="Normal"/>
    <w:link w:val="FooterChar"/>
    <w:uiPriority w:val="99"/>
    <w:unhideWhenUsed/>
    <w:rsid w:val="00572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2BC"/>
  </w:style>
  <w:style w:type="paragraph" w:styleId="BalloonText">
    <w:name w:val="Balloon Text"/>
    <w:basedOn w:val="Normal"/>
    <w:link w:val="BalloonTextChar"/>
    <w:uiPriority w:val="99"/>
    <w:semiHidden/>
    <w:unhideWhenUsed/>
    <w:rsid w:val="002C1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2017-05-15T12:41:00Z</cp:lastPrinted>
  <dcterms:created xsi:type="dcterms:W3CDTF">2017-05-19T13:18:00Z</dcterms:created>
  <dcterms:modified xsi:type="dcterms:W3CDTF">2017-05-19T13:18:00Z</dcterms:modified>
</cp:coreProperties>
</file>