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00" w:rsidRPr="00BA3DD5" w:rsidRDefault="003C7900" w:rsidP="003C7900">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KUDAKWASHE BLESSING SHAMUYARIRA</w:t>
      </w:r>
    </w:p>
    <w:p w:rsidR="003C7900" w:rsidRPr="00BA3DD5" w:rsidRDefault="003C7900" w:rsidP="003C7900">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rsidR="003C7900" w:rsidRDefault="003C7900" w:rsidP="003C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DAVISON MUNODAWAFA GOREDEMA</w:t>
      </w:r>
    </w:p>
    <w:p w:rsidR="003C7900" w:rsidRDefault="003C7900" w:rsidP="003C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C7900" w:rsidRDefault="003C7900" w:rsidP="003C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SPIWE EMMA MONGO</w:t>
      </w:r>
    </w:p>
    <w:p w:rsidR="003C7900" w:rsidRDefault="003C7900" w:rsidP="003C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C7900" w:rsidRDefault="003C7900" w:rsidP="003C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p>
    <w:p w:rsidR="003C7900" w:rsidRDefault="003C7900" w:rsidP="003C7900">
      <w:pPr>
        <w:spacing w:after="0" w:line="240" w:lineRule="auto"/>
        <w:jc w:val="both"/>
        <w:rPr>
          <w:rFonts w:ascii="Times New Roman" w:hAnsi="Times New Roman" w:cs="Times New Roman"/>
          <w:sz w:val="24"/>
          <w:szCs w:val="24"/>
        </w:rPr>
      </w:pPr>
    </w:p>
    <w:p w:rsidR="003C7900" w:rsidRDefault="003C7900" w:rsidP="003C7900">
      <w:pPr>
        <w:spacing w:after="0" w:line="240" w:lineRule="auto"/>
        <w:jc w:val="both"/>
        <w:rPr>
          <w:rFonts w:ascii="Times New Roman" w:hAnsi="Times New Roman" w:cs="Times New Roman"/>
          <w:sz w:val="24"/>
          <w:szCs w:val="24"/>
        </w:rPr>
      </w:pPr>
    </w:p>
    <w:p w:rsidR="003C7900" w:rsidRDefault="003C7900" w:rsidP="003C7900">
      <w:pPr>
        <w:spacing w:after="0" w:line="240" w:lineRule="auto"/>
        <w:jc w:val="both"/>
        <w:rPr>
          <w:rFonts w:ascii="Times New Roman" w:hAnsi="Times New Roman" w:cs="Times New Roman"/>
          <w:sz w:val="24"/>
          <w:szCs w:val="24"/>
        </w:rPr>
      </w:pPr>
    </w:p>
    <w:p w:rsidR="003C7900" w:rsidRDefault="003C7900" w:rsidP="003C790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3C7900" w:rsidRDefault="003C7900" w:rsidP="003C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CHIWESHE JP</w:t>
      </w:r>
    </w:p>
    <w:p w:rsidR="003C7900" w:rsidRDefault="003C7900" w:rsidP="003C790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5A7392">
        <w:rPr>
          <w:rFonts w:ascii="Times New Roman" w:hAnsi="Times New Roman" w:cs="Times New Roman"/>
          <w:sz w:val="24"/>
          <w:szCs w:val="24"/>
        </w:rPr>
        <w:t>14 &amp; 20 March 2017 and 31 May 2017</w:t>
      </w:r>
    </w:p>
    <w:p w:rsidR="003C7900" w:rsidRDefault="003C7900" w:rsidP="003C7900">
      <w:pPr>
        <w:spacing w:after="0"/>
        <w:jc w:val="both"/>
        <w:rPr>
          <w:rFonts w:ascii="Times New Roman" w:hAnsi="Times New Roman" w:cs="Times New Roman"/>
          <w:sz w:val="24"/>
          <w:szCs w:val="24"/>
        </w:rPr>
      </w:pPr>
    </w:p>
    <w:p w:rsidR="003C7900" w:rsidRPr="00BA3DD5" w:rsidRDefault="003C7900" w:rsidP="003C7900">
      <w:pPr>
        <w:spacing w:after="0" w:line="240" w:lineRule="auto"/>
        <w:jc w:val="both"/>
        <w:rPr>
          <w:rFonts w:ascii="Times New Roman" w:hAnsi="Times New Roman" w:cs="Times New Roman"/>
          <w:sz w:val="24"/>
          <w:szCs w:val="24"/>
        </w:rPr>
      </w:pPr>
    </w:p>
    <w:p w:rsidR="003C7900" w:rsidRDefault="003C7900" w:rsidP="003C7900">
      <w:pPr>
        <w:spacing w:after="0" w:line="240" w:lineRule="auto"/>
        <w:jc w:val="both"/>
        <w:rPr>
          <w:rFonts w:ascii="Times New Roman" w:hAnsi="Times New Roman" w:cs="Times New Roman"/>
          <w:b/>
          <w:sz w:val="24"/>
          <w:szCs w:val="24"/>
        </w:rPr>
      </w:pPr>
    </w:p>
    <w:p w:rsidR="003C7900" w:rsidRPr="00326756" w:rsidRDefault="003C7900" w:rsidP="003C790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3C7900" w:rsidRDefault="003C7900" w:rsidP="003C7900">
      <w:pPr>
        <w:spacing w:after="0"/>
        <w:jc w:val="both"/>
        <w:rPr>
          <w:rFonts w:ascii="Times New Roman" w:hAnsi="Times New Roman" w:cs="Times New Roman"/>
          <w:sz w:val="24"/>
          <w:szCs w:val="24"/>
        </w:rPr>
      </w:pPr>
    </w:p>
    <w:p w:rsidR="003C7900" w:rsidRPr="00BA3DD5" w:rsidRDefault="003C7900" w:rsidP="003C7900">
      <w:pPr>
        <w:spacing w:after="0" w:line="240" w:lineRule="auto"/>
        <w:jc w:val="both"/>
        <w:rPr>
          <w:rFonts w:ascii="Times New Roman" w:hAnsi="Times New Roman" w:cs="Times New Roman"/>
          <w:sz w:val="24"/>
          <w:szCs w:val="24"/>
        </w:rPr>
      </w:pPr>
    </w:p>
    <w:p w:rsidR="003C7900" w:rsidRDefault="00DB01AD" w:rsidP="003C7900">
      <w:pPr>
        <w:spacing w:after="0" w:line="240" w:lineRule="auto"/>
        <w:jc w:val="both"/>
        <w:rPr>
          <w:rFonts w:ascii="Times New Roman" w:hAnsi="Times New Roman" w:cs="Times New Roman"/>
          <w:sz w:val="24"/>
          <w:szCs w:val="24"/>
        </w:rPr>
      </w:pPr>
      <w:r w:rsidRPr="00DB01AD">
        <w:rPr>
          <w:rFonts w:ascii="Times New Roman" w:hAnsi="Times New Roman" w:cs="Times New Roman"/>
          <w:sz w:val="24"/>
          <w:szCs w:val="24"/>
        </w:rPr>
        <w:t>Adv</w:t>
      </w:r>
      <w:r>
        <w:rPr>
          <w:rFonts w:ascii="Times New Roman" w:hAnsi="Times New Roman" w:cs="Times New Roman"/>
          <w:i/>
          <w:sz w:val="24"/>
          <w:szCs w:val="24"/>
        </w:rPr>
        <w:t xml:space="preserve"> Chinwadzimba</w:t>
      </w:r>
      <w:r>
        <w:rPr>
          <w:rFonts w:ascii="Times New Roman" w:hAnsi="Times New Roman" w:cs="Times New Roman"/>
          <w:sz w:val="24"/>
          <w:szCs w:val="24"/>
        </w:rPr>
        <w:t>, for the applicant</w:t>
      </w:r>
    </w:p>
    <w:p w:rsidR="003C7900" w:rsidRDefault="00DB01AD" w:rsidP="003C7900">
      <w:pPr>
        <w:spacing w:after="0" w:line="240" w:lineRule="auto"/>
        <w:jc w:val="both"/>
        <w:rPr>
          <w:rFonts w:ascii="Times New Roman" w:hAnsi="Times New Roman" w:cs="Times New Roman"/>
          <w:i/>
          <w:sz w:val="24"/>
          <w:szCs w:val="24"/>
        </w:rPr>
      </w:pPr>
      <w:r w:rsidRPr="008D40CB">
        <w:rPr>
          <w:rFonts w:ascii="Times New Roman" w:hAnsi="Times New Roman" w:cs="Times New Roman"/>
          <w:i/>
          <w:sz w:val="24"/>
          <w:szCs w:val="24"/>
        </w:rPr>
        <w:t>DC Kufaruwenga</w:t>
      </w:r>
      <w:r w:rsidR="003C7900">
        <w:rPr>
          <w:rFonts w:ascii="Times New Roman" w:hAnsi="Times New Roman" w:cs="Times New Roman"/>
          <w:i/>
          <w:sz w:val="24"/>
          <w:szCs w:val="24"/>
        </w:rPr>
        <w:t xml:space="preserve">, </w:t>
      </w:r>
      <w:r w:rsidR="003C7900" w:rsidRPr="00BA3DD5">
        <w:rPr>
          <w:rFonts w:ascii="Times New Roman" w:hAnsi="Times New Roman" w:cs="Times New Roman"/>
          <w:sz w:val="24"/>
          <w:szCs w:val="24"/>
        </w:rPr>
        <w:t xml:space="preserve">for </w:t>
      </w:r>
      <w:r w:rsidR="003C7900">
        <w:rPr>
          <w:rFonts w:ascii="Times New Roman" w:hAnsi="Times New Roman" w:cs="Times New Roman"/>
          <w:sz w:val="24"/>
          <w:szCs w:val="24"/>
        </w:rPr>
        <w:t xml:space="preserve">the </w:t>
      </w:r>
      <w:r>
        <w:rPr>
          <w:rFonts w:ascii="Times New Roman" w:hAnsi="Times New Roman" w:cs="Times New Roman"/>
          <w:sz w:val="24"/>
          <w:szCs w:val="24"/>
        </w:rPr>
        <w:t>second</w:t>
      </w:r>
      <w:r w:rsidR="003C7900">
        <w:rPr>
          <w:rFonts w:ascii="Times New Roman" w:hAnsi="Times New Roman" w:cs="Times New Roman"/>
          <w:sz w:val="24"/>
          <w:szCs w:val="24"/>
        </w:rPr>
        <w:t xml:space="preserve"> respondent </w:t>
      </w:r>
    </w:p>
    <w:p w:rsidR="003C7900" w:rsidRDefault="003C7900" w:rsidP="003C7900">
      <w:pPr>
        <w:spacing w:after="0" w:line="240" w:lineRule="auto"/>
        <w:jc w:val="both"/>
        <w:rPr>
          <w:rFonts w:ascii="Times New Roman" w:hAnsi="Times New Roman" w:cs="Times New Roman"/>
          <w:b/>
          <w:sz w:val="24"/>
          <w:szCs w:val="24"/>
        </w:rPr>
      </w:pPr>
    </w:p>
    <w:p w:rsidR="003C7900" w:rsidRDefault="003C7900" w:rsidP="003C7900">
      <w:pPr>
        <w:spacing w:after="0" w:line="360" w:lineRule="auto"/>
        <w:ind w:firstLine="720"/>
        <w:jc w:val="both"/>
        <w:rPr>
          <w:rFonts w:ascii="Times New Roman" w:hAnsi="Times New Roman" w:cs="Times New Roman"/>
          <w:b/>
          <w:sz w:val="24"/>
          <w:szCs w:val="24"/>
        </w:rPr>
      </w:pPr>
    </w:p>
    <w:p w:rsidR="003C7900" w:rsidRDefault="003C7900" w:rsidP="004B68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CHIWESHE JP</w:t>
      </w:r>
      <w:r w:rsidRPr="00A34A1F">
        <w:rPr>
          <w:rFonts w:ascii="Times New Roman" w:hAnsi="Times New Roman" w:cs="Times New Roman"/>
          <w:sz w:val="24"/>
          <w:szCs w:val="24"/>
        </w:rPr>
        <w:t>:</w:t>
      </w:r>
      <w:r>
        <w:rPr>
          <w:rFonts w:ascii="Times New Roman" w:hAnsi="Times New Roman" w:cs="Times New Roman"/>
          <w:sz w:val="24"/>
          <w:szCs w:val="24"/>
        </w:rPr>
        <w:t xml:space="preserve">  This is an application for summary judgment in terms of Rule 64 of the High Court Rules, 1971.</w:t>
      </w:r>
    </w:p>
    <w:p w:rsidR="004D7126" w:rsidRDefault="003C7900" w:rsidP="004B68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facts to this application are as follows.  In December 2013 </w:t>
      </w:r>
      <w:r w:rsidR="008253DA">
        <w:rPr>
          <w:rFonts w:ascii="Times New Roman" w:hAnsi="Times New Roman" w:cs="Times New Roman"/>
          <w:sz w:val="24"/>
          <w:szCs w:val="24"/>
        </w:rPr>
        <w:t xml:space="preserve">the first respondent sold stand 4379 Norton Township of Knowe to the applicant for the sum of </w:t>
      </w:r>
      <w:r w:rsidR="004B6894">
        <w:rPr>
          <w:rFonts w:ascii="Times New Roman" w:hAnsi="Times New Roman" w:cs="Times New Roman"/>
          <w:sz w:val="24"/>
          <w:szCs w:val="24"/>
        </w:rPr>
        <w:t xml:space="preserve">     </w:t>
      </w:r>
      <w:r w:rsidR="008253DA">
        <w:rPr>
          <w:rFonts w:ascii="Times New Roman" w:hAnsi="Times New Roman" w:cs="Times New Roman"/>
          <w:sz w:val="24"/>
          <w:szCs w:val="24"/>
        </w:rPr>
        <w:t xml:space="preserve">$20 000.00.  The sale was made in terms of </w:t>
      </w:r>
      <w:r w:rsidR="004B6894">
        <w:rPr>
          <w:rFonts w:ascii="Times New Roman" w:hAnsi="Times New Roman" w:cs="Times New Roman"/>
          <w:sz w:val="24"/>
          <w:szCs w:val="24"/>
        </w:rPr>
        <w:t>a written agreement between the parties.  When the first respondent attempted to resile out of the agreement, the applicant approached this court under case number HC 4412/14.  By judgment of Makoni J</w:t>
      </w:r>
      <w:r w:rsidR="00164D15">
        <w:rPr>
          <w:rFonts w:ascii="Times New Roman" w:hAnsi="Times New Roman" w:cs="Times New Roman"/>
          <w:sz w:val="24"/>
          <w:szCs w:val="24"/>
        </w:rPr>
        <w:t>,</w:t>
      </w:r>
      <w:r w:rsidR="004B6894">
        <w:rPr>
          <w:rFonts w:ascii="Times New Roman" w:hAnsi="Times New Roman" w:cs="Times New Roman"/>
          <w:sz w:val="24"/>
          <w:szCs w:val="24"/>
        </w:rPr>
        <w:t xml:space="preserve"> given under reference </w:t>
      </w:r>
      <w:r w:rsidR="008618D8">
        <w:rPr>
          <w:rFonts w:ascii="Times New Roman" w:hAnsi="Times New Roman" w:cs="Times New Roman"/>
          <w:sz w:val="24"/>
          <w:szCs w:val="24"/>
        </w:rPr>
        <w:t xml:space="preserve">    </w:t>
      </w:r>
      <w:r w:rsidR="004B6894">
        <w:rPr>
          <w:rFonts w:ascii="Times New Roman" w:hAnsi="Times New Roman" w:cs="Times New Roman"/>
          <w:sz w:val="24"/>
          <w:szCs w:val="24"/>
        </w:rPr>
        <w:t>HH 783/15 on 30 September 2015</w:t>
      </w:r>
      <w:r w:rsidR="00164D15">
        <w:rPr>
          <w:rFonts w:ascii="Times New Roman" w:hAnsi="Times New Roman" w:cs="Times New Roman"/>
          <w:sz w:val="24"/>
          <w:szCs w:val="24"/>
        </w:rPr>
        <w:t>,</w:t>
      </w:r>
      <w:r w:rsidR="004B6894">
        <w:rPr>
          <w:rFonts w:ascii="Times New Roman" w:hAnsi="Times New Roman" w:cs="Times New Roman"/>
          <w:sz w:val="24"/>
          <w:szCs w:val="24"/>
        </w:rPr>
        <w:t xml:space="preserve"> the parties</w:t>
      </w:r>
      <w:r w:rsidR="004D7126">
        <w:rPr>
          <w:rFonts w:ascii="Times New Roman" w:hAnsi="Times New Roman" w:cs="Times New Roman"/>
          <w:sz w:val="24"/>
          <w:szCs w:val="24"/>
        </w:rPr>
        <w:t>’ agreement of sale was recognised as valid and the first respondent was ordered to sign all necessary documents to pass transfer to the applicant</w:t>
      </w:r>
      <w:r w:rsidR="00164D15">
        <w:rPr>
          <w:rFonts w:ascii="Times New Roman" w:hAnsi="Times New Roman" w:cs="Times New Roman"/>
          <w:sz w:val="24"/>
          <w:szCs w:val="24"/>
        </w:rPr>
        <w:t>,</w:t>
      </w:r>
      <w:r w:rsidR="004D7126">
        <w:rPr>
          <w:rFonts w:ascii="Times New Roman" w:hAnsi="Times New Roman" w:cs="Times New Roman"/>
          <w:sz w:val="24"/>
          <w:szCs w:val="24"/>
        </w:rPr>
        <w:t xml:space="preserve"> failing which</w:t>
      </w:r>
      <w:r w:rsidR="00164D15">
        <w:rPr>
          <w:rFonts w:ascii="Times New Roman" w:hAnsi="Times New Roman" w:cs="Times New Roman"/>
          <w:sz w:val="24"/>
          <w:szCs w:val="24"/>
        </w:rPr>
        <w:t>,</w:t>
      </w:r>
      <w:r w:rsidR="004D7126">
        <w:rPr>
          <w:rFonts w:ascii="Times New Roman" w:hAnsi="Times New Roman" w:cs="Times New Roman"/>
          <w:sz w:val="24"/>
          <w:szCs w:val="24"/>
        </w:rPr>
        <w:t xml:space="preserve"> the Sheriff was authorised to sign all such documents on behalf of the first respondent.</w:t>
      </w:r>
    </w:p>
    <w:p w:rsidR="005B6C7E" w:rsidRDefault="004D7126" w:rsidP="004B68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Contrary to his obligation</w:t>
      </w:r>
      <w:r w:rsidR="00164D15">
        <w:rPr>
          <w:rFonts w:ascii="Times New Roman" w:hAnsi="Times New Roman" w:cs="Times New Roman"/>
          <w:sz w:val="24"/>
          <w:szCs w:val="24"/>
        </w:rPr>
        <w:t xml:space="preserve">s in terms of that court order, </w:t>
      </w:r>
      <w:r>
        <w:rPr>
          <w:rFonts w:ascii="Times New Roman" w:hAnsi="Times New Roman" w:cs="Times New Roman"/>
          <w:sz w:val="24"/>
          <w:szCs w:val="24"/>
        </w:rPr>
        <w:t>the first respondent then entered into another agreement of sale with the second respondent in terms of which the first respondent sold   the same property to the second respondent f</w:t>
      </w:r>
      <w:r w:rsidR="005B6C7E">
        <w:rPr>
          <w:rFonts w:ascii="Times New Roman" w:hAnsi="Times New Roman" w:cs="Times New Roman"/>
          <w:sz w:val="24"/>
          <w:szCs w:val="24"/>
        </w:rPr>
        <w:t>or the sum of $34 000.00.  This agreement was entered into on 7 October 2015.  The first respondent then effected transfer to the second respondent who now holds title deeds to the property.</w:t>
      </w:r>
    </w:p>
    <w:p w:rsidR="00DC03C9" w:rsidRDefault="006E2044" w:rsidP="004B68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Aggrieved by this turn of events the applicant issued summons under case HC 263/16 wherein he seeks an order setting aside the deed of transfer made in favour of the second respondent and the </w:t>
      </w:r>
      <w:r w:rsidR="00DC03C9">
        <w:rPr>
          <w:rFonts w:ascii="Times New Roman" w:hAnsi="Times New Roman" w:cs="Times New Roman"/>
          <w:sz w:val="24"/>
          <w:szCs w:val="24"/>
        </w:rPr>
        <w:t>immediate transfer of the property to the applicant.  Summons was issued on 14 Mach 2016.  The second respondent entered appearance to defend and filed her plea.  Being of the belief that second respondent had no bona fide defence to his claim and that appearance to defend and the plea had been entered only for purposes of delay, the applicant lau</w:t>
      </w:r>
      <w:r w:rsidR="008618D8">
        <w:rPr>
          <w:rFonts w:ascii="Times New Roman" w:hAnsi="Times New Roman" w:cs="Times New Roman"/>
          <w:sz w:val="24"/>
          <w:szCs w:val="24"/>
        </w:rPr>
        <w:t>n</w:t>
      </w:r>
      <w:r w:rsidR="00DC03C9">
        <w:rPr>
          <w:rFonts w:ascii="Times New Roman" w:hAnsi="Times New Roman" w:cs="Times New Roman"/>
          <w:sz w:val="24"/>
          <w:szCs w:val="24"/>
        </w:rPr>
        <w:t>ched the present application for summary judgment to be entered against the second respondent.  The application is opposed.</w:t>
      </w:r>
    </w:p>
    <w:p w:rsidR="00D929F9" w:rsidRDefault="00DC03C9" w:rsidP="005D22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Summary judgment may be granted when the plaintiff proves that it has a clear and unassailable case against the defendant and that the defence raised, if any, is without substance in law and in fact</w:t>
      </w:r>
      <w:r w:rsidR="00D929F9">
        <w:rPr>
          <w:rFonts w:ascii="Times New Roman" w:hAnsi="Times New Roman" w:cs="Times New Roman"/>
          <w:sz w:val="24"/>
          <w:szCs w:val="24"/>
        </w:rPr>
        <w:t xml:space="preserve">.  See </w:t>
      </w:r>
      <w:r w:rsidR="00D929F9" w:rsidRPr="00D929F9">
        <w:rPr>
          <w:rFonts w:ascii="Times New Roman" w:hAnsi="Times New Roman" w:cs="Times New Roman"/>
          <w:i/>
          <w:sz w:val="24"/>
          <w:szCs w:val="24"/>
        </w:rPr>
        <w:t>Pitchford Investments Pvt Ltd v Muzariri</w:t>
      </w:r>
      <w:r w:rsidR="00D929F9">
        <w:rPr>
          <w:rFonts w:ascii="Times New Roman" w:hAnsi="Times New Roman" w:cs="Times New Roman"/>
          <w:sz w:val="24"/>
          <w:szCs w:val="24"/>
        </w:rPr>
        <w:t xml:space="preserve"> 2005 (1) ZLR (H).</w:t>
      </w:r>
      <w:r w:rsidR="005B6C7E">
        <w:rPr>
          <w:rFonts w:ascii="Times New Roman" w:hAnsi="Times New Roman" w:cs="Times New Roman"/>
          <w:sz w:val="24"/>
          <w:szCs w:val="24"/>
        </w:rPr>
        <w:t xml:space="preserve"> </w:t>
      </w:r>
      <w:r w:rsidR="004B6894">
        <w:rPr>
          <w:rFonts w:ascii="Times New Roman" w:hAnsi="Times New Roman" w:cs="Times New Roman"/>
          <w:sz w:val="24"/>
          <w:szCs w:val="24"/>
        </w:rPr>
        <w:t xml:space="preserve"> </w:t>
      </w:r>
      <w:r w:rsidR="003C7900">
        <w:rPr>
          <w:rFonts w:ascii="Times New Roman" w:hAnsi="Times New Roman" w:cs="Times New Roman"/>
          <w:sz w:val="24"/>
          <w:szCs w:val="24"/>
        </w:rPr>
        <w:t xml:space="preserve"> </w:t>
      </w:r>
      <w:r w:rsidR="00D929F9">
        <w:rPr>
          <w:rFonts w:ascii="Times New Roman" w:hAnsi="Times New Roman" w:cs="Times New Roman"/>
          <w:sz w:val="24"/>
          <w:szCs w:val="24"/>
        </w:rPr>
        <w:t xml:space="preserve">On the other hand in </w:t>
      </w:r>
      <w:r w:rsidR="00D929F9" w:rsidRPr="0084419E">
        <w:rPr>
          <w:rFonts w:ascii="Times New Roman" w:hAnsi="Times New Roman" w:cs="Times New Roman"/>
          <w:i/>
          <w:sz w:val="24"/>
          <w:szCs w:val="24"/>
        </w:rPr>
        <w:t>Jena v Nechipate</w:t>
      </w:r>
      <w:r w:rsidR="00D929F9">
        <w:rPr>
          <w:rFonts w:ascii="Times New Roman" w:hAnsi="Times New Roman" w:cs="Times New Roman"/>
          <w:sz w:val="24"/>
          <w:szCs w:val="24"/>
        </w:rPr>
        <w:t xml:space="preserve"> 1986 </w:t>
      </w:r>
      <w:r w:rsidR="00164D15">
        <w:rPr>
          <w:rFonts w:ascii="Times New Roman" w:hAnsi="Times New Roman" w:cs="Times New Roman"/>
          <w:sz w:val="24"/>
          <w:szCs w:val="24"/>
        </w:rPr>
        <w:t>(1) ZLR 29 (S) it was stated thu</w:t>
      </w:r>
      <w:r w:rsidR="0084419E">
        <w:rPr>
          <w:rFonts w:ascii="Times New Roman" w:hAnsi="Times New Roman" w:cs="Times New Roman"/>
          <w:sz w:val="24"/>
          <w:szCs w:val="24"/>
        </w:rPr>
        <w:t>s:</w:t>
      </w:r>
    </w:p>
    <w:p w:rsidR="005D22BC" w:rsidRDefault="005D22BC" w:rsidP="005D22BC">
      <w:pPr>
        <w:spacing w:after="0" w:line="240" w:lineRule="auto"/>
        <w:ind w:firstLine="720"/>
        <w:jc w:val="both"/>
        <w:rPr>
          <w:rFonts w:ascii="Times New Roman" w:hAnsi="Times New Roman" w:cs="Times New Roman"/>
          <w:sz w:val="24"/>
          <w:szCs w:val="24"/>
        </w:rPr>
      </w:pPr>
    </w:p>
    <w:p w:rsidR="0084419E" w:rsidRDefault="0084419E" w:rsidP="00A013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that a defendant has to establish in order to succeed in having an application for summary judgment dismissed is that “there is a mere possibility of </w:t>
      </w:r>
      <w:r w:rsidR="00A01356">
        <w:rPr>
          <w:rFonts w:ascii="Times New Roman" w:hAnsi="Times New Roman" w:cs="Times New Roman"/>
          <w:sz w:val="24"/>
          <w:szCs w:val="24"/>
        </w:rPr>
        <w:t>his success”, “he has a plausible case”, “there is a triable issue”, or “there is a reasonable possibility that an injustice may be done if summary judgment is granted”</w:t>
      </w:r>
      <w:r>
        <w:rPr>
          <w:rFonts w:ascii="Times New Roman" w:hAnsi="Times New Roman" w:cs="Times New Roman"/>
          <w:sz w:val="24"/>
          <w:szCs w:val="24"/>
        </w:rPr>
        <w:t xml:space="preserve"> </w:t>
      </w:r>
    </w:p>
    <w:p w:rsidR="00A01356" w:rsidRDefault="00A01356" w:rsidP="00A01356">
      <w:pPr>
        <w:spacing w:after="0" w:line="240" w:lineRule="auto"/>
        <w:ind w:left="720"/>
        <w:jc w:val="both"/>
        <w:rPr>
          <w:rFonts w:ascii="Times New Roman" w:hAnsi="Times New Roman" w:cs="Times New Roman"/>
          <w:sz w:val="24"/>
          <w:szCs w:val="24"/>
        </w:rPr>
      </w:pPr>
    </w:p>
    <w:p w:rsidR="002378C9" w:rsidRDefault="002378C9" w:rsidP="002378C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 look at the defences raised by the second respondent clearly shows that there are</w:t>
      </w:r>
    </w:p>
    <w:p w:rsidR="002378C9" w:rsidRDefault="002378C9"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triable issues and for that reason an injustice is likely to arise if the matter were summarily disposed of</w:t>
      </w:r>
      <w:r w:rsidR="00164D15">
        <w:rPr>
          <w:rFonts w:ascii="Times New Roman" w:hAnsi="Times New Roman" w:cs="Times New Roman"/>
          <w:sz w:val="24"/>
          <w:szCs w:val="24"/>
        </w:rPr>
        <w:t>.  C</w:t>
      </w:r>
      <w:r>
        <w:rPr>
          <w:rFonts w:ascii="Times New Roman" w:hAnsi="Times New Roman" w:cs="Times New Roman"/>
          <w:sz w:val="24"/>
          <w:szCs w:val="24"/>
        </w:rPr>
        <w:t>hief among these defences is the fact that the second respondent is an innocent purchaser.  He had no knowledge of the earlier agreement of sale between the first respondent and the applicant.  Nor was he aware that the property had been the subject of litigation before Makoni J and that the court had ordered that the property be transferred to the applicant.</w:t>
      </w:r>
    </w:p>
    <w:p w:rsidR="00030D9B" w:rsidRDefault="002378C9"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of this matter puts this case into that category of cases often </w:t>
      </w:r>
      <w:r w:rsidR="007E348B">
        <w:rPr>
          <w:rFonts w:ascii="Times New Roman" w:hAnsi="Times New Roman" w:cs="Times New Roman"/>
          <w:sz w:val="24"/>
          <w:szCs w:val="24"/>
        </w:rPr>
        <w:t>referred to as “double sales”, where A sells the same property to B and then to C.  The law regarding double sales has been aptly</w:t>
      </w:r>
      <w:r w:rsidR="00030D9B">
        <w:rPr>
          <w:rFonts w:ascii="Times New Roman" w:hAnsi="Times New Roman" w:cs="Times New Roman"/>
          <w:sz w:val="24"/>
          <w:szCs w:val="24"/>
        </w:rPr>
        <w:t xml:space="preserve"> captured by the second respondent in its heads of arguments.  Para 3.1 thereof reads:</w:t>
      </w:r>
    </w:p>
    <w:p w:rsidR="002E4186" w:rsidRDefault="00030D9B" w:rsidP="005D45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“Eminent authors Professor McKerron and Professor Burchell laid down the law in double sales as follows:</w:t>
      </w:r>
    </w:p>
    <w:p w:rsidR="00DE6189" w:rsidRDefault="002E4186" w:rsidP="005D45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“Where A sells a piece of land to B</w:t>
      </w:r>
      <w:r w:rsidR="00164D15">
        <w:rPr>
          <w:rFonts w:ascii="Times New Roman" w:hAnsi="Times New Roman" w:cs="Times New Roman"/>
          <w:sz w:val="24"/>
          <w:szCs w:val="24"/>
        </w:rPr>
        <w:t xml:space="preserve"> and then to C,.</w:t>
      </w:r>
      <w:r>
        <w:rPr>
          <w:rFonts w:ascii="Times New Roman" w:hAnsi="Times New Roman" w:cs="Times New Roman"/>
          <w:sz w:val="24"/>
          <w:szCs w:val="24"/>
        </w:rPr>
        <w:t>………… the rights of the</w:t>
      </w:r>
    </w:p>
    <w:p w:rsidR="002E4186" w:rsidRDefault="002E4186" w:rsidP="005D45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E6189">
        <w:rPr>
          <w:rFonts w:ascii="Times New Roman" w:hAnsi="Times New Roman" w:cs="Times New Roman"/>
          <w:sz w:val="24"/>
          <w:szCs w:val="24"/>
        </w:rPr>
        <w:tab/>
      </w:r>
      <w:r>
        <w:rPr>
          <w:rFonts w:ascii="Times New Roman" w:hAnsi="Times New Roman" w:cs="Times New Roman"/>
          <w:sz w:val="24"/>
          <w:szCs w:val="24"/>
        </w:rPr>
        <w:t>parties are as follows:</w:t>
      </w:r>
    </w:p>
    <w:p w:rsidR="002E4186" w:rsidRDefault="002E4186" w:rsidP="005D45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t>(1)   …………………</w:t>
      </w:r>
    </w:p>
    <w:p w:rsidR="00A01356" w:rsidRDefault="002E4186" w:rsidP="00DE6189">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Where transfer has been passed to </w:t>
      </w:r>
      <w:r w:rsidR="00DF3D38">
        <w:rPr>
          <w:rFonts w:ascii="Times New Roman" w:hAnsi="Times New Roman" w:cs="Times New Roman"/>
          <w:sz w:val="24"/>
          <w:szCs w:val="24"/>
        </w:rPr>
        <w:t xml:space="preserve">C, C acquires an indefeasible right, if he had no knowledge, either </w:t>
      </w:r>
      <w:r w:rsidR="00164D15">
        <w:rPr>
          <w:rFonts w:ascii="Times New Roman" w:hAnsi="Times New Roman" w:cs="Times New Roman"/>
          <w:sz w:val="24"/>
          <w:szCs w:val="24"/>
        </w:rPr>
        <w:t xml:space="preserve">at the time of the sale or </w:t>
      </w:r>
      <w:r w:rsidR="00DF3D38">
        <w:rPr>
          <w:rFonts w:ascii="Times New Roman" w:hAnsi="Times New Roman" w:cs="Times New Roman"/>
          <w:sz w:val="24"/>
          <w:szCs w:val="24"/>
        </w:rPr>
        <w:t xml:space="preserve">at the time he took transfer, of the prior sale to B, and B’s only remedy is an action for damages </w:t>
      </w:r>
      <w:r w:rsidR="00DF3D38">
        <w:rPr>
          <w:rFonts w:ascii="Times New Roman" w:hAnsi="Times New Roman" w:cs="Times New Roman"/>
          <w:sz w:val="24"/>
          <w:szCs w:val="24"/>
        </w:rPr>
        <w:lastRenderedPageBreak/>
        <w:t>against A.</w:t>
      </w:r>
      <w:r w:rsidR="000D06AD">
        <w:rPr>
          <w:rFonts w:ascii="Times New Roman" w:hAnsi="Times New Roman" w:cs="Times New Roman"/>
          <w:sz w:val="24"/>
          <w:szCs w:val="24"/>
        </w:rPr>
        <w:t xml:space="preserve">  If however, C had knowledge at either of these dates, B, in the absence of special circumstances affecting the balance of equities, can recover the land from him, and in that event C’s only remedy is an action for damages against A.”</w:t>
      </w:r>
    </w:p>
    <w:p w:rsidR="00DE6189" w:rsidRDefault="00DE6189" w:rsidP="00DE6189">
      <w:pPr>
        <w:spacing w:after="0" w:line="240" w:lineRule="auto"/>
        <w:ind w:left="1440"/>
        <w:jc w:val="both"/>
        <w:rPr>
          <w:rFonts w:ascii="Times New Roman" w:hAnsi="Times New Roman" w:cs="Times New Roman"/>
          <w:sz w:val="24"/>
          <w:szCs w:val="24"/>
        </w:rPr>
      </w:pPr>
    </w:p>
    <w:p w:rsidR="005D45B6" w:rsidRDefault="00E409C1"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apparent that the </w:t>
      </w:r>
      <w:r w:rsidR="000D06AD">
        <w:rPr>
          <w:rFonts w:ascii="Times New Roman" w:hAnsi="Times New Roman" w:cs="Times New Roman"/>
          <w:sz w:val="24"/>
          <w:szCs w:val="24"/>
        </w:rPr>
        <w:t>second respondent</w:t>
      </w:r>
      <w:r w:rsidR="00164D15">
        <w:rPr>
          <w:rFonts w:ascii="Times New Roman" w:hAnsi="Times New Roman" w:cs="Times New Roman"/>
          <w:sz w:val="24"/>
          <w:szCs w:val="24"/>
        </w:rPr>
        <w:t>,</w:t>
      </w:r>
      <w:r>
        <w:rPr>
          <w:rFonts w:ascii="Times New Roman" w:hAnsi="Times New Roman" w:cs="Times New Roman"/>
          <w:sz w:val="24"/>
          <w:szCs w:val="24"/>
        </w:rPr>
        <w:t xml:space="preserve"> whose position as an innocent purchaser is thus protected</w:t>
      </w:r>
      <w:r w:rsidR="00164D15">
        <w:rPr>
          <w:rFonts w:ascii="Times New Roman" w:hAnsi="Times New Roman" w:cs="Times New Roman"/>
          <w:sz w:val="24"/>
          <w:szCs w:val="24"/>
        </w:rPr>
        <w:t>,</w:t>
      </w:r>
      <w:r>
        <w:rPr>
          <w:rFonts w:ascii="Times New Roman" w:hAnsi="Times New Roman" w:cs="Times New Roman"/>
          <w:sz w:val="24"/>
          <w:szCs w:val="24"/>
        </w:rPr>
        <w:t xml:space="preserve"> has raised a </w:t>
      </w:r>
      <w:r w:rsidRPr="00164D15">
        <w:rPr>
          <w:rFonts w:ascii="Times New Roman" w:hAnsi="Times New Roman" w:cs="Times New Roman"/>
          <w:i/>
          <w:sz w:val="24"/>
          <w:szCs w:val="24"/>
        </w:rPr>
        <w:t>bona fide</w:t>
      </w:r>
      <w:r>
        <w:rPr>
          <w:rFonts w:ascii="Times New Roman" w:hAnsi="Times New Roman" w:cs="Times New Roman"/>
          <w:sz w:val="24"/>
          <w:szCs w:val="24"/>
        </w:rPr>
        <w:t xml:space="preserve"> defence which i</w:t>
      </w:r>
      <w:r w:rsidR="00164D15">
        <w:rPr>
          <w:rFonts w:ascii="Times New Roman" w:hAnsi="Times New Roman" w:cs="Times New Roman"/>
          <w:sz w:val="24"/>
          <w:szCs w:val="24"/>
        </w:rPr>
        <w:t>f</w:t>
      </w:r>
      <w:r>
        <w:rPr>
          <w:rFonts w:ascii="Times New Roman" w:hAnsi="Times New Roman" w:cs="Times New Roman"/>
          <w:sz w:val="24"/>
          <w:szCs w:val="24"/>
        </w:rPr>
        <w:t xml:space="preserve"> proved would </w:t>
      </w:r>
      <w:r w:rsidR="005D45B6">
        <w:rPr>
          <w:rFonts w:ascii="Times New Roman" w:hAnsi="Times New Roman" w:cs="Times New Roman"/>
          <w:sz w:val="24"/>
          <w:szCs w:val="24"/>
        </w:rPr>
        <w:t>entitle her to succeed at the trial.</w:t>
      </w:r>
    </w:p>
    <w:p w:rsidR="000D06AD" w:rsidRDefault="005D45B6"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any event the second </w:t>
      </w:r>
      <w:r w:rsidR="00164D15">
        <w:rPr>
          <w:rFonts w:ascii="Times New Roman" w:hAnsi="Times New Roman" w:cs="Times New Roman"/>
          <w:sz w:val="24"/>
          <w:szCs w:val="24"/>
        </w:rPr>
        <w:t>respondent</w:t>
      </w:r>
      <w:r>
        <w:rPr>
          <w:rFonts w:ascii="Times New Roman" w:hAnsi="Times New Roman" w:cs="Times New Roman"/>
          <w:sz w:val="24"/>
          <w:szCs w:val="24"/>
        </w:rPr>
        <w:t xml:space="preserve"> would have an arguable case as the balance of equities appear to lie in her favour – she has taken transfer</w:t>
      </w:r>
      <w:r w:rsidR="00164D15">
        <w:rPr>
          <w:rFonts w:ascii="Times New Roman" w:hAnsi="Times New Roman" w:cs="Times New Roman"/>
          <w:sz w:val="24"/>
          <w:szCs w:val="24"/>
        </w:rPr>
        <w:t xml:space="preserve"> and she is in occupation.  N</w:t>
      </w:r>
      <w:r>
        <w:rPr>
          <w:rFonts w:ascii="Times New Roman" w:hAnsi="Times New Roman" w:cs="Times New Roman"/>
          <w:sz w:val="24"/>
          <w:szCs w:val="24"/>
        </w:rPr>
        <w:t xml:space="preserve">o caveat had been </w:t>
      </w:r>
      <w:r w:rsidR="00522322">
        <w:rPr>
          <w:rFonts w:ascii="Times New Roman" w:hAnsi="Times New Roman" w:cs="Times New Roman"/>
          <w:sz w:val="24"/>
          <w:szCs w:val="24"/>
        </w:rPr>
        <w:t>registered against the property.</w:t>
      </w:r>
      <w:r>
        <w:rPr>
          <w:rFonts w:ascii="Times New Roman" w:hAnsi="Times New Roman" w:cs="Times New Roman"/>
          <w:sz w:val="24"/>
          <w:szCs w:val="24"/>
        </w:rPr>
        <w:t xml:space="preserve"> </w:t>
      </w:r>
      <w:r w:rsidR="00522322">
        <w:rPr>
          <w:rFonts w:ascii="Times New Roman" w:hAnsi="Times New Roman" w:cs="Times New Roman"/>
          <w:sz w:val="24"/>
          <w:szCs w:val="24"/>
        </w:rPr>
        <w:t>S</w:t>
      </w:r>
      <w:r>
        <w:rPr>
          <w:rFonts w:ascii="Times New Roman" w:hAnsi="Times New Roman" w:cs="Times New Roman"/>
          <w:sz w:val="24"/>
          <w:szCs w:val="24"/>
        </w:rPr>
        <w:t xml:space="preserve">he bought the property for $34 000.00 compared to the $20 000.00 paid by the applicant. </w:t>
      </w:r>
      <w:r w:rsidR="00E409C1">
        <w:rPr>
          <w:rFonts w:ascii="Times New Roman" w:hAnsi="Times New Roman" w:cs="Times New Roman"/>
          <w:sz w:val="24"/>
          <w:szCs w:val="24"/>
        </w:rPr>
        <w:t xml:space="preserve"> </w:t>
      </w:r>
    </w:p>
    <w:p w:rsidR="00DE6189" w:rsidRDefault="00DE6189"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heads of argument, the </w:t>
      </w:r>
      <w:r w:rsidR="00522322">
        <w:rPr>
          <w:rFonts w:ascii="Times New Roman" w:hAnsi="Times New Roman" w:cs="Times New Roman"/>
          <w:sz w:val="24"/>
          <w:szCs w:val="24"/>
        </w:rPr>
        <w:t>applicant</w:t>
      </w:r>
      <w:r>
        <w:rPr>
          <w:rFonts w:ascii="Times New Roman" w:hAnsi="Times New Roman" w:cs="Times New Roman"/>
          <w:sz w:val="24"/>
          <w:szCs w:val="24"/>
        </w:rPr>
        <w:t xml:space="preserve"> concedes that the law with regards the position of innocent third parties is as enu</w:t>
      </w:r>
      <w:r w:rsidR="00522322">
        <w:rPr>
          <w:rFonts w:ascii="Times New Roman" w:hAnsi="Times New Roman" w:cs="Times New Roman"/>
          <w:sz w:val="24"/>
          <w:szCs w:val="24"/>
        </w:rPr>
        <w:t xml:space="preserve">nciated by the second respondent.  </w:t>
      </w:r>
      <w:r>
        <w:rPr>
          <w:rFonts w:ascii="Times New Roman" w:hAnsi="Times New Roman" w:cs="Times New Roman"/>
          <w:sz w:val="24"/>
          <w:szCs w:val="24"/>
        </w:rPr>
        <w:t>H</w:t>
      </w:r>
      <w:r w:rsidR="009C4753">
        <w:rPr>
          <w:rFonts w:ascii="Times New Roman" w:hAnsi="Times New Roman" w:cs="Times New Roman"/>
          <w:sz w:val="24"/>
          <w:szCs w:val="24"/>
        </w:rPr>
        <w:t xml:space="preserve">aving made that concession the plaintiff argues that the present case should be distinguished from this general rule because </w:t>
      </w:r>
      <w:r w:rsidR="009C4753" w:rsidRPr="00522322">
        <w:rPr>
          <w:rFonts w:ascii="Times New Roman" w:hAnsi="Times New Roman" w:cs="Times New Roman"/>
          <w:i/>
          <w:sz w:val="24"/>
          <w:szCs w:val="24"/>
        </w:rPr>
        <w:t xml:space="preserve">in </w:t>
      </w:r>
      <w:r w:rsidR="00522322" w:rsidRPr="00522322">
        <w:rPr>
          <w:rFonts w:ascii="Times New Roman" w:hAnsi="Times New Roman" w:cs="Times New Roman"/>
          <w:i/>
          <w:sz w:val="24"/>
          <w:szCs w:val="24"/>
        </w:rPr>
        <w:t>casu</w:t>
      </w:r>
      <w:r w:rsidR="009C4753">
        <w:rPr>
          <w:rFonts w:ascii="Times New Roman" w:hAnsi="Times New Roman" w:cs="Times New Roman"/>
          <w:sz w:val="24"/>
          <w:szCs w:val="24"/>
        </w:rPr>
        <w:t xml:space="preserve"> there was</w:t>
      </w:r>
      <w:r w:rsidR="00522322">
        <w:rPr>
          <w:rFonts w:ascii="Times New Roman" w:hAnsi="Times New Roman" w:cs="Times New Roman"/>
          <w:sz w:val="24"/>
          <w:szCs w:val="24"/>
        </w:rPr>
        <w:t>,</w:t>
      </w:r>
      <w:r w:rsidR="009C4753">
        <w:rPr>
          <w:rFonts w:ascii="Times New Roman" w:hAnsi="Times New Roman" w:cs="Times New Roman"/>
          <w:sz w:val="24"/>
          <w:szCs w:val="24"/>
        </w:rPr>
        <w:t xml:space="preserve"> at the time of the second sale</w:t>
      </w:r>
      <w:r w:rsidR="00522322">
        <w:rPr>
          <w:rFonts w:ascii="Times New Roman" w:hAnsi="Times New Roman" w:cs="Times New Roman"/>
          <w:sz w:val="24"/>
          <w:szCs w:val="24"/>
        </w:rPr>
        <w:t>,</w:t>
      </w:r>
      <w:r w:rsidR="009C4753">
        <w:rPr>
          <w:rFonts w:ascii="Times New Roman" w:hAnsi="Times New Roman" w:cs="Times New Roman"/>
          <w:sz w:val="24"/>
          <w:szCs w:val="24"/>
        </w:rPr>
        <w:t xml:space="preserve"> a judgment of this court precluding the first respondent from alienating the property otherwise than by transfer to the plaintiff.  The property was thus </w:t>
      </w:r>
      <w:r w:rsidR="009C4753" w:rsidRPr="009C4753">
        <w:rPr>
          <w:rFonts w:ascii="Times New Roman" w:hAnsi="Times New Roman" w:cs="Times New Roman"/>
          <w:i/>
          <w:sz w:val="24"/>
          <w:szCs w:val="24"/>
        </w:rPr>
        <w:t>res litigiosa</w:t>
      </w:r>
      <w:r w:rsidR="009C4753">
        <w:rPr>
          <w:rFonts w:ascii="Times New Roman" w:hAnsi="Times New Roman" w:cs="Times New Roman"/>
          <w:sz w:val="24"/>
          <w:szCs w:val="24"/>
        </w:rPr>
        <w:t xml:space="preserve"> and as a result the agreement of sale of the </w:t>
      </w:r>
      <w:r w:rsidR="009C4753" w:rsidRPr="009C4753">
        <w:rPr>
          <w:rFonts w:ascii="Times New Roman" w:hAnsi="Times New Roman" w:cs="Times New Roman"/>
          <w:i/>
          <w:sz w:val="24"/>
          <w:szCs w:val="24"/>
        </w:rPr>
        <w:t>res litigiosa</w:t>
      </w:r>
      <w:r w:rsidR="009C4753">
        <w:rPr>
          <w:rFonts w:ascii="Times New Roman" w:hAnsi="Times New Roman" w:cs="Times New Roman"/>
          <w:sz w:val="24"/>
          <w:szCs w:val="24"/>
        </w:rPr>
        <w:t xml:space="preserve"> between the litigating party and a third party is valid </w:t>
      </w:r>
      <w:r w:rsidR="009C4753" w:rsidRPr="009C4753">
        <w:rPr>
          <w:rFonts w:ascii="Times New Roman" w:hAnsi="Times New Roman" w:cs="Times New Roman"/>
          <w:i/>
          <w:sz w:val="24"/>
          <w:szCs w:val="24"/>
        </w:rPr>
        <w:t>inter partes</w:t>
      </w:r>
      <w:r w:rsidR="009C4753">
        <w:rPr>
          <w:rFonts w:ascii="Times New Roman" w:hAnsi="Times New Roman" w:cs="Times New Roman"/>
          <w:sz w:val="24"/>
          <w:szCs w:val="24"/>
        </w:rPr>
        <w:t xml:space="preserve"> and the third purchaser is bound by the prior judgment in the action and </w:t>
      </w:r>
      <w:r w:rsidR="00D2361C">
        <w:rPr>
          <w:rFonts w:ascii="Times New Roman" w:hAnsi="Times New Roman" w:cs="Times New Roman"/>
          <w:sz w:val="24"/>
          <w:szCs w:val="24"/>
        </w:rPr>
        <w:t xml:space="preserve">the successful party can recover it from the new possessor by execution and without fresh proceedings.  See </w:t>
      </w:r>
      <w:r w:rsidR="00D2361C" w:rsidRPr="00D2361C">
        <w:rPr>
          <w:rFonts w:ascii="Times New Roman" w:hAnsi="Times New Roman" w:cs="Times New Roman"/>
          <w:i/>
          <w:sz w:val="24"/>
          <w:szCs w:val="24"/>
        </w:rPr>
        <w:t>Supa Plant Investments Pvt Ltd v Chidavaenzi</w:t>
      </w:r>
      <w:r w:rsidR="00D2361C">
        <w:rPr>
          <w:rFonts w:ascii="Times New Roman" w:hAnsi="Times New Roman" w:cs="Times New Roman"/>
          <w:sz w:val="24"/>
          <w:szCs w:val="24"/>
        </w:rPr>
        <w:t xml:space="preserve"> 2009 (2)</w:t>
      </w:r>
      <w:r w:rsidR="006825D5">
        <w:rPr>
          <w:rFonts w:ascii="Times New Roman" w:hAnsi="Times New Roman" w:cs="Times New Roman"/>
          <w:sz w:val="24"/>
          <w:szCs w:val="24"/>
        </w:rPr>
        <w:t xml:space="preserve"> ZLR 132 and </w:t>
      </w:r>
      <w:r w:rsidR="006825D5" w:rsidRPr="006825D5">
        <w:rPr>
          <w:rFonts w:ascii="Times New Roman" w:hAnsi="Times New Roman" w:cs="Times New Roman"/>
          <w:i/>
          <w:sz w:val="24"/>
          <w:szCs w:val="24"/>
        </w:rPr>
        <w:t>Gardner v Dampier Development and Ors</w:t>
      </w:r>
      <w:r w:rsidR="006825D5">
        <w:rPr>
          <w:rFonts w:ascii="Times New Roman" w:hAnsi="Times New Roman" w:cs="Times New Roman"/>
          <w:sz w:val="24"/>
          <w:szCs w:val="24"/>
        </w:rPr>
        <w:t xml:space="preserve"> 2010 ZLR 306 (H).</w:t>
      </w:r>
      <w:r w:rsidR="00D2361C">
        <w:rPr>
          <w:rFonts w:ascii="Times New Roman" w:hAnsi="Times New Roman" w:cs="Times New Roman"/>
          <w:sz w:val="24"/>
          <w:szCs w:val="24"/>
        </w:rPr>
        <w:t xml:space="preserve"> </w:t>
      </w:r>
      <w:r w:rsidR="009C4753">
        <w:rPr>
          <w:rFonts w:ascii="Times New Roman" w:hAnsi="Times New Roman" w:cs="Times New Roman"/>
          <w:sz w:val="24"/>
          <w:szCs w:val="24"/>
        </w:rPr>
        <w:t xml:space="preserve"> </w:t>
      </w:r>
    </w:p>
    <w:p w:rsidR="006825D5" w:rsidRDefault="006825D5"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Based on that legal principle therefore</w:t>
      </w:r>
      <w:r w:rsidR="00522322">
        <w:rPr>
          <w:rFonts w:ascii="Times New Roman" w:hAnsi="Times New Roman" w:cs="Times New Roman"/>
          <w:sz w:val="24"/>
          <w:szCs w:val="24"/>
        </w:rPr>
        <w:t>,</w:t>
      </w:r>
      <w:r>
        <w:rPr>
          <w:rFonts w:ascii="Times New Roman" w:hAnsi="Times New Roman" w:cs="Times New Roman"/>
          <w:sz w:val="24"/>
          <w:szCs w:val="24"/>
        </w:rPr>
        <w:t xml:space="preserve"> argues the plaintiff, the second respondent, notwithstanding her p</w:t>
      </w:r>
      <w:r w:rsidR="00522322">
        <w:rPr>
          <w:rFonts w:ascii="Times New Roman" w:hAnsi="Times New Roman" w:cs="Times New Roman"/>
          <w:sz w:val="24"/>
          <w:szCs w:val="24"/>
        </w:rPr>
        <w:t>osition</w:t>
      </w:r>
      <w:r>
        <w:rPr>
          <w:rFonts w:ascii="Times New Roman" w:hAnsi="Times New Roman" w:cs="Times New Roman"/>
          <w:sz w:val="24"/>
          <w:szCs w:val="24"/>
        </w:rPr>
        <w:t xml:space="preserve"> as an innocent third party</w:t>
      </w:r>
      <w:r w:rsidR="009D29DD">
        <w:rPr>
          <w:rFonts w:ascii="Times New Roman" w:hAnsi="Times New Roman" w:cs="Times New Roman"/>
          <w:sz w:val="24"/>
          <w:szCs w:val="24"/>
        </w:rPr>
        <w:t>,</w:t>
      </w:r>
      <w:r>
        <w:rPr>
          <w:rFonts w:ascii="Times New Roman" w:hAnsi="Times New Roman" w:cs="Times New Roman"/>
          <w:sz w:val="24"/>
          <w:szCs w:val="24"/>
        </w:rPr>
        <w:t xml:space="preserve"> is bound by Makoni J’s judgment.  The </w:t>
      </w:r>
      <w:r w:rsidR="009D29DD">
        <w:rPr>
          <w:rFonts w:ascii="Times New Roman" w:hAnsi="Times New Roman" w:cs="Times New Roman"/>
          <w:sz w:val="24"/>
          <w:szCs w:val="24"/>
        </w:rPr>
        <w:t>applicant</w:t>
      </w:r>
      <w:r>
        <w:rPr>
          <w:rFonts w:ascii="Times New Roman" w:hAnsi="Times New Roman" w:cs="Times New Roman"/>
          <w:sz w:val="24"/>
          <w:szCs w:val="24"/>
        </w:rPr>
        <w:t xml:space="preserve"> can </w:t>
      </w:r>
      <w:r w:rsidR="009D29DD">
        <w:rPr>
          <w:rFonts w:ascii="Times New Roman" w:hAnsi="Times New Roman" w:cs="Times New Roman"/>
          <w:sz w:val="24"/>
          <w:szCs w:val="24"/>
        </w:rPr>
        <w:t xml:space="preserve">thus </w:t>
      </w:r>
      <w:r>
        <w:rPr>
          <w:rFonts w:ascii="Times New Roman" w:hAnsi="Times New Roman" w:cs="Times New Roman"/>
          <w:sz w:val="24"/>
          <w:szCs w:val="24"/>
        </w:rPr>
        <w:t>recover the property from the second respondent by operation of law.</w:t>
      </w:r>
    </w:p>
    <w:p w:rsidR="006825D5" w:rsidRDefault="006825D5"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respondent has not advanced any meaningful argument on the issue of </w:t>
      </w:r>
      <w:r w:rsidRPr="006825D5">
        <w:rPr>
          <w:rFonts w:ascii="Times New Roman" w:hAnsi="Times New Roman" w:cs="Times New Roman"/>
          <w:i/>
          <w:sz w:val="24"/>
          <w:szCs w:val="24"/>
        </w:rPr>
        <w:t>res litigiosa</w:t>
      </w:r>
      <w:r>
        <w:rPr>
          <w:rFonts w:ascii="Times New Roman" w:hAnsi="Times New Roman" w:cs="Times New Roman"/>
          <w:sz w:val="24"/>
          <w:szCs w:val="24"/>
        </w:rPr>
        <w:t xml:space="preserve"> other than to assert in general terms and from the bar that this is a complex legal conce</w:t>
      </w:r>
      <w:r w:rsidR="00BE2551">
        <w:rPr>
          <w:rFonts w:ascii="Times New Roman" w:hAnsi="Times New Roman" w:cs="Times New Roman"/>
          <w:sz w:val="24"/>
          <w:szCs w:val="24"/>
        </w:rPr>
        <w:t>pt which c</w:t>
      </w:r>
      <w:r w:rsidR="009D29DD">
        <w:rPr>
          <w:rFonts w:ascii="Times New Roman" w:hAnsi="Times New Roman" w:cs="Times New Roman"/>
          <w:sz w:val="24"/>
          <w:szCs w:val="24"/>
        </w:rPr>
        <w:t>annot be determined summarily.</w:t>
      </w:r>
      <w:r w:rsidR="00BE2551">
        <w:rPr>
          <w:rFonts w:ascii="Times New Roman" w:hAnsi="Times New Roman" w:cs="Times New Roman"/>
          <w:sz w:val="24"/>
          <w:szCs w:val="24"/>
        </w:rPr>
        <w:t xml:space="preserve"> The applicant’s argument is simple and straight forward.  It is to the effect that ordinarily, as an innocent purchaser, the second respondent’s position would have been impregnable but for the fact that the property is</w:t>
      </w:r>
      <w:r w:rsidR="009D29DD">
        <w:rPr>
          <w:rFonts w:ascii="Times New Roman" w:hAnsi="Times New Roman" w:cs="Times New Roman"/>
          <w:sz w:val="24"/>
          <w:szCs w:val="24"/>
        </w:rPr>
        <w:t>,</w:t>
      </w:r>
      <w:r w:rsidR="00BE2551">
        <w:rPr>
          <w:rFonts w:ascii="Times New Roman" w:hAnsi="Times New Roman" w:cs="Times New Roman"/>
          <w:sz w:val="24"/>
          <w:szCs w:val="24"/>
        </w:rPr>
        <w:t xml:space="preserve"> in this particular case</w:t>
      </w:r>
      <w:r w:rsidR="009D29DD">
        <w:rPr>
          <w:rFonts w:ascii="Times New Roman" w:hAnsi="Times New Roman" w:cs="Times New Roman"/>
          <w:sz w:val="24"/>
          <w:szCs w:val="24"/>
        </w:rPr>
        <w:t>,</w:t>
      </w:r>
      <w:r w:rsidR="00BE2551">
        <w:rPr>
          <w:rFonts w:ascii="Times New Roman" w:hAnsi="Times New Roman" w:cs="Times New Roman"/>
          <w:sz w:val="24"/>
          <w:szCs w:val="24"/>
        </w:rPr>
        <w:t xml:space="preserve"> deemed to be </w:t>
      </w:r>
      <w:r w:rsidR="00BE2551" w:rsidRPr="00BE2551">
        <w:rPr>
          <w:rFonts w:ascii="Times New Roman" w:hAnsi="Times New Roman" w:cs="Times New Roman"/>
          <w:i/>
          <w:sz w:val="24"/>
          <w:szCs w:val="24"/>
        </w:rPr>
        <w:t>res litigiosa</w:t>
      </w:r>
      <w:r w:rsidR="00BE2551">
        <w:rPr>
          <w:rFonts w:ascii="Times New Roman" w:hAnsi="Times New Roman" w:cs="Times New Roman"/>
          <w:sz w:val="24"/>
          <w:szCs w:val="24"/>
        </w:rPr>
        <w:t xml:space="preserve"> and therefore capable of vindication by the first purchaser</w:t>
      </w:r>
      <w:r w:rsidR="003C189C">
        <w:rPr>
          <w:rFonts w:ascii="Times New Roman" w:hAnsi="Times New Roman" w:cs="Times New Roman"/>
          <w:sz w:val="24"/>
          <w:szCs w:val="24"/>
        </w:rPr>
        <w:t>, the applicant, by operation of law.  That is the crux of the applicant’s case to which no meaningful response has been advanced by the second respondent.  Further</w:t>
      </w:r>
      <w:r w:rsidR="00B4227F">
        <w:rPr>
          <w:rFonts w:ascii="Times New Roman" w:hAnsi="Times New Roman" w:cs="Times New Roman"/>
          <w:sz w:val="24"/>
          <w:szCs w:val="24"/>
        </w:rPr>
        <w:t>,</w:t>
      </w:r>
      <w:r w:rsidR="003C189C">
        <w:rPr>
          <w:rFonts w:ascii="Times New Roman" w:hAnsi="Times New Roman" w:cs="Times New Roman"/>
          <w:sz w:val="24"/>
          <w:szCs w:val="24"/>
        </w:rPr>
        <w:t xml:space="preserve"> in such </w:t>
      </w:r>
      <w:r w:rsidR="003C189C">
        <w:rPr>
          <w:rFonts w:ascii="Times New Roman" w:hAnsi="Times New Roman" w:cs="Times New Roman"/>
          <w:sz w:val="24"/>
          <w:szCs w:val="24"/>
        </w:rPr>
        <w:lastRenderedPageBreak/>
        <w:t xml:space="preserve">cases it matters not whether the registrar has placed a caveat on the property (as he is required to do) for it has been held in </w:t>
      </w:r>
      <w:r w:rsidR="003C189C" w:rsidRPr="003C189C">
        <w:rPr>
          <w:rFonts w:ascii="Times New Roman" w:hAnsi="Times New Roman" w:cs="Times New Roman"/>
          <w:i/>
          <w:sz w:val="24"/>
          <w:szCs w:val="24"/>
        </w:rPr>
        <w:t>Mwayipaida Family Trust v Madoroba and ors</w:t>
      </w:r>
      <w:r w:rsidR="003C189C">
        <w:rPr>
          <w:rFonts w:ascii="Times New Roman" w:hAnsi="Times New Roman" w:cs="Times New Roman"/>
          <w:sz w:val="24"/>
          <w:szCs w:val="24"/>
        </w:rPr>
        <w:t xml:space="preserve"> SC 22/04 that the plaintiff cannot be penalised for the registrar’s neglect of duty.</w:t>
      </w:r>
      <w:r w:rsidR="002E4DDD">
        <w:rPr>
          <w:rFonts w:ascii="Times New Roman" w:hAnsi="Times New Roman" w:cs="Times New Roman"/>
          <w:sz w:val="24"/>
          <w:szCs w:val="24"/>
        </w:rPr>
        <w:t xml:space="preserve">  </w:t>
      </w:r>
    </w:p>
    <w:p w:rsidR="001C3533" w:rsidRDefault="002E4DDD"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Is the applicant’s case unanswerable?  Whilst the applicant appears to have a strong case, I am unable to grant the relief sought because in the main the defendant does have a bona fide defence.  The applicant is an innocent purchaser – ordinarily that alone would entitle her to succe</w:t>
      </w:r>
      <w:r w:rsidR="00962FB3">
        <w:rPr>
          <w:rFonts w:ascii="Times New Roman" w:hAnsi="Times New Roman" w:cs="Times New Roman"/>
          <w:sz w:val="24"/>
          <w:szCs w:val="24"/>
        </w:rPr>
        <w:t xml:space="preserve">ed if so proved in the trial.  The </w:t>
      </w:r>
      <w:r>
        <w:rPr>
          <w:rFonts w:ascii="Times New Roman" w:hAnsi="Times New Roman" w:cs="Times New Roman"/>
          <w:sz w:val="24"/>
          <w:szCs w:val="24"/>
        </w:rPr>
        <w:t>applicant agrees with that position</w:t>
      </w:r>
      <w:r w:rsidR="00962FB3">
        <w:rPr>
          <w:rFonts w:ascii="Times New Roman" w:hAnsi="Times New Roman" w:cs="Times New Roman"/>
          <w:sz w:val="24"/>
          <w:szCs w:val="24"/>
        </w:rPr>
        <w:t xml:space="preserve"> save that the “status of the property”, </w:t>
      </w:r>
      <w:r w:rsidR="00962FB3" w:rsidRPr="00962FB3">
        <w:rPr>
          <w:rFonts w:ascii="Times New Roman" w:hAnsi="Times New Roman" w:cs="Times New Roman"/>
          <w:i/>
          <w:sz w:val="24"/>
          <w:szCs w:val="24"/>
        </w:rPr>
        <w:t>res litigiosa</w:t>
      </w:r>
      <w:r w:rsidR="00B4227F">
        <w:rPr>
          <w:rFonts w:ascii="Times New Roman" w:hAnsi="Times New Roman" w:cs="Times New Roman"/>
          <w:i/>
          <w:sz w:val="24"/>
          <w:szCs w:val="24"/>
        </w:rPr>
        <w:t>,</w:t>
      </w:r>
      <w:r w:rsidR="00962FB3">
        <w:rPr>
          <w:rFonts w:ascii="Times New Roman" w:hAnsi="Times New Roman" w:cs="Times New Roman"/>
          <w:sz w:val="24"/>
          <w:szCs w:val="24"/>
        </w:rPr>
        <w:t xml:space="preserve"> changes this equation in its favour.  The cases cited </w:t>
      </w:r>
      <w:r w:rsidR="00962FB3" w:rsidRPr="00962FB3">
        <w:rPr>
          <w:rFonts w:ascii="Times New Roman" w:hAnsi="Times New Roman" w:cs="Times New Roman"/>
          <w:i/>
          <w:sz w:val="24"/>
          <w:szCs w:val="24"/>
        </w:rPr>
        <w:t>supra</w:t>
      </w:r>
      <w:r w:rsidR="00962FB3">
        <w:rPr>
          <w:rFonts w:ascii="Times New Roman" w:hAnsi="Times New Roman" w:cs="Times New Roman"/>
          <w:sz w:val="24"/>
          <w:szCs w:val="24"/>
        </w:rPr>
        <w:t xml:space="preserve"> would support the applicant’s contention.  However, I do not read the authorities as laying down a hard and fast rule as to how cases involving property </w:t>
      </w:r>
      <w:r w:rsidR="00962FB3" w:rsidRPr="00962FB3">
        <w:rPr>
          <w:rFonts w:ascii="Times New Roman" w:hAnsi="Times New Roman" w:cs="Times New Roman"/>
          <w:i/>
          <w:sz w:val="24"/>
          <w:szCs w:val="24"/>
        </w:rPr>
        <w:t>res litigiosa</w:t>
      </w:r>
      <w:r w:rsidR="00962FB3">
        <w:rPr>
          <w:rFonts w:ascii="Times New Roman" w:hAnsi="Times New Roman" w:cs="Times New Roman"/>
          <w:sz w:val="24"/>
          <w:szCs w:val="24"/>
        </w:rPr>
        <w:t xml:space="preserve"> must always be dealt with.  Rather considerations of public policy and the balance of convenience do come to play and one can never predict with certainity how a particular set of facts will be determined. </w:t>
      </w:r>
      <w:r w:rsidR="00BD0034">
        <w:rPr>
          <w:rFonts w:ascii="Times New Roman" w:hAnsi="Times New Roman" w:cs="Times New Roman"/>
          <w:sz w:val="24"/>
          <w:szCs w:val="24"/>
        </w:rPr>
        <w:t xml:space="preserve">Thus in </w:t>
      </w:r>
      <w:r w:rsidR="00BD0034" w:rsidRPr="00BD0034">
        <w:rPr>
          <w:rFonts w:ascii="Times New Roman" w:hAnsi="Times New Roman" w:cs="Times New Roman"/>
          <w:i/>
          <w:sz w:val="24"/>
          <w:szCs w:val="24"/>
        </w:rPr>
        <w:t>BP Southern Africa Pty Ltd v Desden Properties Pvt Ltd and anor</w:t>
      </w:r>
      <w:r w:rsidR="00BD0034">
        <w:rPr>
          <w:rFonts w:ascii="Times New Roman" w:hAnsi="Times New Roman" w:cs="Times New Roman"/>
          <w:sz w:val="24"/>
          <w:szCs w:val="24"/>
        </w:rPr>
        <w:t xml:space="preserve"> it was stated as follows:-</w:t>
      </w:r>
    </w:p>
    <w:p w:rsidR="002E4DDD" w:rsidRDefault="001C3533" w:rsidP="005D22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my view, the policy of </w:t>
      </w:r>
      <w:r w:rsidR="009F6560">
        <w:rPr>
          <w:rFonts w:ascii="Times New Roman" w:hAnsi="Times New Roman" w:cs="Times New Roman"/>
          <w:sz w:val="24"/>
          <w:szCs w:val="24"/>
        </w:rPr>
        <w:t xml:space="preserve">the law to </w:t>
      </w:r>
      <w:r w:rsidR="00B4227F">
        <w:rPr>
          <w:rFonts w:ascii="Times New Roman" w:hAnsi="Times New Roman" w:cs="Times New Roman"/>
          <w:sz w:val="24"/>
          <w:szCs w:val="24"/>
        </w:rPr>
        <w:t>uphold the sanctity of contact</w:t>
      </w:r>
      <w:r w:rsidR="009F6560">
        <w:rPr>
          <w:rFonts w:ascii="Times New Roman" w:hAnsi="Times New Roman" w:cs="Times New Roman"/>
          <w:sz w:val="24"/>
          <w:szCs w:val="24"/>
        </w:rPr>
        <w:t>s will best be served in the ordinary run of cases by giving effect to the first contract and leaving the second purchaser to pursue his claims for damages for breach of contract.  I do n</w:t>
      </w:r>
      <w:r w:rsidR="006714E1">
        <w:rPr>
          <w:rFonts w:ascii="Times New Roman" w:hAnsi="Times New Roman" w:cs="Times New Roman"/>
          <w:sz w:val="24"/>
          <w:szCs w:val="24"/>
        </w:rPr>
        <w:t xml:space="preserve">ot suggest that this should be the invariable </w:t>
      </w:r>
      <w:r w:rsidR="009F6560">
        <w:rPr>
          <w:rFonts w:ascii="Times New Roman" w:hAnsi="Times New Roman" w:cs="Times New Roman"/>
          <w:sz w:val="24"/>
          <w:szCs w:val="24"/>
        </w:rPr>
        <w:t>rule, but I agree with Professor Mcke</w:t>
      </w:r>
      <w:r w:rsidR="008D40CB">
        <w:rPr>
          <w:rFonts w:ascii="Times New Roman" w:hAnsi="Times New Roman" w:cs="Times New Roman"/>
          <w:sz w:val="24"/>
          <w:szCs w:val="24"/>
        </w:rPr>
        <w:t>rron</w:t>
      </w:r>
      <w:r w:rsidR="009F6560">
        <w:rPr>
          <w:rFonts w:ascii="Times New Roman" w:hAnsi="Times New Roman" w:cs="Times New Roman"/>
          <w:sz w:val="24"/>
          <w:szCs w:val="24"/>
        </w:rPr>
        <w:t xml:space="preserve">, that save in </w:t>
      </w:r>
      <w:r w:rsidR="006714E1">
        <w:rPr>
          <w:rFonts w:ascii="Times New Roman" w:hAnsi="Times New Roman" w:cs="Times New Roman"/>
          <w:sz w:val="24"/>
          <w:szCs w:val="24"/>
        </w:rPr>
        <w:t>special circumstances, the first purchaser should be pref</w:t>
      </w:r>
      <w:r w:rsidR="009C27BE">
        <w:rPr>
          <w:rFonts w:ascii="Times New Roman" w:hAnsi="Times New Roman" w:cs="Times New Roman"/>
          <w:sz w:val="24"/>
          <w:szCs w:val="24"/>
        </w:rPr>
        <w:t>erred.</w:t>
      </w:r>
      <w:r w:rsidR="005D22BC">
        <w:rPr>
          <w:rFonts w:ascii="Times New Roman" w:hAnsi="Times New Roman" w:cs="Times New Roman"/>
          <w:sz w:val="24"/>
          <w:szCs w:val="24"/>
        </w:rPr>
        <w:t>”</w:t>
      </w:r>
    </w:p>
    <w:p w:rsidR="005D22BC" w:rsidRDefault="005D22BC" w:rsidP="005D22BC">
      <w:pPr>
        <w:spacing w:after="0" w:line="240" w:lineRule="auto"/>
        <w:ind w:left="720"/>
        <w:jc w:val="both"/>
        <w:rPr>
          <w:rFonts w:ascii="Times New Roman" w:hAnsi="Times New Roman" w:cs="Times New Roman"/>
          <w:sz w:val="24"/>
          <w:szCs w:val="24"/>
        </w:rPr>
      </w:pPr>
    </w:p>
    <w:p w:rsidR="009C27BE" w:rsidRDefault="00B4227F"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therefore the </w:t>
      </w:r>
      <w:r w:rsidR="009C27BE">
        <w:rPr>
          <w:rFonts w:ascii="Times New Roman" w:hAnsi="Times New Roman" w:cs="Times New Roman"/>
          <w:sz w:val="24"/>
          <w:szCs w:val="24"/>
        </w:rPr>
        <w:t xml:space="preserve">defendant has an arguable case.   It would not be in the interests of justice to shut her up at this nascent stage of the case.  Summary judgment by its nature is a drastic remedy which should not be granted save in cases where the defendant is clearly without a </w:t>
      </w:r>
      <w:r w:rsidR="009C27BE" w:rsidRPr="00B4227F">
        <w:rPr>
          <w:rFonts w:ascii="Times New Roman" w:hAnsi="Times New Roman" w:cs="Times New Roman"/>
          <w:i/>
          <w:sz w:val="24"/>
          <w:szCs w:val="24"/>
        </w:rPr>
        <w:t xml:space="preserve">bona fide </w:t>
      </w:r>
      <w:r w:rsidR="009C27BE">
        <w:rPr>
          <w:rFonts w:ascii="Times New Roman" w:hAnsi="Times New Roman" w:cs="Times New Roman"/>
          <w:sz w:val="24"/>
          <w:szCs w:val="24"/>
        </w:rPr>
        <w:t xml:space="preserve">defence and </w:t>
      </w:r>
      <w:r>
        <w:rPr>
          <w:rFonts w:ascii="Times New Roman" w:hAnsi="Times New Roman" w:cs="Times New Roman"/>
          <w:sz w:val="24"/>
          <w:szCs w:val="24"/>
        </w:rPr>
        <w:t>for that reason engages in</w:t>
      </w:r>
      <w:r w:rsidR="009C27BE">
        <w:rPr>
          <w:rFonts w:ascii="Times New Roman" w:hAnsi="Times New Roman" w:cs="Times New Roman"/>
          <w:sz w:val="24"/>
          <w:szCs w:val="24"/>
        </w:rPr>
        <w:t xml:space="preserve"> dilat</w:t>
      </w:r>
      <w:r>
        <w:rPr>
          <w:rFonts w:ascii="Times New Roman" w:hAnsi="Times New Roman" w:cs="Times New Roman"/>
          <w:sz w:val="24"/>
          <w:szCs w:val="24"/>
        </w:rPr>
        <w:t>ory tactics.  That does not seem</w:t>
      </w:r>
      <w:r w:rsidR="009C27BE">
        <w:rPr>
          <w:rFonts w:ascii="Times New Roman" w:hAnsi="Times New Roman" w:cs="Times New Roman"/>
          <w:sz w:val="24"/>
          <w:szCs w:val="24"/>
        </w:rPr>
        <w:t xml:space="preserve"> to be the case here.  No basis has been established to deny the second respondent the </w:t>
      </w:r>
      <w:r w:rsidR="00F65BC4">
        <w:rPr>
          <w:rFonts w:ascii="Times New Roman" w:hAnsi="Times New Roman" w:cs="Times New Roman"/>
          <w:sz w:val="24"/>
          <w:szCs w:val="24"/>
        </w:rPr>
        <w:t xml:space="preserve">right to be heard.  </w:t>
      </w:r>
    </w:p>
    <w:p w:rsidR="00F65BC4" w:rsidRDefault="00F65BC4" w:rsidP="00237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w:t>
      </w:r>
      <w:r w:rsidR="00996346">
        <w:rPr>
          <w:rFonts w:ascii="Times New Roman" w:hAnsi="Times New Roman" w:cs="Times New Roman"/>
          <w:sz w:val="24"/>
          <w:szCs w:val="24"/>
        </w:rPr>
        <w:t>these reasons the application must be dismissed with costs.  It is so dismissed.</w:t>
      </w:r>
    </w:p>
    <w:p w:rsidR="00996346" w:rsidRDefault="00996346" w:rsidP="002378C9">
      <w:pPr>
        <w:spacing w:after="0" w:line="360" w:lineRule="auto"/>
        <w:jc w:val="both"/>
        <w:rPr>
          <w:rFonts w:ascii="Times New Roman" w:hAnsi="Times New Roman" w:cs="Times New Roman"/>
          <w:sz w:val="24"/>
          <w:szCs w:val="24"/>
        </w:rPr>
      </w:pPr>
    </w:p>
    <w:p w:rsidR="00996346" w:rsidRDefault="00996346" w:rsidP="002378C9">
      <w:pPr>
        <w:spacing w:after="0" w:line="360" w:lineRule="auto"/>
        <w:jc w:val="both"/>
        <w:rPr>
          <w:rFonts w:ascii="Times New Roman" w:hAnsi="Times New Roman" w:cs="Times New Roman"/>
          <w:sz w:val="24"/>
          <w:szCs w:val="24"/>
        </w:rPr>
      </w:pPr>
    </w:p>
    <w:p w:rsidR="005D22BC" w:rsidRDefault="005D22BC" w:rsidP="002378C9">
      <w:pPr>
        <w:spacing w:after="0" w:line="360" w:lineRule="auto"/>
        <w:jc w:val="both"/>
        <w:rPr>
          <w:rFonts w:ascii="Times New Roman" w:hAnsi="Times New Roman" w:cs="Times New Roman"/>
          <w:sz w:val="24"/>
          <w:szCs w:val="24"/>
        </w:rPr>
      </w:pPr>
    </w:p>
    <w:p w:rsidR="00996346" w:rsidRDefault="00996346" w:rsidP="00996346">
      <w:pPr>
        <w:spacing w:after="0" w:line="240" w:lineRule="auto"/>
        <w:jc w:val="both"/>
        <w:rPr>
          <w:rFonts w:ascii="Times New Roman" w:hAnsi="Times New Roman" w:cs="Times New Roman"/>
          <w:sz w:val="24"/>
          <w:szCs w:val="24"/>
        </w:rPr>
      </w:pPr>
      <w:r w:rsidRPr="00996346">
        <w:rPr>
          <w:rFonts w:ascii="Times New Roman" w:hAnsi="Times New Roman" w:cs="Times New Roman"/>
          <w:i/>
          <w:sz w:val="24"/>
          <w:szCs w:val="24"/>
        </w:rPr>
        <w:t>Mushangwe &amp; Company</w:t>
      </w:r>
      <w:r>
        <w:rPr>
          <w:rFonts w:ascii="Times New Roman" w:hAnsi="Times New Roman" w:cs="Times New Roman"/>
          <w:sz w:val="24"/>
          <w:szCs w:val="24"/>
        </w:rPr>
        <w:t xml:space="preserve">, applicant’s legal practitioners </w:t>
      </w:r>
    </w:p>
    <w:p w:rsidR="00996346" w:rsidRPr="009C4753" w:rsidRDefault="00996346" w:rsidP="00996346">
      <w:pPr>
        <w:spacing w:after="0" w:line="240" w:lineRule="auto"/>
        <w:jc w:val="both"/>
      </w:pPr>
      <w:r w:rsidRPr="00996346">
        <w:rPr>
          <w:rFonts w:ascii="Times New Roman" w:hAnsi="Times New Roman" w:cs="Times New Roman"/>
          <w:i/>
          <w:sz w:val="24"/>
          <w:szCs w:val="24"/>
        </w:rPr>
        <w:t>Dzimba Jaravaza &amp; Associates</w:t>
      </w:r>
      <w:r>
        <w:rPr>
          <w:rFonts w:ascii="Times New Roman" w:hAnsi="Times New Roman" w:cs="Times New Roman"/>
          <w:sz w:val="24"/>
          <w:szCs w:val="24"/>
        </w:rPr>
        <w:t>, 2</w:t>
      </w:r>
      <w:r w:rsidRPr="0099634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 </w:t>
      </w:r>
    </w:p>
    <w:sectPr w:rsidR="00996346" w:rsidRPr="009C475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E5" w:rsidRDefault="004A3CE5" w:rsidP="008618D8">
      <w:pPr>
        <w:spacing w:after="0" w:line="240" w:lineRule="auto"/>
      </w:pPr>
      <w:r>
        <w:separator/>
      </w:r>
    </w:p>
  </w:endnote>
  <w:endnote w:type="continuationSeparator" w:id="0">
    <w:p w:rsidR="004A3CE5" w:rsidRDefault="004A3CE5" w:rsidP="0086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E5" w:rsidRDefault="004A3CE5" w:rsidP="008618D8">
      <w:pPr>
        <w:spacing w:after="0" w:line="240" w:lineRule="auto"/>
      </w:pPr>
      <w:r>
        <w:separator/>
      </w:r>
    </w:p>
  </w:footnote>
  <w:footnote w:type="continuationSeparator" w:id="0">
    <w:p w:rsidR="004A3CE5" w:rsidRDefault="004A3CE5" w:rsidP="00861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08092"/>
      <w:docPartObj>
        <w:docPartGallery w:val="Page Numbers (Top of Page)"/>
        <w:docPartUnique/>
      </w:docPartObj>
    </w:sdtPr>
    <w:sdtEndPr>
      <w:rPr>
        <w:noProof/>
      </w:rPr>
    </w:sdtEndPr>
    <w:sdtContent>
      <w:p w:rsidR="008618D8" w:rsidRDefault="008618D8">
        <w:pPr>
          <w:pStyle w:val="Header"/>
          <w:jc w:val="right"/>
          <w:rPr>
            <w:noProof/>
          </w:rPr>
        </w:pPr>
        <w:r>
          <w:fldChar w:fldCharType="begin"/>
        </w:r>
        <w:r>
          <w:instrText xml:space="preserve"> PAGE   \* MERGEFORMAT </w:instrText>
        </w:r>
        <w:r>
          <w:fldChar w:fldCharType="separate"/>
        </w:r>
        <w:r w:rsidR="00D35311">
          <w:rPr>
            <w:noProof/>
          </w:rPr>
          <w:t>1</w:t>
        </w:r>
        <w:r>
          <w:rPr>
            <w:noProof/>
          </w:rPr>
          <w:fldChar w:fldCharType="end"/>
        </w:r>
      </w:p>
      <w:p w:rsidR="008618D8" w:rsidRDefault="005A7392">
        <w:pPr>
          <w:pStyle w:val="Header"/>
          <w:jc w:val="right"/>
          <w:rPr>
            <w:noProof/>
          </w:rPr>
        </w:pPr>
        <w:r>
          <w:rPr>
            <w:noProof/>
          </w:rPr>
          <w:t>HH 339-17</w:t>
        </w:r>
      </w:p>
      <w:p w:rsidR="008618D8" w:rsidRDefault="008618D8">
        <w:pPr>
          <w:pStyle w:val="Header"/>
          <w:jc w:val="right"/>
        </w:pPr>
        <w:r>
          <w:rPr>
            <w:noProof/>
          </w:rPr>
          <w:t>HC 2631/16</w:t>
        </w:r>
      </w:p>
    </w:sdtContent>
  </w:sdt>
  <w:p w:rsidR="008618D8" w:rsidRDefault="00861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00"/>
    <w:rsid w:val="000056F3"/>
    <w:rsid w:val="00030D9B"/>
    <w:rsid w:val="000D06AD"/>
    <w:rsid w:val="00127B8A"/>
    <w:rsid w:val="00164D15"/>
    <w:rsid w:val="001C3533"/>
    <w:rsid w:val="002378C9"/>
    <w:rsid w:val="002E4186"/>
    <w:rsid w:val="002E4DDD"/>
    <w:rsid w:val="003C189C"/>
    <w:rsid w:val="003C7900"/>
    <w:rsid w:val="004A3CE5"/>
    <w:rsid w:val="004B6894"/>
    <w:rsid w:val="004D7126"/>
    <w:rsid w:val="00522322"/>
    <w:rsid w:val="00597937"/>
    <w:rsid w:val="005A7392"/>
    <w:rsid w:val="005B6C7E"/>
    <w:rsid w:val="005D22BC"/>
    <w:rsid w:val="005D45B6"/>
    <w:rsid w:val="006714E1"/>
    <w:rsid w:val="006825D5"/>
    <w:rsid w:val="006E2044"/>
    <w:rsid w:val="007D321F"/>
    <w:rsid w:val="007E348B"/>
    <w:rsid w:val="008253DA"/>
    <w:rsid w:val="0084419E"/>
    <w:rsid w:val="008618D8"/>
    <w:rsid w:val="008D40CB"/>
    <w:rsid w:val="00962FB3"/>
    <w:rsid w:val="00996346"/>
    <w:rsid w:val="009C27BE"/>
    <w:rsid w:val="009C4753"/>
    <w:rsid w:val="009D29DD"/>
    <w:rsid w:val="009F6560"/>
    <w:rsid w:val="00A01356"/>
    <w:rsid w:val="00AF4BC9"/>
    <w:rsid w:val="00B4227F"/>
    <w:rsid w:val="00BD0034"/>
    <w:rsid w:val="00BE2551"/>
    <w:rsid w:val="00D2361C"/>
    <w:rsid w:val="00D35311"/>
    <w:rsid w:val="00D929F9"/>
    <w:rsid w:val="00DB01AD"/>
    <w:rsid w:val="00DC03C9"/>
    <w:rsid w:val="00DD59B9"/>
    <w:rsid w:val="00DE6189"/>
    <w:rsid w:val="00DF3D38"/>
    <w:rsid w:val="00E134BA"/>
    <w:rsid w:val="00E409C1"/>
    <w:rsid w:val="00F65BC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D8"/>
  </w:style>
  <w:style w:type="paragraph" w:styleId="Footer">
    <w:name w:val="footer"/>
    <w:basedOn w:val="Normal"/>
    <w:link w:val="FooterChar"/>
    <w:uiPriority w:val="99"/>
    <w:unhideWhenUsed/>
    <w:rsid w:val="00861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D8"/>
  </w:style>
  <w:style w:type="paragraph" w:styleId="Footer">
    <w:name w:val="footer"/>
    <w:basedOn w:val="Normal"/>
    <w:link w:val="FooterChar"/>
    <w:uiPriority w:val="99"/>
    <w:unhideWhenUsed/>
    <w:rsid w:val="00861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E30C-08C4-453E-A85D-790E7C63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2017-04-21T09:32:00Z</cp:lastPrinted>
  <dcterms:created xsi:type="dcterms:W3CDTF">2017-06-06T06:23:00Z</dcterms:created>
  <dcterms:modified xsi:type="dcterms:W3CDTF">2017-06-06T06:23:00Z</dcterms:modified>
</cp:coreProperties>
</file>