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B2E" w:rsidRDefault="004F0B2E" w:rsidP="00550C44">
      <w:pPr>
        <w:spacing w:after="0"/>
        <w:jc w:val="both"/>
        <w:rPr>
          <w:rFonts w:ascii="Times New Roman" w:hAnsi="Times New Roman" w:cs="Times New Roman"/>
          <w:sz w:val="24"/>
          <w:szCs w:val="24"/>
        </w:rPr>
      </w:pPr>
      <w:bookmarkStart w:id="0" w:name="_GoBack"/>
      <w:bookmarkEnd w:id="0"/>
    </w:p>
    <w:p w:rsidR="004F0B2E" w:rsidRDefault="004F0B2E" w:rsidP="00550C44">
      <w:pPr>
        <w:spacing w:after="0"/>
        <w:jc w:val="both"/>
        <w:rPr>
          <w:rFonts w:ascii="Times New Roman" w:hAnsi="Times New Roman" w:cs="Times New Roman"/>
          <w:sz w:val="24"/>
          <w:szCs w:val="24"/>
        </w:rPr>
      </w:pPr>
    </w:p>
    <w:p w:rsidR="00EA1A03" w:rsidRDefault="00550C44" w:rsidP="00550C44">
      <w:pPr>
        <w:spacing w:after="0"/>
        <w:jc w:val="both"/>
        <w:rPr>
          <w:rFonts w:ascii="Times New Roman" w:hAnsi="Times New Roman" w:cs="Times New Roman"/>
          <w:sz w:val="24"/>
          <w:szCs w:val="24"/>
        </w:rPr>
      </w:pPr>
      <w:r>
        <w:rPr>
          <w:rFonts w:ascii="Times New Roman" w:hAnsi="Times New Roman" w:cs="Times New Roman"/>
          <w:sz w:val="24"/>
          <w:szCs w:val="24"/>
        </w:rPr>
        <w:t>MUNYUKI ROBERT ARMITAGE CHIKWAVIRA</w:t>
      </w:r>
    </w:p>
    <w:p w:rsidR="00550C44" w:rsidRDefault="00550C44" w:rsidP="00550C44">
      <w:pPr>
        <w:spacing w:after="0"/>
        <w:jc w:val="both"/>
        <w:rPr>
          <w:rFonts w:ascii="Times New Roman" w:hAnsi="Times New Roman" w:cs="Times New Roman"/>
          <w:sz w:val="24"/>
          <w:szCs w:val="24"/>
        </w:rPr>
      </w:pPr>
      <w:r>
        <w:rPr>
          <w:rFonts w:ascii="Times New Roman" w:hAnsi="Times New Roman" w:cs="Times New Roman"/>
          <w:sz w:val="24"/>
          <w:szCs w:val="24"/>
        </w:rPr>
        <w:t>versus</w:t>
      </w:r>
    </w:p>
    <w:p w:rsidR="00550C44" w:rsidRDefault="00550C44" w:rsidP="00550C44">
      <w:pPr>
        <w:spacing w:after="0"/>
        <w:jc w:val="both"/>
        <w:rPr>
          <w:rFonts w:ascii="Times New Roman" w:hAnsi="Times New Roman" w:cs="Times New Roman"/>
          <w:sz w:val="24"/>
          <w:szCs w:val="24"/>
        </w:rPr>
      </w:pPr>
      <w:r>
        <w:rPr>
          <w:rFonts w:ascii="Times New Roman" w:hAnsi="Times New Roman" w:cs="Times New Roman"/>
          <w:sz w:val="24"/>
          <w:szCs w:val="24"/>
        </w:rPr>
        <w:t>JANE MARY RUDO MUTONHORA</w:t>
      </w:r>
    </w:p>
    <w:p w:rsidR="00550C44" w:rsidRDefault="00550C44" w:rsidP="00550C44">
      <w:pPr>
        <w:spacing w:after="0"/>
        <w:jc w:val="both"/>
        <w:rPr>
          <w:rFonts w:ascii="Times New Roman" w:hAnsi="Times New Roman" w:cs="Times New Roman"/>
          <w:sz w:val="24"/>
          <w:szCs w:val="24"/>
        </w:rPr>
      </w:pPr>
      <w:r>
        <w:rPr>
          <w:rFonts w:ascii="Times New Roman" w:hAnsi="Times New Roman" w:cs="Times New Roman"/>
          <w:sz w:val="24"/>
          <w:szCs w:val="24"/>
        </w:rPr>
        <w:t>and</w:t>
      </w:r>
    </w:p>
    <w:p w:rsidR="00550C44" w:rsidRDefault="00600417" w:rsidP="00550C44">
      <w:pPr>
        <w:spacing w:after="0"/>
        <w:jc w:val="both"/>
        <w:rPr>
          <w:rFonts w:ascii="Times New Roman" w:hAnsi="Times New Roman" w:cs="Times New Roman"/>
          <w:sz w:val="24"/>
          <w:szCs w:val="24"/>
        </w:rPr>
      </w:pPr>
      <w:r>
        <w:rPr>
          <w:rFonts w:ascii="Times New Roman" w:hAnsi="Times New Roman" w:cs="Times New Roman"/>
          <w:sz w:val="24"/>
          <w:szCs w:val="24"/>
        </w:rPr>
        <w:t>G</w:t>
      </w:r>
      <w:r w:rsidR="00550C44">
        <w:rPr>
          <w:rFonts w:ascii="Times New Roman" w:hAnsi="Times New Roman" w:cs="Times New Roman"/>
          <w:sz w:val="24"/>
          <w:szCs w:val="24"/>
        </w:rPr>
        <w:t>E</w:t>
      </w:r>
      <w:r>
        <w:rPr>
          <w:rFonts w:ascii="Times New Roman" w:hAnsi="Times New Roman" w:cs="Times New Roman"/>
          <w:sz w:val="24"/>
          <w:szCs w:val="24"/>
        </w:rPr>
        <w:t>O</w:t>
      </w:r>
      <w:r w:rsidR="00550C44">
        <w:rPr>
          <w:rFonts w:ascii="Times New Roman" w:hAnsi="Times New Roman" w:cs="Times New Roman"/>
          <w:sz w:val="24"/>
          <w:szCs w:val="24"/>
        </w:rPr>
        <w:t>RGE MUSAFARE MUTONHORA</w:t>
      </w:r>
    </w:p>
    <w:p w:rsidR="00550C44" w:rsidRDefault="00550C44" w:rsidP="00550C44">
      <w:pPr>
        <w:spacing w:after="0"/>
        <w:jc w:val="both"/>
        <w:rPr>
          <w:rFonts w:ascii="Times New Roman" w:hAnsi="Times New Roman" w:cs="Times New Roman"/>
          <w:sz w:val="24"/>
          <w:szCs w:val="24"/>
        </w:rPr>
      </w:pPr>
      <w:r>
        <w:rPr>
          <w:rFonts w:ascii="Times New Roman" w:hAnsi="Times New Roman" w:cs="Times New Roman"/>
          <w:sz w:val="24"/>
          <w:szCs w:val="24"/>
        </w:rPr>
        <w:t>and</w:t>
      </w:r>
    </w:p>
    <w:p w:rsidR="00550C44" w:rsidRDefault="00550C44" w:rsidP="00550C44">
      <w:pPr>
        <w:spacing w:after="0"/>
        <w:jc w:val="both"/>
        <w:rPr>
          <w:rFonts w:ascii="Times New Roman" w:hAnsi="Times New Roman" w:cs="Times New Roman"/>
          <w:sz w:val="24"/>
          <w:szCs w:val="24"/>
        </w:rPr>
      </w:pPr>
      <w:r>
        <w:rPr>
          <w:rFonts w:ascii="Times New Roman" w:hAnsi="Times New Roman" w:cs="Times New Roman"/>
          <w:sz w:val="24"/>
          <w:szCs w:val="24"/>
        </w:rPr>
        <w:t>THE REGISTRAR OF DEEDS N.O</w:t>
      </w:r>
    </w:p>
    <w:p w:rsidR="00550C44" w:rsidRDefault="00550C44" w:rsidP="00550C44">
      <w:pPr>
        <w:jc w:val="both"/>
        <w:rPr>
          <w:rFonts w:ascii="Times New Roman" w:hAnsi="Times New Roman" w:cs="Times New Roman"/>
          <w:sz w:val="24"/>
          <w:szCs w:val="24"/>
        </w:rPr>
      </w:pPr>
    </w:p>
    <w:p w:rsidR="00550C44" w:rsidRDefault="00550C44" w:rsidP="00550C44">
      <w:pPr>
        <w:jc w:val="both"/>
        <w:rPr>
          <w:rFonts w:ascii="Times New Roman" w:hAnsi="Times New Roman" w:cs="Times New Roman"/>
          <w:sz w:val="24"/>
          <w:szCs w:val="24"/>
        </w:rPr>
      </w:pPr>
    </w:p>
    <w:p w:rsidR="00550C44" w:rsidRDefault="00550C44" w:rsidP="00550C44">
      <w:pPr>
        <w:spacing w:after="0"/>
        <w:jc w:val="both"/>
        <w:rPr>
          <w:rFonts w:ascii="Times New Roman" w:hAnsi="Times New Roman" w:cs="Times New Roman"/>
          <w:sz w:val="24"/>
          <w:szCs w:val="24"/>
        </w:rPr>
      </w:pPr>
      <w:r>
        <w:rPr>
          <w:rFonts w:ascii="Times New Roman" w:hAnsi="Times New Roman" w:cs="Times New Roman"/>
          <w:sz w:val="24"/>
          <w:szCs w:val="24"/>
        </w:rPr>
        <w:t>HIGH COURT OF ZIMBABWE</w:t>
      </w:r>
    </w:p>
    <w:p w:rsidR="00550C44" w:rsidRDefault="00550C44" w:rsidP="00550C44">
      <w:pPr>
        <w:spacing w:after="0"/>
        <w:jc w:val="both"/>
        <w:rPr>
          <w:rFonts w:ascii="Times New Roman" w:hAnsi="Times New Roman" w:cs="Times New Roman"/>
          <w:sz w:val="24"/>
          <w:szCs w:val="24"/>
        </w:rPr>
      </w:pPr>
      <w:r>
        <w:rPr>
          <w:rFonts w:ascii="Times New Roman" w:hAnsi="Times New Roman" w:cs="Times New Roman"/>
          <w:sz w:val="24"/>
          <w:szCs w:val="24"/>
        </w:rPr>
        <w:t>MANGOTA J</w:t>
      </w:r>
    </w:p>
    <w:p w:rsidR="00550C44" w:rsidRDefault="00600417" w:rsidP="00550C44">
      <w:pPr>
        <w:spacing w:after="0"/>
        <w:jc w:val="both"/>
        <w:rPr>
          <w:rFonts w:ascii="Times New Roman" w:hAnsi="Times New Roman" w:cs="Times New Roman"/>
          <w:sz w:val="24"/>
          <w:szCs w:val="24"/>
        </w:rPr>
      </w:pPr>
      <w:r>
        <w:rPr>
          <w:rFonts w:ascii="Times New Roman" w:hAnsi="Times New Roman" w:cs="Times New Roman"/>
          <w:sz w:val="24"/>
          <w:szCs w:val="24"/>
        </w:rPr>
        <w:t xml:space="preserve">HARARE, </w:t>
      </w:r>
      <w:r w:rsidR="00AE0D42">
        <w:rPr>
          <w:rFonts w:ascii="Times New Roman" w:hAnsi="Times New Roman" w:cs="Times New Roman"/>
          <w:sz w:val="24"/>
          <w:szCs w:val="24"/>
        </w:rPr>
        <w:t xml:space="preserve">1 March 2018 </w:t>
      </w:r>
      <w:r w:rsidR="00550C44">
        <w:rPr>
          <w:rFonts w:ascii="Times New Roman" w:hAnsi="Times New Roman" w:cs="Times New Roman"/>
          <w:sz w:val="24"/>
          <w:szCs w:val="24"/>
        </w:rPr>
        <w:t xml:space="preserve">&amp; </w:t>
      </w:r>
      <w:r w:rsidR="00944865">
        <w:rPr>
          <w:rFonts w:ascii="Times New Roman" w:hAnsi="Times New Roman" w:cs="Times New Roman"/>
          <w:sz w:val="24"/>
          <w:szCs w:val="24"/>
        </w:rPr>
        <w:t>24 May 2018</w:t>
      </w:r>
    </w:p>
    <w:p w:rsidR="00550C44" w:rsidRDefault="00550C44" w:rsidP="00550C44">
      <w:pPr>
        <w:jc w:val="both"/>
        <w:rPr>
          <w:rFonts w:ascii="Times New Roman" w:hAnsi="Times New Roman" w:cs="Times New Roman"/>
          <w:sz w:val="24"/>
          <w:szCs w:val="24"/>
        </w:rPr>
      </w:pPr>
    </w:p>
    <w:p w:rsidR="00550C44" w:rsidRPr="00AE0D42" w:rsidRDefault="00AE0D42" w:rsidP="00550C44">
      <w:pPr>
        <w:jc w:val="both"/>
        <w:rPr>
          <w:rFonts w:ascii="Times New Roman" w:hAnsi="Times New Roman" w:cs="Times New Roman"/>
          <w:b/>
          <w:sz w:val="24"/>
          <w:szCs w:val="24"/>
        </w:rPr>
      </w:pPr>
      <w:r>
        <w:rPr>
          <w:rFonts w:ascii="Times New Roman" w:hAnsi="Times New Roman" w:cs="Times New Roman"/>
          <w:b/>
          <w:sz w:val="24"/>
          <w:szCs w:val="24"/>
        </w:rPr>
        <w:t>Opposed Ap</w:t>
      </w:r>
      <w:r w:rsidRPr="00AE0D42">
        <w:rPr>
          <w:rFonts w:ascii="Times New Roman" w:hAnsi="Times New Roman" w:cs="Times New Roman"/>
          <w:b/>
          <w:sz w:val="24"/>
          <w:szCs w:val="24"/>
        </w:rPr>
        <w:t>plication</w:t>
      </w:r>
    </w:p>
    <w:p w:rsidR="00550C44" w:rsidRDefault="00550C44" w:rsidP="00550C44">
      <w:pPr>
        <w:jc w:val="both"/>
        <w:rPr>
          <w:rFonts w:ascii="Times New Roman" w:hAnsi="Times New Roman" w:cs="Times New Roman"/>
          <w:sz w:val="24"/>
          <w:szCs w:val="24"/>
        </w:rPr>
      </w:pPr>
    </w:p>
    <w:p w:rsidR="00550C44" w:rsidRDefault="00E6421F" w:rsidP="00550C44">
      <w:pPr>
        <w:spacing w:after="0"/>
        <w:jc w:val="both"/>
        <w:rPr>
          <w:rFonts w:ascii="Times New Roman" w:hAnsi="Times New Roman" w:cs="Times New Roman"/>
          <w:sz w:val="24"/>
          <w:szCs w:val="24"/>
        </w:rPr>
      </w:pPr>
      <w:r w:rsidRPr="00E6421F">
        <w:rPr>
          <w:rFonts w:ascii="Times New Roman" w:hAnsi="Times New Roman" w:cs="Times New Roman"/>
          <w:i/>
          <w:sz w:val="24"/>
          <w:szCs w:val="24"/>
        </w:rPr>
        <w:t>C. M Jakachira</w:t>
      </w:r>
      <w:r w:rsidR="00550C44">
        <w:rPr>
          <w:rFonts w:ascii="Times New Roman" w:hAnsi="Times New Roman" w:cs="Times New Roman"/>
          <w:sz w:val="24"/>
          <w:szCs w:val="24"/>
        </w:rPr>
        <w:t>,</w:t>
      </w:r>
      <w:r>
        <w:rPr>
          <w:rFonts w:ascii="Times New Roman" w:hAnsi="Times New Roman" w:cs="Times New Roman"/>
          <w:sz w:val="24"/>
          <w:szCs w:val="24"/>
        </w:rPr>
        <w:t xml:space="preserve"> </w:t>
      </w:r>
      <w:r w:rsidR="00550C44">
        <w:rPr>
          <w:rFonts w:ascii="Times New Roman" w:hAnsi="Times New Roman" w:cs="Times New Roman"/>
          <w:sz w:val="24"/>
          <w:szCs w:val="24"/>
        </w:rPr>
        <w:t>for the applicant</w:t>
      </w:r>
    </w:p>
    <w:p w:rsidR="00550C44" w:rsidRDefault="00E6421F" w:rsidP="00550C44">
      <w:pPr>
        <w:spacing w:after="0"/>
        <w:jc w:val="both"/>
        <w:rPr>
          <w:rFonts w:ascii="Times New Roman" w:hAnsi="Times New Roman" w:cs="Times New Roman"/>
          <w:sz w:val="24"/>
          <w:szCs w:val="24"/>
        </w:rPr>
      </w:pPr>
      <w:r w:rsidRPr="00E6421F">
        <w:rPr>
          <w:rFonts w:ascii="Times New Roman" w:hAnsi="Times New Roman" w:cs="Times New Roman"/>
          <w:i/>
          <w:sz w:val="24"/>
          <w:szCs w:val="24"/>
        </w:rPr>
        <w:t>N Bvekwa</w:t>
      </w:r>
      <w:r w:rsidR="00550C44">
        <w:rPr>
          <w:rFonts w:ascii="Times New Roman" w:hAnsi="Times New Roman" w:cs="Times New Roman"/>
          <w:sz w:val="24"/>
          <w:szCs w:val="24"/>
        </w:rPr>
        <w:t>,</w:t>
      </w:r>
      <w:r>
        <w:rPr>
          <w:rFonts w:ascii="Times New Roman" w:hAnsi="Times New Roman" w:cs="Times New Roman"/>
          <w:sz w:val="24"/>
          <w:szCs w:val="24"/>
        </w:rPr>
        <w:t xml:space="preserve"> </w:t>
      </w:r>
      <w:r w:rsidR="00550C44">
        <w:rPr>
          <w:rFonts w:ascii="Times New Roman" w:hAnsi="Times New Roman" w:cs="Times New Roman"/>
          <w:sz w:val="24"/>
          <w:szCs w:val="24"/>
        </w:rPr>
        <w:t>for the 1</w:t>
      </w:r>
      <w:r w:rsidR="00550C44" w:rsidRPr="00550C44">
        <w:rPr>
          <w:rFonts w:ascii="Times New Roman" w:hAnsi="Times New Roman" w:cs="Times New Roman"/>
          <w:sz w:val="24"/>
          <w:szCs w:val="24"/>
          <w:vertAlign w:val="superscript"/>
        </w:rPr>
        <w:t>st</w:t>
      </w:r>
      <w:r w:rsidR="00550C44">
        <w:rPr>
          <w:rFonts w:ascii="Times New Roman" w:hAnsi="Times New Roman" w:cs="Times New Roman"/>
          <w:sz w:val="24"/>
          <w:szCs w:val="24"/>
        </w:rPr>
        <w:t xml:space="preserve"> &amp; 2</w:t>
      </w:r>
      <w:r w:rsidR="00550C44" w:rsidRPr="00550C44">
        <w:rPr>
          <w:rFonts w:ascii="Times New Roman" w:hAnsi="Times New Roman" w:cs="Times New Roman"/>
          <w:sz w:val="24"/>
          <w:szCs w:val="24"/>
          <w:vertAlign w:val="superscript"/>
        </w:rPr>
        <w:t>nd</w:t>
      </w:r>
      <w:r w:rsidR="00550C44">
        <w:rPr>
          <w:rFonts w:ascii="Times New Roman" w:hAnsi="Times New Roman" w:cs="Times New Roman"/>
          <w:sz w:val="24"/>
          <w:szCs w:val="24"/>
        </w:rPr>
        <w:t xml:space="preserve"> respondents</w:t>
      </w:r>
    </w:p>
    <w:p w:rsidR="00550C44" w:rsidRDefault="00550C44" w:rsidP="00550C44">
      <w:pPr>
        <w:jc w:val="both"/>
        <w:rPr>
          <w:rFonts w:ascii="Times New Roman" w:hAnsi="Times New Roman" w:cs="Times New Roman"/>
          <w:sz w:val="24"/>
          <w:szCs w:val="24"/>
        </w:rPr>
      </w:pPr>
    </w:p>
    <w:p w:rsidR="00550C44" w:rsidRDefault="00550C44" w:rsidP="00550C44">
      <w:pPr>
        <w:jc w:val="both"/>
        <w:rPr>
          <w:rFonts w:ascii="Times New Roman" w:hAnsi="Times New Roman" w:cs="Times New Roman"/>
          <w:sz w:val="24"/>
          <w:szCs w:val="24"/>
        </w:rPr>
      </w:pPr>
    </w:p>
    <w:p w:rsidR="00550C44" w:rsidRDefault="00550C44" w:rsidP="00AE0D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MANGOTA J: </w:t>
      </w:r>
      <w:r w:rsidR="00AE0D42">
        <w:rPr>
          <w:rFonts w:ascii="Times New Roman" w:hAnsi="Times New Roman" w:cs="Times New Roman"/>
          <w:sz w:val="24"/>
          <w:szCs w:val="24"/>
        </w:rPr>
        <w:t>On 23 June 2014 the applicant sued the second respondent and one</w:t>
      </w:r>
      <w:r w:rsidR="00E6421F">
        <w:rPr>
          <w:rFonts w:ascii="Times New Roman" w:hAnsi="Times New Roman" w:cs="Times New Roman"/>
          <w:sz w:val="24"/>
          <w:szCs w:val="24"/>
        </w:rPr>
        <w:t xml:space="preserve"> James</w:t>
      </w:r>
      <w:r w:rsidR="00AE0D42">
        <w:rPr>
          <w:rFonts w:ascii="Times New Roman" w:hAnsi="Times New Roman" w:cs="Times New Roman"/>
          <w:sz w:val="24"/>
          <w:szCs w:val="24"/>
        </w:rPr>
        <w:t xml:space="preserve"> Sijabuliso Sibanda under case number HH 224/16. The suit was </w:t>
      </w:r>
      <w:r w:rsidR="00E6421F">
        <w:rPr>
          <w:rFonts w:ascii="Times New Roman" w:hAnsi="Times New Roman" w:cs="Times New Roman"/>
          <w:sz w:val="24"/>
          <w:szCs w:val="24"/>
        </w:rPr>
        <w:t>concluded</w:t>
      </w:r>
      <w:r w:rsidR="00AE0D42">
        <w:rPr>
          <w:rFonts w:ascii="Times New Roman" w:hAnsi="Times New Roman" w:cs="Times New Roman"/>
          <w:sz w:val="24"/>
          <w:szCs w:val="24"/>
        </w:rPr>
        <w:t xml:space="preserve"> in the applicant’s favour on 30 March 2016. The court ordered the second respondent and James Sijabuliso Sibanda to pay to the applicant, jointly and severally the one paying the other to be </w:t>
      </w:r>
      <w:r w:rsidR="008723CB">
        <w:rPr>
          <w:rFonts w:ascii="Times New Roman" w:hAnsi="Times New Roman" w:cs="Times New Roman"/>
          <w:sz w:val="24"/>
          <w:szCs w:val="24"/>
        </w:rPr>
        <w:t>absolved, $176 997.60, interest</w:t>
      </w:r>
      <w:r w:rsidR="00AE0D42">
        <w:rPr>
          <w:rFonts w:ascii="Times New Roman" w:hAnsi="Times New Roman" w:cs="Times New Roman"/>
          <w:i/>
          <w:sz w:val="24"/>
          <w:szCs w:val="24"/>
        </w:rPr>
        <w:t xml:space="preserve"> a tempora morae</w:t>
      </w:r>
      <w:r w:rsidR="00AE0D42">
        <w:rPr>
          <w:rFonts w:ascii="Times New Roman" w:hAnsi="Times New Roman" w:cs="Times New Roman"/>
          <w:sz w:val="24"/>
          <w:szCs w:val="24"/>
        </w:rPr>
        <w:t xml:space="preserve"> and costs of suit.</w:t>
      </w:r>
    </w:p>
    <w:p w:rsidR="00AE0D42" w:rsidRDefault="00AE0D42" w:rsidP="00AE0D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 17 October 2016 and under case number HC 6516/09, the court ordered the second</w:t>
      </w:r>
      <w:r w:rsidR="008723CB">
        <w:rPr>
          <w:rFonts w:ascii="Times New Roman" w:hAnsi="Times New Roman" w:cs="Times New Roman"/>
          <w:sz w:val="24"/>
          <w:szCs w:val="24"/>
        </w:rPr>
        <w:t xml:space="preserve"> </w:t>
      </w:r>
      <w:r w:rsidR="00E6421F">
        <w:rPr>
          <w:rFonts w:ascii="Times New Roman" w:hAnsi="Times New Roman" w:cs="Times New Roman"/>
          <w:sz w:val="24"/>
          <w:szCs w:val="24"/>
        </w:rPr>
        <w:t xml:space="preserve">respondent </w:t>
      </w:r>
      <w:r w:rsidR="008723CB">
        <w:rPr>
          <w:rFonts w:ascii="Times New Roman" w:hAnsi="Times New Roman" w:cs="Times New Roman"/>
          <w:sz w:val="24"/>
          <w:szCs w:val="24"/>
        </w:rPr>
        <w:t xml:space="preserve">and James Sijabuliso Sibanda to pay to the applicant’s company, Brightland Farming (Pvt) Ltd, jointly and severally the one paying the other to be absolved, $247 142.21, accrued interest of $33 003.88 as at 30 November 2009, interest of 5% </w:t>
      </w:r>
      <w:r w:rsidR="008723CB">
        <w:rPr>
          <w:rFonts w:ascii="Times New Roman" w:hAnsi="Times New Roman" w:cs="Times New Roman"/>
          <w:i/>
          <w:sz w:val="24"/>
          <w:szCs w:val="24"/>
        </w:rPr>
        <w:t xml:space="preserve">per </w:t>
      </w:r>
      <w:r w:rsidR="008723CB">
        <w:rPr>
          <w:rFonts w:ascii="Times New Roman" w:hAnsi="Times New Roman" w:cs="Times New Roman"/>
          <w:sz w:val="24"/>
          <w:szCs w:val="24"/>
        </w:rPr>
        <w:t>annum from 1 December 2009 to the date of final payment and costs of suit.</w:t>
      </w:r>
    </w:p>
    <w:p w:rsidR="00AD16F0" w:rsidRDefault="008723CB" w:rsidP="00AE0D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AD16F0" w:rsidRDefault="00AD16F0" w:rsidP="00AE0D42">
      <w:pPr>
        <w:spacing w:after="0" w:line="360" w:lineRule="auto"/>
        <w:jc w:val="both"/>
        <w:rPr>
          <w:rFonts w:ascii="Times New Roman" w:hAnsi="Times New Roman" w:cs="Times New Roman"/>
          <w:sz w:val="24"/>
          <w:szCs w:val="24"/>
        </w:rPr>
      </w:pPr>
    </w:p>
    <w:p w:rsidR="008723CB" w:rsidRDefault="008723CB" w:rsidP="00AE0D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Brightland Farming (Pvt) Ltd, it is evident</w:t>
      </w:r>
      <w:r w:rsidR="00E6421F">
        <w:rPr>
          <w:rFonts w:ascii="Times New Roman" w:hAnsi="Times New Roman" w:cs="Times New Roman"/>
          <w:sz w:val="24"/>
          <w:szCs w:val="24"/>
        </w:rPr>
        <w:t>,</w:t>
      </w:r>
      <w:r>
        <w:rPr>
          <w:rFonts w:ascii="Times New Roman" w:hAnsi="Times New Roman" w:cs="Times New Roman"/>
          <w:sz w:val="24"/>
          <w:szCs w:val="24"/>
        </w:rPr>
        <w:t xml:space="preserve"> had a business relationship with the second respondent and James Sijabuliso Sibanda prior to the dates of the court orders.</w:t>
      </w:r>
    </w:p>
    <w:p w:rsidR="008723CB" w:rsidRDefault="00C45D73" w:rsidP="00C45D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723CB">
        <w:rPr>
          <w:rFonts w:ascii="Times New Roman" w:hAnsi="Times New Roman" w:cs="Times New Roman"/>
          <w:sz w:val="24"/>
          <w:szCs w:val="24"/>
        </w:rPr>
        <w:t>Whilst the proceedings which took place under HH 224/16 and HC 6516/09 were in progress</w:t>
      </w:r>
      <w:r w:rsidR="00E6421F">
        <w:rPr>
          <w:rFonts w:ascii="Times New Roman" w:hAnsi="Times New Roman" w:cs="Times New Roman"/>
          <w:sz w:val="24"/>
          <w:szCs w:val="24"/>
        </w:rPr>
        <w:t>,</w:t>
      </w:r>
      <w:r w:rsidR="008723CB">
        <w:rPr>
          <w:rFonts w:ascii="Times New Roman" w:hAnsi="Times New Roman" w:cs="Times New Roman"/>
          <w:sz w:val="24"/>
          <w:szCs w:val="24"/>
        </w:rPr>
        <w:t xml:space="preserve"> the second respondent donated his movable and immovable </w:t>
      </w:r>
      <w:r w:rsidR="00E6421F">
        <w:rPr>
          <w:rFonts w:ascii="Times New Roman" w:hAnsi="Times New Roman" w:cs="Times New Roman"/>
          <w:sz w:val="24"/>
          <w:szCs w:val="24"/>
        </w:rPr>
        <w:t>goods</w:t>
      </w:r>
      <w:r w:rsidR="008723CB">
        <w:rPr>
          <w:rFonts w:ascii="Times New Roman" w:hAnsi="Times New Roman" w:cs="Times New Roman"/>
          <w:sz w:val="24"/>
          <w:szCs w:val="24"/>
        </w:rPr>
        <w:t xml:space="preserve"> to the first respondent who is his </w:t>
      </w:r>
      <w:r w:rsidR="00E6421F">
        <w:rPr>
          <w:rFonts w:ascii="Times New Roman" w:hAnsi="Times New Roman" w:cs="Times New Roman"/>
          <w:sz w:val="24"/>
          <w:szCs w:val="24"/>
        </w:rPr>
        <w:t>wife. Amongst what he so donated</w:t>
      </w:r>
      <w:r w:rsidR="008723CB">
        <w:rPr>
          <w:rFonts w:ascii="Times New Roman" w:hAnsi="Times New Roman" w:cs="Times New Roman"/>
          <w:sz w:val="24"/>
          <w:szCs w:val="24"/>
        </w:rPr>
        <w:t xml:space="preserve"> to her is a piece land which is called stand 186 Mandara Township of Lot 3A Mandara which measures 4052 square metres [“the property”]. He, on 15 September 2011, transferred title in the property to the first respondent. It is now regist</w:t>
      </w:r>
      <w:r w:rsidR="00E6421F">
        <w:rPr>
          <w:rFonts w:ascii="Times New Roman" w:hAnsi="Times New Roman" w:cs="Times New Roman"/>
          <w:sz w:val="24"/>
          <w:szCs w:val="24"/>
        </w:rPr>
        <w:t xml:space="preserve">ered in the first respondent’s </w:t>
      </w:r>
      <w:r w:rsidR="008723CB">
        <w:rPr>
          <w:rFonts w:ascii="Times New Roman" w:hAnsi="Times New Roman" w:cs="Times New Roman"/>
          <w:sz w:val="24"/>
          <w:szCs w:val="24"/>
        </w:rPr>
        <w:t>name who holds it under deed of transfer number 2826/11. It is noted that, prior to the donation and transfer of the property to the first respondent</w:t>
      </w:r>
      <w:r w:rsidR="00E6421F">
        <w:rPr>
          <w:rFonts w:ascii="Times New Roman" w:hAnsi="Times New Roman" w:cs="Times New Roman"/>
          <w:sz w:val="24"/>
          <w:szCs w:val="24"/>
        </w:rPr>
        <w:t>,</w:t>
      </w:r>
      <w:r w:rsidR="008723CB">
        <w:rPr>
          <w:rFonts w:ascii="Times New Roman" w:hAnsi="Times New Roman" w:cs="Times New Roman"/>
          <w:sz w:val="24"/>
          <w:szCs w:val="24"/>
        </w:rPr>
        <w:t xml:space="preserve"> the se</w:t>
      </w:r>
      <w:r w:rsidR="00DE06DE">
        <w:rPr>
          <w:rFonts w:ascii="Times New Roman" w:hAnsi="Times New Roman" w:cs="Times New Roman"/>
          <w:sz w:val="24"/>
          <w:szCs w:val="24"/>
        </w:rPr>
        <w:t>cond respondent had registered a n</w:t>
      </w:r>
      <w:r w:rsidR="008723CB">
        <w:rPr>
          <w:rFonts w:ascii="Times New Roman" w:hAnsi="Times New Roman" w:cs="Times New Roman"/>
          <w:sz w:val="24"/>
          <w:szCs w:val="24"/>
        </w:rPr>
        <w:t xml:space="preserve">otarial deed of </w:t>
      </w:r>
      <w:r w:rsidR="00E6421F">
        <w:rPr>
          <w:rFonts w:ascii="Times New Roman" w:hAnsi="Times New Roman" w:cs="Times New Roman"/>
          <w:sz w:val="24"/>
          <w:szCs w:val="24"/>
        </w:rPr>
        <w:t>servitude</w:t>
      </w:r>
      <w:r w:rsidR="008723CB">
        <w:rPr>
          <w:rFonts w:ascii="Times New Roman" w:hAnsi="Times New Roman" w:cs="Times New Roman"/>
          <w:sz w:val="24"/>
          <w:szCs w:val="24"/>
        </w:rPr>
        <w:t xml:space="preserve"> of </w:t>
      </w:r>
      <w:r w:rsidR="00E6421F">
        <w:rPr>
          <w:rFonts w:ascii="Times New Roman" w:hAnsi="Times New Roman" w:cs="Times New Roman"/>
          <w:sz w:val="24"/>
          <w:szCs w:val="24"/>
        </w:rPr>
        <w:t>usufruct</w:t>
      </w:r>
      <w:r w:rsidR="008723CB">
        <w:rPr>
          <w:rFonts w:ascii="Times New Roman" w:hAnsi="Times New Roman" w:cs="Times New Roman"/>
          <w:sz w:val="24"/>
          <w:szCs w:val="24"/>
        </w:rPr>
        <w:t xml:space="preserve"> on the property in favour of his wife. He did so 15 February 2005.</w:t>
      </w:r>
    </w:p>
    <w:p w:rsidR="008723CB" w:rsidRDefault="00E1396A" w:rsidP="00AE0D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723CB">
        <w:rPr>
          <w:rFonts w:ascii="Times New Roman" w:hAnsi="Times New Roman" w:cs="Times New Roman"/>
          <w:sz w:val="24"/>
          <w:szCs w:val="24"/>
        </w:rPr>
        <w:t>The abovementioned conduct of the first and second re</w:t>
      </w:r>
      <w:r w:rsidR="00E6421F">
        <w:rPr>
          <w:rFonts w:ascii="Times New Roman" w:hAnsi="Times New Roman" w:cs="Times New Roman"/>
          <w:sz w:val="24"/>
          <w:szCs w:val="24"/>
        </w:rPr>
        <w:t>spondents riled the applicant. H</w:t>
      </w:r>
      <w:r w:rsidR="008723CB">
        <w:rPr>
          <w:rFonts w:ascii="Times New Roman" w:hAnsi="Times New Roman" w:cs="Times New Roman"/>
          <w:sz w:val="24"/>
          <w:szCs w:val="24"/>
        </w:rPr>
        <w:t>e contended that the donation and the subsequent</w:t>
      </w:r>
      <w:r>
        <w:rPr>
          <w:rFonts w:ascii="Times New Roman" w:hAnsi="Times New Roman" w:cs="Times New Roman"/>
          <w:sz w:val="24"/>
          <w:szCs w:val="24"/>
        </w:rPr>
        <w:t xml:space="preserve"> transfer of title in the property were a fraud. He averred that the aim of the donation was to protect the second respondent’s </w:t>
      </w:r>
      <w:r w:rsidR="00E6421F">
        <w:rPr>
          <w:rFonts w:ascii="Times New Roman" w:hAnsi="Times New Roman" w:cs="Times New Roman"/>
          <w:sz w:val="24"/>
          <w:szCs w:val="24"/>
        </w:rPr>
        <w:t xml:space="preserve">estate </w:t>
      </w:r>
      <w:r>
        <w:rPr>
          <w:rFonts w:ascii="Times New Roman" w:hAnsi="Times New Roman" w:cs="Times New Roman"/>
          <w:sz w:val="24"/>
          <w:szCs w:val="24"/>
        </w:rPr>
        <w:t xml:space="preserve">against claims of his </w:t>
      </w:r>
      <w:r w:rsidR="00E6421F">
        <w:rPr>
          <w:rFonts w:ascii="Times New Roman" w:hAnsi="Times New Roman" w:cs="Times New Roman"/>
          <w:sz w:val="24"/>
          <w:szCs w:val="24"/>
        </w:rPr>
        <w:t>creditors’</w:t>
      </w:r>
      <w:r>
        <w:rPr>
          <w:rFonts w:ascii="Times New Roman" w:hAnsi="Times New Roman" w:cs="Times New Roman"/>
          <w:sz w:val="24"/>
          <w:szCs w:val="24"/>
        </w:rPr>
        <w:t xml:space="preserve"> one of whom was the applicant himself. He submitted that the first respondent’s </w:t>
      </w:r>
      <w:r w:rsidR="00E6421F">
        <w:rPr>
          <w:rFonts w:ascii="Times New Roman" w:hAnsi="Times New Roman" w:cs="Times New Roman"/>
          <w:sz w:val="24"/>
          <w:szCs w:val="24"/>
        </w:rPr>
        <w:t xml:space="preserve">acquisition </w:t>
      </w:r>
      <w:r>
        <w:rPr>
          <w:rFonts w:ascii="Times New Roman" w:hAnsi="Times New Roman" w:cs="Times New Roman"/>
          <w:sz w:val="24"/>
          <w:szCs w:val="24"/>
        </w:rPr>
        <w:t>of the property was executed with the primary objective of defeating the execution of any judgment which he might obtain against the second respondent. He moved the court to declare that:</w:t>
      </w:r>
    </w:p>
    <w:p w:rsidR="00E1396A" w:rsidRDefault="00E1396A" w:rsidP="00E1396A">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transfer of the property by the second</w:t>
      </w:r>
      <w:r w:rsidR="00E6421F">
        <w:rPr>
          <w:rFonts w:ascii="Times New Roman" w:hAnsi="Times New Roman" w:cs="Times New Roman"/>
          <w:sz w:val="24"/>
          <w:szCs w:val="24"/>
        </w:rPr>
        <w:t>,</w:t>
      </w:r>
      <w:r>
        <w:rPr>
          <w:rFonts w:ascii="Times New Roman" w:hAnsi="Times New Roman" w:cs="Times New Roman"/>
          <w:sz w:val="24"/>
          <w:szCs w:val="24"/>
        </w:rPr>
        <w:t xml:space="preserve"> to the first, respondent is null and void </w:t>
      </w:r>
      <w:r w:rsidR="00E6421F">
        <w:rPr>
          <w:rFonts w:ascii="Times New Roman" w:hAnsi="Times New Roman" w:cs="Times New Roman"/>
          <w:i/>
          <w:sz w:val="24"/>
          <w:szCs w:val="24"/>
        </w:rPr>
        <w:t>ab</w:t>
      </w:r>
      <w:r w:rsidR="001813A1">
        <w:rPr>
          <w:rFonts w:ascii="Times New Roman" w:hAnsi="Times New Roman" w:cs="Times New Roman"/>
          <w:i/>
          <w:sz w:val="24"/>
          <w:szCs w:val="24"/>
        </w:rPr>
        <w:t xml:space="preserve"> </w:t>
      </w:r>
      <w:r w:rsidR="00DE06DE">
        <w:rPr>
          <w:rFonts w:ascii="Times New Roman" w:hAnsi="Times New Roman" w:cs="Times New Roman"/>
          <w:i/>
          <w:sz w:val="24"/>
          <w:szCs w:val="24"/>
        </w:rPr>
        <w:t>i</w:t>
      </w:r>
      <w:r>
        <w:rPr>
          <w:rFonts w:ascii="Times New Roman" w:hAnsi="Times New Roman" w:cs="Times New Roman"/>
          <w:i/>
          <w:sz w:val="24"/>
          <w:szCs w:val="24"/>
        </w:rPr>
        <w:t>n</w:t>
      </w:r>
      <w:r w:rsidR="00E6421F">
        <w:rPr>
          <w:rFonts w:ascii="Times New Roman" w:hAnsi="Times New Roman" w:cs="Times New Roman"/>
          <w:i/>
          <w:sz w:val="24"/>
          <w:szCs w:val="24"/>
        </w:rPr>
        <w:t>i</w:t>
      </w:r>
      <w:r>
        <w:rPr>
          <w:rFonts w:ascii="Times New Roman" w:hAnsi="Times New Roman" w:cs="Times New Roman"/>
          <w:i/>
          <w:sz w:val="24"/>
          <w:szCs w:val="24"/>
        </w:rPr>
        <w:t xml:space="preserve">tio </w:t>
      </w:r>
      <w:r>
        <w:rPr>
          <w:rFonts w:ascii="Times New Roman" w:hAnsi="Times New Roman" w:cs="Times New Roman"/>
          <w:sz w:val="24"/>
          <w:szCs w:val="24"/>
        </w:rPr>
        <w:t xml:space="preserve"> and of no force or effect – and</w:t>
      </w:r>
    </w:p>
    <w:p w:rsidR="00E1396A" w:rsidRDefault="00594FD5" w:rsidP="00E1396A">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DE06DE">
        <w:rPr>
          <w:rFonts w:ascii="Times New Roman" w:hAnsi="Times New Roman" w:cs="Times New Roman"/>
          <w:sz w:val="24"/>
          <w:szCs w:val="24"/>
        </w:rPr>
        <w:t>property in question be speci</w:t>
      </w:r>
      <w:r w:rsidR="00E1396A">
        <w:rPr>
          <w:rFonts w:ascii="Times New Roman" w:hAnsi="Times New Roman" w:cs="Times New Roman"/>
          <w:sz w:val="24"/>
          <w:szCs w:val="24"/>
        </w:rPr>
        <w:t>ally executable in the estate of the second respondent.</w:t>
      </w:r>
    </w:p>
    <w:p w:rsidR="00670FE0" w:rsidRDefault="00E163AC" w:rsidP="00670F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He also moved the court to cancel the notarial deed of </w:t>
      </w:r>
      <w:r w:rsidR="00E6421F">
        <w:rPr>
          <w:rFonts w:ascii="Times New Roman" w:hAnsi="Times New Roman" w:cs="Times New Roman"/>
          <w:sz w:val="24"/>
          <w:szCs w:val="24"/>
        </w:rPr>
        <w:t xml:space="preserve">servitude </w:t>
      </w:r>
      <w:r>
        <w:rPr>
          <w:rFonts w:ascii="Times New Roman" w:hAnsi="Times New Roman" w:cs="Times New Roman"/>
          <w:sz w:val="24"/>
          <w:szCs w:val="24"/>
        </w:rPr>
        <w:t xml:space="preserve">of </w:t>
      </w:r>
      <w:r w:rsidR="00E6421F">
        <w:rPr>
          <w:rFonts w:ascii="Times New Roman" w:hAnsi="Times New Roman" w:cs="Times New Roman"/>
          <w:sz w:val="24"/>
          <w:szCs w:val="24"/>
        </w:rPr>
        <w:t>usufruct</w:t>
      </w:r>
      <w:r w:rsidR="00DE06DE">
        <w:rPr>
          <w:rFonts w:ascii="Times New Roman" w:hAnsi="Times New Roman" w:cs="Times New Roman"/>
          <w:sz w:val="24"/>
          <w:szCs w:val="24"/>
        </w:rPr>
        <w:t>,</w:t>
      </w:r>
      <w:r w:rsidR="00E6421F">
        <w:rPr>
          <w:rFonts w:ascii="Times New Roman" w:hAnsi="Times New Roman" w:cs="Times New Roman"/>
          <w:sz w:val="24"/>
          <w:szCs w:val="24"/>
        </w:rPr>
        <w:t xml:space="preserve"> </w:t>
      </w:r>
      <w:r>
        <w:rPr>
          <w:rFonts w:ascii="Times New Roman" w:hAnsi="Times New Roman" w:cs="Times New Roman"/>
          <w:sz w:val="24"/>
          <w:szCs w:val="24"/>
        </w:rPr>
        <w:t>MA 62/2005</w:t>
      </w:r>
      <w:r w:rsidR="00DE06DE">
        <w:rPr>
          <w:rFonts w:ascii="Times New Roman" w:hAnsi="Times New Roman" w:cs="Times New Roman"/>
          <w:sz w:val="24"/>
          <w:szCs w:val="24"/>
        </w:rPr>
        <w:t>,</w:t>
      </w:r>
      <w:r>
        <w:rPr>
          <w:rFonts w:ascii="Times New Roman" w:hAnsi="Times New Roman" w:cs="Times New Roman"/>
          <w:sz w:val="24"/>
          <w:szCs w:val="24"/>
        </w:rPr>
        <w:t xml:space="preserve"> which had been registered over the property.</w:t>
      </w:r>
    </w:p>
    <w:p w:rsidR="00E163AC" w:rsidRDefault="00E163AC" w:rsidP="00670F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first and second respondents opposed the application</w:t>
      </w:r>
      <w:r w:rsidR="005D0C03">
        <w:rPr>
          <w:rFonts w:ascii="Times New Roman" w:hAnsi="Times New Roman" w:cs="Times New Roman"/>
          <w:sz w:val="24"/>
          <w:szCs w:val="24"/>
        </w:rPr>
        <w:t>. T</w:t>
      </w:r>
      <w:r>
        <w:rPr>
          <w:rFonts w:ascii="Times New Roman" w:hAnsi="Times New Roman" w:cs="Times New Roman"/>
          <w:sz w:val="24"/>
          <w:szCs w:val="24"/>
        </w:rPr>
        <w:t>he third did not. The assumption was that he elected to abide by the decision of the court.</w:t>
      </w:r>
    </w:p>
    <w:p w:rsidR="00AD16F0" w:rsidRDefault="00E163AC" w:rsidP="00670F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first respondent denied that </w:t>
      </w:r>
      <w:r w:rsidR="005D0C03">
        <w:rPr>
          <w:rFonts w:ascii="Times New Roman" w:hAnsi="Times New Roman" w:cs="Times New Roman"/>
          <w:sz w:val="24"/>
          <w:szCs w:val="24"/>
        </w:rPr>
        <w:t xml:space="preserve">he intended to frustrate the execution of any judgment that might be obtained against him when he donated the property to his wife. He insisted that he was not a fraudster as the applicant alleged. He averred that he donated and transferred the </w:t>
      </w:r>
    </w:p>
    <w:p w:rsidR="00AD16F0" w:rsidRDefault="00AD16F0" w:rsidP="00670FE0">
      <w:pPr>
        <w:spacing w:after="0" w:line="360" w:lineRule="auto"/>
        <w:jc w:val="both"/>
        <w:rPr>
          <w:rFonts w:ascii="Times New Roman" w:hAnsi="Times New Roman" w:cs="Times New Roman"/>
          <w:sz w:val="24"/>
          <w:szCs w:val="24"/>
        </w:rPr>
      </w:pPr>
    </w:p>
    <w:p w:rsidR="00AD16F0" w:rsidRDefault="00AD16F0" w:rsidP="00670FE0">
      <w:pPr>
        <w:spacing w:after="0" w:line="360" w:lineRule="auto"/>
        <w:jc w:val="both"/>
        <w:rPr>
          <w:rFonts w:ascii="Times New Roman" w:hAnsi="Times New Roman" w:cs="Times New Roman"/>
          <w:sz w:val="24"/>
          <w:szCs w:val="24"/>
        </w:rPr>
      </w:pPr>
    </w:p>
    <w:p w:rsidR="00E163AC" w:rsidRDefault="005D0C03" w:rsidP="00670F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property to his wife out of his love for her. The transfer, he said, was in good faith. He submitted that the donation was genuine. He moved the court to dismiss the application with costs.</w:t>
      </w:r>
    </w:p>
    <w:p w:rsidR="005D0C03" w:rsidRDefault="005D0C03" w:rsidP="00670F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first respondent supported the averments of her husband. She stated that she was the owner of the property. She also moved the court to dismiss the application with costs.</w:t>
      </w:r>
    </w:p>
    <w:p w:rsidR="005D0C03" w:rsidRDefault="005D0C03" w:rsidP="00670F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Two preliminary matters characterize this application. The applicant raised th</w:t>
      </w:r>
      <w:r w:rsidR="00E6421F">
        <w:rPr>
          <w:rFonts w:ascii="Times New Roman" w:hAnsi="Times New Roman" w:cs="Times New Roman"/>
          <w:sz w:val="24"/>
          <w:szCs w:val="24"/>
        </w:rPr>
        <w:t>em. The first relates to the bar which h</w:t>
      </w:r>
      <w:r>
        <w:rPr>
          <w:rFonts w:ascii="Times New Roman" w:hAnsi="Times New Roman" w:cs="Times New Roman"/>
          <w:sz w:val="24"/>
          <w:szCs w:val="24"/>
        </w:rPr>
        <w:t>e said op</w:t>
      </w:r>
      <w:r w:rsidR="00E6421F">
        <w:rPr>
          <w:rFonts w:ascii="Times New Roman" w:hAnsi="Times New Roman" w:cs="Times New Roman"/>
          <w:sz w:val="24"/>
          <w:szCs w:val="24"/>
        </w:rPr>
        <w:t>erat</w:t>
      </w:r>
      <w:r>
        <w:rPr>
          <w:rFonts w:ascii="Times New Roman" w:hAnsi="Times New Roman" w:cs="Times New Roman"/>
          <w:sz w:val="24"/>
          <w:szCs w:val="24"/>
        </w:rPr>
        <w:t>ed against the respondents. He stated in para (a) of his answering affidavit as follows:</w:t>
      </w:r>
    </w:p>
    <w:p w:rsidR="005D0C03" w:rsidRDefault="005D0C03" w:rsidP="005D0C03">
      <w:pPr>
        <w:spacing w:after="0"/>
        <w:ind w:left="1440" w:hanging="720"/>
        <w:jc w:val="both"/>
        <w:rPr>
          <w:rFonts w:ascii="Times New Roman" w:hAnsi="Times New Roman" w:cs="Times New Roman"/>
        </w:rPr>
      </w:pPr>
      <w:r>
        <w:rPr>
          <w:rFonts w:ascii="Times New Roman" w:hAnsi="Times New Roman" w:cs="Times New Roman"/>
        </w:rPr>
        <w:t xml:space="preserve">“(a) </w:t>
      </w:r>
      <w:r>
        <w:rPr>
          <w:rFonts w:ascii="Times New Roman" w:hAnsi="Times New Roman" w:cs="Times New Roman"/>
        </w:rPr>
        <w:tab/>
        <w:t>The notices of opp</w:t>
      </w:r>
      <w:r w:rsidR="00E6421F">
        <w:rPr>
          <w:rFonts w:ascii="Times New Roman" w:hAnsi="Times New Roman" w:cs="Times New Roman"/>
        </w:rPr>
        <w:t>osition were filed one day late</w:t>
      </w:r>
      <w:r>
        <w:rPr>
          <w:rFonts w:ascii="Times New Roman" w:hAnsi="Times New Roman" w:cs="Times New Roman"/>
        </w:rPr>
        <w:t xml:space="preserve"> and this honourable court’s r 229 has not been followed. As such, the respondents are barred.”</w:t>
      </w:r>
    </w:p>
    <w:p w:rsidR="005D0C03" w:rsidRDefault="005D0C03" w:rsidP="005D0C03">
      <w:pPr>
        <w:spacing w:after="0"/>
        <w:ind w:left="1440" w:hanging="720"/>
        <w:jc w:val="both"/>
        <w:rPr>
          <w:rFonts w:ascii="Times New Roman" w:hAnsi="Times New Roman" w:cs="Times New Roman"/>
        </w:rPr>
      </w:pPr>
    </w:p>
    <w:p w:rsidR="005D0C03" w:rsidRPr="005A46A0" w:rsidRDefault="005D0C03" w:rsidP="002E40A7">
      <w:pPr>
        <w:spacing w:after="0" w:line="360" w:lineRule="auto"/>
        <w:jc w:val="both"/>
        <w:rPr>
          <w:rFonts w:ascii="Times New Roman" w:hAnsi="Times New Roman" w:cs="Times New Roman"/>
          <w:sz w:val="24"/>
          <w:szCs w:val="24"/>
        </w:rPr>
      </w:pPr>
      <w:r>
        <w:rPr>
          <w:rFonts w:ascii="Times New Roman" w:hAnsi="Times New Roman" w:cs="Times New Roman"/>
        </w:rPr>
        <w:tab/>
      </w:r>
      <w:r w:rsidR="002E40A7" w:rsidRPr="005A46A0">
        <w:rPr>
          <w:rFonts w:ascii="Times New Roman" w:hAnsi="Times New Roman" w:cs="Times New Roman"/>
          <w:sz w:val="24"/>
          <w:szCs w:val="24"/>
        </w:rPr>
        <w:t>Because the issue of the bar was raised at the answering affidavit stage</w:t>
      </w:r>
      <w:r w:rsidR="00E6421F">
        <w:rPr>
          <w:rFonts w:ascii="Times New Roman" w:hAnsi="Times New Roman" w:cs="Times New Roman"/>
          <w:sz w:val="24"/>
          <w:szCs w:val="24"/>
        </w:rPr>
        <w:t>,</w:t>
      </w:r>
      <w:r w:rsidR="002E40A7" w:rsidRPr="005A46A0">
        <w:rPr>
          <w:rFonts w:ascii="Times New Roman" w:hAnsi="Times New Roman" w:cs="Times New Roman"/>
          <w:sz w:val="24"/>
          <w:szCs w:val="24"/>
        </w:rPr>
        <w:t xml:space="preserve"> the respondents saw no option  </w:t>
      </w:r>
      <w:r w:rsidR="00E6421F">
        <w:rPr>
          <w:rFonts w:ascii="Times New Roman" w:hAnsi="Times New Roman" w:cs="Times New Roman"/>
          <w:sz w:val="24"/>
          <w:szCs w:val="24"/>
        </w:rPr>
        <w:t>which was open to them other</w:t>
      </w:r>
      <w:r w:rsidR="002E40A7" w:rsidRPr="005A46A0">
        <w:rPr>
          <w:rFonts w:ascii="Times New Roman" w:hAnsi="Times New Roman" w:cs="Times New Roman"/>
          <w:sz w:val="24"/>
          <w:szCs w:val="24"/>
        </w:rPr>
        <w:t xml:space="preserve"> </w:t>
      </w:r>
      <w:r w:rsidR="00E6421F">
        <w:rPr>
          <w:rFonts w:ascii="Times New Roman" w:hAnsi="Times New Roman" w:cs="Times New Roman"/>
          <w:sz w:val="24"/>
          <w:szCs w:val="24"/>
        </w:rPr>
        <w:t xml:space="preserve">than </w:t>
      </w:r>
      <w:r w:rsidR="002E40A7" w:rsidRPr="005A46A0">
        <w:rPr>
          <w:rFonts w:ascii="Times New Roman" w:hAnsi="Times New Roman" w:cs="Times New Roman"/>
          <w:sz w:val="24"/>
          <w:szCs w:val="24"/>
        </w:rPr>
        <w:t xml:space="preserve">to deal with the same in their heads. </w:t>
      </w:r>
      <w:r w:rsidR="00E6421F">
        <w:rPr>
          <w:rFonts w:ascii="Times New Roman" w:hAnsi="Times New Roman" w:cs="Times New Roman"/>
          <w:sz w:val="24"/>
          <w:szCs w:val="24"/>
        </w:rPr>
        <w:t>They made every effort to, as it were, give</w:t>
      </w:r>
      <w:r w:rsidR="002E40A7" w:rsidRPr="005A46A0">
        <w:rPr>
          <w:rFonts w:ascii="Times New Roman" w:hAnsi="Times New Roman" w:cs="Times New Roman"/>
          <w:sz w:val="24"/>
          <w:szCs w:val="24"/>
        </w:rPr>
        <w:t xml:space="preserve"> evidence from the bar. The impropriety of what they did when they attempted to explain the position of the matter in their heads remains inexcu</w:t>
      </w:r>
      <w:r w:rsidR="005B71BC" w:rsidRPr="005A46A0">
        <w:rPr>
          <w:rFonts w:ascii="Times New Roman" w:hAnsi="Times New Roman" w:cs="Times New Roman"/>
          <w:sz w:val="24"/>
          <w:szCs w:val="24"/>
        </w:rPr>
        <w:t>sable.</w:t>
      </w:r>
    </w:p>
    <w:p w:rsidR="005B71BC" w:rsidRPr="005A46A0" w:rsidRDefault="005B71BC" w:rsidP="002E40A7">
      <w:pPr>
        <w:spacing w:after="0" w:line="360" w:lineRule="auto"/>
        <w:jc w:val="both"/>
        <w:rPr>
          <w:rFonts w:ascii="Times New Roman" w:hAnsi="Times New Roman" w:cs="Times New Roman"/>
          <w:sz w:val="24"/>
          <w:szCs w:val="24"/>
        </w:rPr>
      </w:pPr>
      <w:r w:rsidRPr="005A46A0">
        <w:rPr>
          <w:rFonts w:ascii="Times New Roman" w:hAnsi="Times New Roman" w:cs="Times New Roman"/>
          <w:sz w:val="24"/>
          <w:szCs w:val="24"/>
        </w:rPr>
        <w:tab/>
        <w:t>Heads of argument are not prepared by a party to proceedings. They are prepared, and presented to the court, by</w:t>
      </w:r>
      <w:r w:rsidR="00111987" w:rsidRPr="005A46A0">
        <w:rPr>
          <w:rFonts w:ascii="Times New Roman" w:hAnsi="Times New Roman" w:cs="Times New Roman"/>
          <w:sz w:val="24"/>
          <w:szCs w:val="24"/>
        </w:rPr>
        <w:t xml:space="preserve"> a legal practitioner who is representing a party.  Reference is made in this regard to r 238 (1) and (2) of the High Court Rules, 1971. It reads:</w:t>
      </w:r>
    </w:p>
    <w:p w:rsidR="005A46A0" w:rsidRDefault="005A46A0" w:rsidP="00420230">
      <w:pPr>
        <w:spacing w:after="0" w:line="240" w:lineRule="auto"/>
        <w:jc w:val="both"/>
        <w:rPr>
          <w:rFonts w:ascii="Times New Roman" w:hAnsi="Times New Roman" w:cs="Times New Roman"/>
        </w:rPr>
      </w:pPr>
      <w:r>
        <w:rPr>
          <w:rFonts w:ascii="Times New Roman" w:hAnsi="Times New Roman" w:cs="Times New Roman"/>
        </w:rPr>
        <w:tab/>
        <w:t>“238</w:t>
      </w:r>
      <w:r>
        <w:rPr>
          <w:rFonts w:ascii="Times New Roman" w:hAnsi="Times New Roman" w:cs="Times New Roman"/>
        </w:rPr>
        <w:tab/>
        <w:t>HEADS OF ARGUMENT</w:t>
      </w:r>
    </w:p>
    <w:p w:rsidR="005A46A0" w:rsidRDefault="005A46A0" w:rsidP="00420230">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If, at the hearing of an application</w:t>
      </w:r>
      <w:r w:rsidR="00E6421F">
        <w:rPr>
          <w:rFonts w:ascii="Times New Roman" w:hAnsi="Times New Roman" w:cs="Times New Roman"/>
        </w:rPr>
        <w:t>,</w:t>
      </w:r>
      <w:r>
        <w:rPr>
          <w:rFonts w:ascii="Times New Roman" w:hAnsi="Times New Roman" w:cs="Times New Roman"/>
        </w:rPr>
        <w:t xml:space="preserve"> exception or application to strike out, the applicant or excipient, as the case may be, is to be represented by a legal practitioner–  </w:t>
      </w:r>
    </w:p>
    <w:p w:rsidR="005A46A0" w:rsidRDefault="00E6421F" w:rsidP="00420230">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b</w:t>
      </w:r>
      <w:r w:rsidR="005A46A0">
        <w:rPr>
          <w:rFonts w:ascii="Times New Roman" w:hAnsi="Times New Roman" w:cs="Times New Roman"/>
        </w:rPr>
        <w:t xml:space="preserve">efore the matter is set down for hearing, the legal practitioner shall file with the registrar heads of argument, </w:t>
      </w:r>
      <w:r>
        <w:rPr>
          <w:rFonts w:ascii="Times New Roman" w:hAnsi="Times New Roman" w:cs="Times New Roman"/>
        </w:rPr>
        <w:t>clearly</w:t>
      </w:r>
      <w:r w:rsidR="005A46A0">
        <w:rPr>
          <w:rFonts w:ascii="Times New Roman" w:hAnsi="Times New Roman" w:cs="Times New Roman"/>
        </w:rPr>
        <w:t xml:space="preserve"> </w:t>
      </w:r>
      <w:r w:rsidR="005A46A0" w:rsidRPr="005A46A0">
        <w:rPr>
          <w:rFonts w:ascii="Times New Roman" w:hAnsi="Times New Roman" w:cs="Times New Roman"/>
          <w:u w:val="single"/>
        </w:rPr>
        <w:t>outlining the submissions he intends to rely on</w:t>
      </w:r>
      <w:r w:rsidR="005A46A0">
        <w:rPr>
          <w:rFonts w:ascii="Times New Roman" w:hAnsi="Times New Roman" w:cs="Times New Roman"/>
        </w:rPr>
        <w:t xml:space="preserve"> </w:t>
      </w:r>
    </w:p>
    <w:p w:rsidR="005A46A0" w:rsidRDefault="00E6421F" w:rsidP="00420230">
      <w:pPr>
        <w:pStyle w:val="ListParagraph"/>
        <w:spacing w:after="0" w:line="240" w:lineRule="auto"/>
        <w:ind w:left="1800"/>
        <w:jc w:val="both"/>
        <w:rPr>
          <w:rFonts w:ascii="Times New Roman" w:hAnsi="Times New Roman" w:cs="Times New Roman"/>
        </w:rPr>
      </w:pPr>
      <w:r>
        <w:rPr>
          <w:rFonts w:ascii="Times New Roman" w:hAnsi="Times New Roman" w:cs="Times New Roman"/>
        </w:rPr>
        <w:t>a</w:t>
      </w:r>
      <w:r w:rsidR="005A46A0">
        <w:rPr>
          <w:rFonts w:ascii="Times New Roman" w:hAnsi="Times New Roman" w:cs="Times New Roman"/>
        </w:rPr>
        <w:t xml:space="preserve">nd </w:t>
      </w:r>
      <w:r w:rsidR="005A46A0">
        <w:rPr>
          <w:rFonts w:ascii="Times New Roman" w:hAnsi="Times New Roman" w:cs="Times New Roman"/>
          <w:u w:val="single"/>
        </w:rPr>
        <w:t>setting out authorities,</w:t>
      </w:r>
      <w:r w:rsidR="005A46A0">
        <w:rPr>
          <w:rFonts w:ascii="Times New Roman" w:hAnsi="Times New Roman" w:cs="Times New Roman"/>
        </w:rPr>
        <w:t xml:space="preserve"> if any, which he intends to cite; and…</w:t>
      </w:r>
    </w:p>
    <w:p w:rsidR="005A46A0" w:rsidRDefault="005A46A0" w:rsidP="00420230">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w:t>
      </w:r>
    </w:p>
    <w:p w:rsidR="005A46A0" w:rsidRDefault="005A46A0" w:rsidP="00420230">
      <w:pPr>
        <w:spacing w:after="0" w:line="240" w:lineRule="auto"/>
        <w:ind w:left="1440"/>
        <w:jc w:val="both"/>
        <w:rPr>
          <w:rFonts w:ascii="Times New Roman" w:hAnsi="Times New Roman" w:cs="Times New Roman"/>
        </w:rPr>
      </w:pPr>
      <w:r>
        <w:rPr>
          <w:rFonts w:ascii="Times New Roman" w:hAnsi="Times New Roman" w:cs="Times New Roman"/>
        </w:rPr>
        <w:t>(1a)</w:t>
      </w:r>
      <w:r w:rsidR="00DE06DE">
        <w:rPr>
          <w:rFonts w:ascii="Times New Roman" w:hAnsi="Times New Roman" w:cs="Times New Roman"/>
        </w:rPr>
        <w:t xml:space="preserve"> ….</w:t>
      </w:r>
    </w:p>
    <w:p w:rsidR="005A46A0" w:rsidRDefault="005A46A0" w:rsidP="00420230">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Where an application, ex</w:t>
      </w:r>
      <w:r w:rsidR="00E6421F">
        <w:rPr>
          <w:rFonts w:ascii="Times New Roman" w:hAnsi="Times New Roman" w:cs="Times New Roman"/>
        </w:rPr>
        <w:t>ception</w:t>
      </w:r>
      <w:r>
        <w:rPr>
          <w:rFonts w:ascii="Times New Roman" w:hAnsi="Times New Roman" w:cs="Times New Roman"/>
        </w:rPr>
        <w:t xml:space="preserve"> or application to strike out has been set down for hearing in terms of subrule (2) of r 223 and any respondent is to be represented at the hearing by a legal practitioner, </w:t>
      </w:r>
      <w:r>
        <w:rPr>
          <w:rFonts w:ascii="Times New Roman" w:hAnsi="Times New Roman" w:cs="Times New Roman"/>
          <w:u w:val="single"/>
        </w:rPr>
        <w:t xml:space="preserve">the legal practitioner shall file </w:t>
      </w:r>
      <w:r>
        <w:rPr>
          <w:rFonts w:ascii="Times New Roman" w:hAnsi="Times New Roman" w:cs="Times New Roman"/>
        </w:rPr>
        <w:t>with the registrar, in accordance with subrule (2a)</w:t>
      </w:r>
      <w:r w:rsidR="00420230">
        <w:rPr>
          <w:rFonts w:ascii="Times New Roman" w:hAnsi="Times New Roman" w:cs="Times New Roman"/>
        </w:rPr>
        <w:t xml:space="preserve">, </w:t>
      </w:r>
      <w:r w:rsidR="00420230">
        <w:rPr>
          <w:rFonts w:ascii="Times New Roman" w:hAnsi="Times New Roman" w:cs="Times New Roman"/>
          <w:u w:val="single"/>
        </w:rPr>
        <w:t>heads of argument clearly outlining the submissions relied upon by him</w:t>
      </w:r>
      <w:r w:rsidR="00420230">
        <w:rPr>
          <w:rFonts w:ascii="Times New Roman" w:hAnsi="Times New Roman" w:cs="Times New Roman"/>
        </w:rPr>
        <w:t xml:space="preserve"> and setting out the authorities, if any, </w:t>
      </w:r>
      <w:r w:rsidR="00420230">
        <w:rPr>
          <w:rFonts w:ascii="Times New Roman" w:hAnsi="Times New Roman" w:cs="Times New Roman"/>
          <w:u w:val="single"/>
        </w:rPr>
        <w:t>which he intends to cite</w:t>
      </w:r>
      <w:r w:rsidR="00420230" w:rsidRPr="00420230">
        <w:rPr>
          <w:rFonts w:ascii="Times New Roman" w:hAnsi="Times New Roman" w:cs="Times New Roman"/>
        </w:rPr>
        <w:t>…”</w:t>
      </w:r>
      <w:r w:rsidR="00E6421F">
        <w:rPr>
          <w:rFonts w:ascii="Times New Roman" w:hAnsi="Times New Roman" w:cs="Times New Roman"/>
        </w:rPr>
        <w:t xml:space="preserve"> (e</w:t>
      </w:r>
      <w:r w:rsidR="00420230">
        <w:rPr>
          <w:rFonts w:ascii="Times New Roman" w:hAnsi="Times New Roman" w:cs="Times New Roman"/>
        </w:rPr>
        <w:t>mphasis added).</w:t>
      </w:r>
    </w:p>
    <w:p w:rsidR="00420230" w:rsidRDefault="00420230" w:rsidP="00420230">
      <w:pPr>
        <w:spacing w:after="0" w:line="240" w:lineRule="auto"/>
        <w:ind w:left="720"/>
        <w:jc w:val="both"/>
        <w:rPr>
          <w:rFonts w:ascii="Times New Roman" w:hAnsi="Times New Roman" w:cs="Times New Roman"/>
        </w:rPr>
      </w:pPr>
    </w:p>
    <w:p w:rsidR="00420230" w:rsidRDefault="00420230" w:rsidP="004202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evident, from the foregoing, that heads of argument are not the business of the </w:t>
      </w:r>
    </w:p>
    <w:p w:rsidR="00420230" w:rsidRDefault="00420230" w:rsidP="004202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parties. They are the business of the legal practitioners who represent such parties. Whe</w:t>
      </w:r>
      <w:r w:rsidR="00E6421F">
        <w:rPr>
          <w:rFonts w:ascii="Times New Roman" w:hAnsi="Times New Roman" w:cs="Times New Roman"/>
          <w:sz w:val="24"/>
          <w:szCs w:val="24"/>
        </w:rPr>
        <w:t>re the legal practitioners give</w:t>
      </w:r>
      <w:r>
        <w:rPr>
          <w:rFonts w:ascii="Times New Roman" w:hAnsi="Times New Roman" w:cs="Times New Roman"/>
          <w:sz w:val="24"/>
          <w:szCs w:val="24"/>
        </w:rPr>
        <w:t xml:space="preserve"> evidence in the heads and in furthermore of their clie</w:t>
      </w:r>
      <w:r w:rsidR="00DE06DE">
        <w:rPr>
          <w:rFonts w:ascii="Times New Roman" w:hAnsi="Times New Roman" w:cs="Times New Roman"/>
          <w:sz w:val="24"/>
          <w:szCs w:val="24"/>
        </w:rPr>
        <w:t>nt’s case, therefore, the court</w:t>
      </w:r>
      <w:r>
        <w:rPr>
          <w:rFonts w:ascii="Times New Roman" w:hAnsi="Times New Roman" w:cs="Times New Roman"/>
          <w:sz w:val="24"/>
          <w:szCs w:val="24"/>
        </w:rPr>
        <w:t xml:space="preserve"> will not only frown upon such conduct. It will also disregard evidence which is introduced into the re</w:t>
      </w:r>
      <w:r w:rsidR="00E6421F">
        <w:rPr>
          <w:rFonts w:ascii="Times New Roman" w:hAnsi="Times New Roman" w:cs="Times New Roman"/>
          <w:sz w:val="24"/>
          <w:szCs w:val="24"/>
        </w:rPr>
        <w:t>cord</w:t>
      </w:r>
      <w:r>
        <w:rPr>
          <w:rFonts w:ascii="Times New Roman" w:hAnsi="Times New Roman" w:cs="Times New Roman"/>
          <w:sz w:val="24"/>
          <w:szCs w:val="24"/>
        </w:rPr>
        <w:t xml:space="preserve"> through the back door.</w:t>
      </w:r>
    </w:p>
    <w:p w:rsidR="00BA066E" w:rsidRDefault="00420230" w:rsidP="004202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
    <w:p w:rsidR="00420230" w:rsidRDefault="00420230" w:rsidP="00BA066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respondents’ legal practitioners are guilty of the observed impropriety. What they stated as having been the statement of the respondents on the matter cannot be accepted.</w:t>
      </w:r>
      <w:r w:rsidR="00DE06DE">
        <w:rPr>
          <w:rFonts w:ascii="Times New Roman" w:hAnsi="Times New Roman" w:cs="Times New Roman"/>
          <w:sz w:val="24"/>
          <w:szCs w:val="24"/>
        </w:rPr>
        <w:t xml:space="preserve"> It is not their clients’ evidence</w:t>
      </w:r>
      <w:r w:rsidR="00F8639A">
        <w:rPr>
          <w:rFonts w:ascii="Times New Roman" w:hAnsi="Times New Roman" w:cs="Times New Roman"/>
          <w:sz w:val="24"/>
          <w:szCs w:val="24"/>
        </w:rPr>
        <w:t>.</w:t>
      </w:r>
      <w:r>
        <w:rPr>
          <w:rFonts w:ascii="Times New Roman" w:hAnsi="Times New Roman" w:cs="Times New Roman"/>
          <w:sz w:val="24"/>
          <w:szCs w:val="24"/>
        </w:rPr>
        <w:t xml:space="preserve"> It is, therefore, expunged from the record.</w:t>
      </w:r>
    </w:p>
    <w:p w:rsidR="00420230" w:rsidRDefault="00420230" w:rsidP="004202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follows, from the foregoing that, if the applicant was correct in what he alleged, he would most certainly have carried the day. The applicant did not make the certificate of service of the</w:t>
      </w:r>
      <w:r w:rsidR="008517FF">
        <w:rPr>
          <w:rFonts w:ascii="Times New Roman" w:hAnsi="Times New Roman" w:cs="Times New Roman"/>
          <w:sz w:val="24"/>
          <w:szCs w:val="24"/>
        </w:rPr>
        <w:t xml:space="preserve"> application on the respondents</w:t>
      </w:r>
      <w:r>
        <w:rPr>
          <w:rFonts w:ascii="Times New Roman" w:hAnsi="Times New Roman" w:cs="Times New Roman"/>
          <w:sz w:val="24"/>
          <w:szCs w:val="24"/>
        </w:rPr>
        <w:t xml:space="preserve"> part of the record. He alleged and left the matter at that. His allegation, therefore, remains unsubstantiated. He, a</w:t>
      </w:r>
      <w:r w:rsidR="008517FF">
        <w:rPr>
          <w:rFonts w:ascii="Times New Roman" w:hAnsi="Times New Roman" w:cs="Times New Roman"/>
          <w:sz w:val="24"/>
          <w:szCs w:val="24"/>
        </w:rPr>
        <w:t xml:space="preserve">t any rate, did not pursue the issue </w:t>
      </w:r>
      <w:r>
        <w:rPr>
          <w:rFonts w:ascii="Times New Roman" w:hAnsi="Times New Roman" w:cs="Times New Roman"/>
          <w:sz w:val="24"/>
          <w:szCs w:val="24"/>
        </w:rPr>
        <w:t>of the alleged bar during th</w:t>
      </w:r>
      <w:r w:rsidR="00EF3D73">
        <w:rPr>
          <w:rFonts w:ascii="Times New Roman" w:hAnsi="Times New Roman" w:cs="Times New Roman"/>
          <w:sz w:val="24"/>
          <w:szCs w:val="24"/>
        </w:rPr>
        <w:t>e hearing of the application. H</w:t>
      </w:r>
      <w:r>
        <w:rPr>
          <w:rFonts w:ascii="Times New Roman" w:hAnsi="Times New Roman" w:cs="Times New Roman"/>
          <w:sz w:val="24"/>
          <w:szCs w:val="24"/>
        </w:rPr>
        <w:t xml:space="preserve">is reasons for refraining </w:t>
      </w:r>
      <w:r w:rsidR="008517FF">
        <w:rPr>
          <w:rFonts w:ascii="Times New Roman" w:hAnsi="Times New Roman" w:cs="Times New Roman"/>
          <w:sz w:val="24"/>
          <w:szCs w:val="24"/>
        </w:rPr>
        <w:t>from pursuing</w:t>
      </w:r>
      <w:r w:rsidR="00EF3D73">
        <w:rPr>
          <w:rFonts w:ascii="Times New Roman" w:hAnsi="Times New Roman" w:cs="Times New Roman"/>
          <w:sz w:val="24"/>
          <w:szCs w:val="24"/>
        </w:rPr>
        <w:t xml:space="preserve"> the s</w:t>
      </w:r>
      <w:r w:rsidR="008517FF">
        <w:rPr>
          <w:rFonts w:ascii="Times New Roman" w:hAnsi="Times New Roman" w:cs="Times New Roman"/>
          <w:sz w:val="24"/>
          <w:szCs w:val="24"/>
        </w:rPr>
        <w:t>ame remain unknown. The result wa</w:t>
      </w:r>
      <w:r w:rsidR="00EF3D73">
        <w:rPr>
          <w:rFonts w:ascii="Times New Roman" w:hAnsi="Times New Roman" w:cs="Times New Roman"/>
          <w:sz w:val="24"/>
          <w:szCs w:val="24"/>
        </w:rPr>
        <w:t xml:space="preserve">s that the issue of </w:t>
      </w:r>
      <w:r w:rsidR="008517FF">
        <w:rPr>
          <w:rFonts w:ascii="Times New Roman" w:hAnsi="Times New Roman" w:cs="Times New Roman"/>
          <w:sz w:val="24"/>
          <w:szCs w:val="24"/>
        </w:rPr>
        <w:t xml:space="preserve">the </w:t>
      </w:r>
      <w:r w:rsidR="00EF3D73">
        <w:rPr>
          <w:rFonts w:ascii="Times New Roman" w:hAnsi="Times New Roman" w:cs="Times New Roman"/>
          <w:sz w:val="24"/>
          <w:szCs w:val="24"/>
        </w:rPr>
        <w:t>alleged bar was allowed to die a natural death.</w:t>
      </w:r>
    </w:p>
    <w:p w:rsidR="00EF3D73" w:rsidRDefault="00EF3D73" w:rsidP="004202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applicant’s second </w:t>
      </w:r>
      <w:r>
        <w:rPr>
          <w:rFonts w:ascii="Times New Roman" w:hAnsi="Times New Roman" w:cs="Times New Roman"/>
          <w:i/>
          <w:sz w:val="24"/>
          <w:szCs w:val="24"/>
        </w:rPr>
        <w:t>in limine</w:t>
      </w:r>
      <w:r>
        <w:rPr>
          <w:rFonts w:ascii="Times New Roman" w:hAnsi="Times New Roman" w:cs="Times New Roman"/>
          <w:sz w:val="24"/>
          <w:szCs w:val="24"/>
        </w:rPr>
        <w:t xml:space="preserve"> matter relates to the </w:t>
      </w:r>
      <w:r w:rsidR="008517FF">
        <w:rPr>
          <w:rFonts w:ascii="Times New Roman" w:hAnsi="Times New Roman" w:cs="Times New Roman"/>
          <w:sz w:val="24"/>
          <w:szCs w:val="24"/>
        </w:rPr>
        <w:t>servitude</w:t>
      </w:r>
      <w:r>
        <w:rPr>
          <w:rFonts w:ascii="Times New Roman" w:hAnsi="Times New Roman" w:cs="Times New Roman"/>
          <w:sz w:val="24"/>
          <w:szCs w:val="24"/>
        </w:rPr>
        <w:t xml:space="preserve"> of </w:t>
      </w:r>
      <w:r w:rsidR="008517FF">
        <w:rPr>
          <w:rFonts w:ascii="Times New Roman" w:hAnsi="Times New Roman" w:cs="Times New Roman"/>
          <w:sz w:val="24"/>
          <w:szCs w:val="24"/>
        </w:rPr>
        <w:t xml:space="preserve">usufruct </w:t>
      </w:r>
      <w:r>
        <w:rPr>
          <w:rFonts w:ascii="Times New Roman" w:hAnsi="Times New Roman" w:cs="Times New Roman"/>
          <w:sz w:val="24"/>
          <w:szCs w:val="24"/>
        </w:rPr>
        <w:t xml:space="preserve">which the second respondent registered on the property in favour of his wife. He moved the court to have that </w:t>
      </w:r>
      <w:r w:rsidR="008517FF">
        <w:rPr>
          <w:rFonts w:ascii="Times New Roman" w:hAnsi="Times New Roman" w:cs="Times New Roman"/>
          <w:sz w:val="24"/>
          <w:szCs w:val="24"/>
        </w:rPr>
        <w:t xml:space="preserve">servitude </w:t>
      </w:r>
      <w:r>
        <w:rPr>
          <w:rFonts w:ascii="Times New Roman" w:hAnsi="Times New Roman" w:cs="Times New Roman"/>
          <w:sz w:val="24"/>
          <w:szCs w:val="24"/>
        </w:rPr>
        <w:t>cancelled. Reference is made in this regard to para (3) of his draft order.</w:t>
      </w:r>
    </w:p>
    <w:p w:rsidR="00EF3D73" w:rsidRDefault="00EF3D73" w:rsidP="004202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w:t>
      </w:r>
      <w:r w:rsidR="008517FF">
        <w:rPr>
          <w:rFonts w:ascii="Times New Roman" w:hAnsi="Times New Roman" w:cs="Times New Roman"/>
          <w:sz w:val="24"/>
          <w:szCs w:val="24"/>
        </w:rPr>
        <w:t>pertinent</w:t>
      </w:r>
      <w:r>
        <w:rPr>
          <w:rFonts w:ascii="Times New Roman" w:hAnsi="Times New Roman" w:cs="Times New Roman"/>
          <w:sz w:val="24"/>
          <w:szCs w:val="24"/>
        </w:rPr>
        <w:t xml:space="preserve"> to mention that para (3) of the draft order is no longer necessary. It is superfluous</w:t>
      </w:r>
      <w:r w:rsidR="008517FF">
        <w:rPr>
          <w:rFonts w:ascii="Times New Roman" w:hAnsi="Times New Roman" w:cs="Times New Roman"/>
          <w:sz w:val="24"/>
          <w:szCs w:val="24"/>
        </w:rPr>
        <w:t>. O</w:t>
      </w:r>
      <w:r>
        <w:rPr>
          <w:rFonts w:ascii="Times New Roman" w:hAnsi="Times New Roman" w:cs="Times New Roman"/>
          <w:sz w:val="24"/>
          <w:szCs w:val="24"/>
        </w:rPr>
        <w:t>nce it is accepted</w:t>
      </w:r>
      <w:r w:rsidR="008517FF">
        <w:rPr>
          <w:rFonts w:ascii="Times New Roman" w:hAnsi="Times New Roman" w:cs="Times New Roman"/>
          <w:sz w:val="24"/>
          <w:szCs w:val="24"/>
        </w:rPr>
        <w:t>,</w:t>
      </w:r>
      <w:r>
        <w:rPr>
          <w:rFonts w:ascii="Times New Roman" w:hAnsi="Times New Roman" w:cs="Times New Roman"/>
          <w:sz w:val="24"/>
          <w:szCs w:val="24"/>
        </w:rPr>
        <w:t xml:space="preserve"> as it should, that the second respondent transferred title in the property from him to his wife, cancellation of the notarial deed of </w:t>
      </w:r>
      <w:r w:rsidR="008517FF">
        <w:rPr>
          <w:rFonts w:ascii="Times New Roman" w:hAnsi="Times New Roman" w:cs="Times New Roman"/>
          <w:sz w:val="24"/>
          <w:szCs w:val="24"/>
        </w:rPr>
        <w:t xml:space="preserve">servitude </w:t>
      </w:r>
      <w:r>
        <w:rPr>
          <w:rFonts w:ascii="Times New Roman" w:hAnsi="Times New Roman" w:cs="Times New Roman"/>
          <w:sz w:val="24"/>
          <w:szCs w:val="24"/>
        </w:rPr>
        <w:t xml:space="preserve">of </w:t>
      </w:r>
      <w:r w:rsidR="008517FF">
        <w:rPr>
          <w:rFonts w:ascii="Times New Roman" w:hAnsi="Times New Roman" w:cs="Times New Roman"/>
          <w:sz w:val="24"/>
          <w:szCs w:val="24"/>
        </w:rPr>
        <w:t>usufruct</w:t>
      </w:r>
      <w:r>
        <w:rPr>
          <w:rFonts w:ascii="Times New Roman" w:hAnsi="Times New Roman" w:cs="Times New Roman"/>
          <w:sz w:val="24"/>
          <w:szCs w:val="24"/>
        </w:rPr>
        <w:t xml:space="preserve"> no longer </w:t>
      </w:r>
      <w:r w:rsidR="008517FF">
        <w:rPr>
          <w:rFonts w:ascii="Times New Roman" w:hAnsi="Times New Roman" w:cs="Times New Roman"/>
          <w:sz w:val="24"/>
          <w:szCs w:val="24"/>
        </w:rPr>
        <w:t>serves</w:t>
      </w:r>
      <w:r>
        <w:rPr>
          <w:rFonts w:ascii="Times New Roman" w:hAnsi="Times New Roman" w:cs="Times New Roman"/>
          <w:sz w:val="24"/>
          <w:szCs w:val="24"/>
        </w:rPr>
        <w:t xml:space="preserve"> any purpose. That is</w:t>
      </w:r>
      <w:r w:rsidR="008517FF">
        <w:rPr>
          <w:rFonts w:ascii="Times New Roman" w:hAnsi="Times New Roman" w:cs="Times New Roman"/>
          <w:sz w:val="24"/>
          <w:szCs w:val="24"/>
        </w:rPr>
        <w:t xml:space="preserve"> so</w:t>
      </w:r>
      <w:r>
        <w:rPr>
          <w:rFonts w:ascii="Times New Roman" w:hAnsi="Times New Roman" w:cs="Times New Roman"/>
          <w:sz w:val="24"/>
          <w:szCs w:val="24"/>
        </w:rPr>
        <w:t xml:space="preserve"> because the first respondent no longer has limited rights in the property. She has real rights in the same. She holds such to the exclusion of the whole world.</w:t>
      </w:r>
    </w:p>
    <w:p w:rsidR="008517FF" w:rsidRDefault="00EF3D73" w:rsidP="004202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the merits, I </w:t>
      </w:r>
      <w:r w:rsidR="008517FF">
        <w:rPr>
          <w:rFonts w:ascii="Times New Roman" w:hAnsi="Times New Roman" w:cs="Times New Roman"/>
          <w:sz w:val="24"/>
          <w:szCs w:val="24"/>
        </w:rPr>
        <w:t>must confess</w:t>
      </w:r>
      <w:r>
        <w:rPr>
          <w:rFonts w:ascii="Times New Roman" w:hAnsi="Times New Roman" w:cs="Times New Roman"/>
          <w:sz w:val="24"/>
          <w:szCs w:val="24"/>
        </w:rPr>
        <w:t xml:space="preserve"> that I read the application over and over again and I failed to define the applicant’s </w:t>
      </w:r>
      <w:r w:rsidR="008517FF">
        <w:rPr>
          <w:rFonts w:ascii="Times New Roman" w:hAnsi="Times New Roman" w:cs="Times New Roman"/>
          <w:sz w:val="24"/>
          <w:szCs w:val="24"/>
        </w:rPr>
        <w:t>cause</w:t>
      </w:r>
      <w:r>
        <w:rPr>
          <w:rFonts w:ascii="Times New Roman" w:hAnsi="Times New Roman" w:cs="Times New Roman"/>
          <w:sz w:val="24"/>
          <w:szCs w:val="24"/>
        </w:rPr>
        <w:t xml:space="preserve"> of action. He said the se</w:t>
      </w:r>
      <w:r w:rsidR="00BA066E">
        <w:rPr>
          <w:rFonts w:ascii="Times New Roman" w:hAnsi="Times New Roman" w:cs="Times New Roman"/>
          <w:sz w:val="24"/>
          <w:szCs w:val="24"/>
        </w:rPr>
        <w:t>cond respondent was a fraud</w:t>
      </w:r>
      <w:r w:rsidR="008517FF">
        <w:rPr>
          <w:rFonts w:ascii="Times New Roman" w:hAnsi="Times New Roman" w:cs="Times New Roman"/>
          <w:sz w:val="24"/>
          <w:szCs w:val="24"/>
        </w:rPr>
        <w:t>ste</w:t>
      </w:r>
      <w:r w:rsidR="00BA066E">
        <w:rPr>
          <w:rFonts w:ascii="Times New Roman" w:hAnsi="Times New Roman" w:cs="Times New Roman"/>
          <w:sz w:val="24"/>
          <w:szCs w:val="24"/>
        </w:rPr>
        <w:t xml:space="preserve">r. That </w:t>
      </w:r>
      <w:r w:rsidR="008517FF">
        <w:rPr>
          <w:rFonts w:ascii="Times New Roman" w:hAnsi="Times New Roman" w:cs="Times New Roman"/>
          <w:sz w:val="24"/>
          <w:szCs w:val="24"/>
        </w:rPr>
        <w:t>connotes t</w:t>
      </w:r>
      <w:r w:rsidR="00BA066E">
        <w:rPr>
          <w:rFonts w:ascii="Times New Roman" w:hAnsi="Times New Roman" w:cs="Times New Roman"/>
          <w:sz w:val="24"/>
          <w:szCs w:val="24"/>
        </w:rPr>
        <w:t xml:space="preserve">hat the second respondent defrauded him. </w:t>
      </w:r>
    </w:p>
    <w:p w:rsidR="00EF3D73" w:rsidRDefault="00BA066E" w:rsidP="008517F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application, as it stands, does not show any fraud-civil or criminal – having been perpetrated against the applicant by the second respondent</w:t>
      </w:r>
      <w:r w:rsidR="008517FF">
        <w:rPr>
          <w:rFonts w:ascii="Times New Roman" w:hAnsi="Times New Roman" w:cs="Times New Roman"/>
          <w:sz w:val="24"/>
          <w:szCs w:val="24"/>
        </w:rPr>
        <w:t>. I</w:t>
      </w:r>
      <w:r>
        <w:rPr>
          <w:rFonts w:ascii="Times New Roman" w:hAnsi="Times New Roman" w:cs="Times New Roman"/>
          <w:sz w:val="24"/>
          <w:szCs w:val="24"/>
        </w:rPr>
        <w:t>n fraud, the fraud</w:t>
      </w:r>
      <w:r w:rsidR="008517FF">
        <w:rPr>
          <w:rFonts w:ascii="Times New Roman" w:hAnsi="Times New Roman" w:cs="Times New Roman"/>
          <w:sz w:val="24"/>
          <w:szCs w:val="24"/>
        </w:rPr>
        <w:t>st</w:t>
      </w:r>
      <w:r>
        <w:rPr>
          <w:rFonts w:ascii="Times New Roman" w:hAnsi="Times New Roman" w:cs="Times New Roman"/>
          <w:sz w:val="24"/>
          <w:szCs w:val="24"/>
        </w:rPr>
        <w:t xml:space="preserve">er makes </w:t>
      </w:r>
      <w:r w:rsidR="008517FF">
        <w:rPr>
          <w:rFonts w:ascii="Times New Roman" w:hAnsi="Times New Roman" w:cs="Times New Roman"/>
          <w:sz w:val="24"/>
          <w:szCs w:val="24"/>
        </w:rPr>
        <w:t xml:space="preserve">a </w:t>
      </w:r>
      <w:r>
        <w:rPr>
          <w:rFonts w:ascii="Times New Roman" w:hAnsi="Times New Roman" w:cs="Times New Roman"/>
          <w:sz w:val="24"/>
          <w:szCs w:val="24"/>
          <w:u w:val="single"/>
        </w:rPr>
        <w:t>misrepresentation</w:t>
      </w:r>
      <w:r>
        <w:rPr>
          <w:rFonts w:ascii="Times New Roman" w:hAnsi="Times New Roman" w:cs="Times New Roman"/>
          <w:sz w:val="24"/>
          <w:szCs w:val="24"/>
        </w:rPr>
        <w:t xml:space="preserve"> which </w:t>
      </w:r>
      <w:r w:rsidR="008517FF">
        <w:rPr>
          <w:rFonts w:ascii="Times New Roman" w:hAnsi="Times New Roman" w:cs="Times New Roman"/>
          <w:sz w:val="24"/>
          <w:szCs w:val="24"/>
        </w:rPr>
        <w:t xml:space="preserve">he </w:t>
      </w:r>
      <w:r>
        <w:rPr>
          <w:rFonts w:ascii="Times New Roman" w:hAnsi="Times New Roman" w:cs="Times New Roman"/>
          <w:sz w:val="24"/>
          <w:szCs w:val="24"/>
        </w:rPr>
        <w:t>intends</w:t>
      </w:r>
      <w:r w:rsidR="008517FF">
        <w:rPr>
          <w:rFonts w:ascii="Times New Roman" w:hAnsi="Times New Roman" w:cs="Times New Roman"/>
          <w:sz w:val="24"/>
          <w:szCs w:val="24"/>
        </w:rPr>
        <w:t xml:space="preserve"> his</w:t>
      </w:r>
      <w:r>
        <w:rPr>
          <w:rFonts w:ascii="Times New Roman" w:hAnsi="Times New Roman" w:cs="Times New Roman"/>
          <w:sz w:val="24"/>
          <w:szCs w:val="24"/>
        </w:rPr>
        <w:t xml:space="preserve"> </w:t>
      </w:r>
      <w:r w:rsidR="008517FF">
        <w:rPr>
          <w:rFonts w:ascii="Times New Roman" w:hAnsi="Times New Roman" w:cs="Times New Roman"/>
          <w:sz w:val="24"/>
          <w:szCs w:val="24"/>
        </w:rPr>
        <w:t>victim</w:t>
      </w:r>
      <w:r>
        <w:rPr>
          <w:rFonts w:ascii="Times New Roman" w:hAnsi="Times New Roman" w:cs="Times New Roman"/>
          <w:sz w:val="24"/>
          <w:szCs w:val="24"/>
        </w:rPr>
        <w:t xml:space="preserve"> to act upon to the latter’s actual, or potential</w:t>
      </w:r>
      <w:r w:rsidR="008517FF">
        <w:rPr>
          <w:rFonts w:ascii="Times New Roman" w:hAnsi="Times New Roman" w:cs="Times New Roman"/>
          <w:sz w:val="24"/>
          <w:szCs w:val="24"/>
        </w:rPr>
        <w:t>,</w:t>
      </w:r>
      <w:r>
        <w:rPr>
          <w:rFonts w:ascii="Times New Roman" w:hAnsi="Times New Roman" w:cs="Times New Roman"/>
          <w:sz w:val="24"/>
          <w:szCs w:val="24"/>
        </w:rPr>
        <w:t xml:space="preserve"> prejudice. (See Innocent </w:t>
      </w:r>
      <w:r w:rsidR="008517FF">
        <w:rPr>
          <w:rFonts w:ascii="Times New Roman" w:hAnsi="Times New Roman" w:cs="Times New Roman"/>
          <w:sz w:val="24"/>
          <w:szCs w:val="24"/>
        </w:rPr>
        <w:t>M</w:t>
      </w:r>
      <w:r w:rsidR="0029558C">
        <w:rPr>
          <w:rFonts w:ascii="Times New Roman" w:hAnsi="Times New Roman" w:cs="Times New Roman"/>
          <w:sz w:val="24"/>
          <w:szCs w:val="24"/>
        </w:rPr>
        <w:t>aja</w:t>
      </w:r>
      <w:r w:rsidR="008517FF">
        <w:rPr>
          <w:rFonts w:ascii="Times New Roman" w:hAnsi="Times New Roman" w:cs="Times New Roman"/>
          <w:i/>
          <w:sz w:val="24"/>
          <w:szCs w:val="24"/>
        </w:rPr>
        <w:t xml:space="preserve"> The Law of</w:t>
      </w:r>
      <w:r w:rsidR="0029558C">
        <w:rPr>
          <w:rFonts w:ascii="Times New Roman" w:hAnsi="Times New Roman" w:cs="Times New Roman"/>
          <w:i/>
          <w:sz w:val="24"/>
          <w:szCs w:val="24"/>
        </w:rPr>
        <w:t xml:space="preserve"> C</w:t>
      </w:r>
      <w:r>
        <w:rPr>
          <w:rFonts w:ascii="Times New Roman" w:hAnsi="Times New Roman" w:cs="Times New Roman"/>
          <w:i/>
          <w:sz w:val="24"/>
          <w:szCs w:val="24"/>
        </w:rPr>
        <w:t>ontract in Zimbabwe,</w:t>
      </w:r>
      <w:r w:rsidR="006A3541">
        <w:rPr>
          <w:rFonts w:ascii="Times New Roman" w:hAnsi="Times New Roman" w:cs="Times New Roman"/>
          <w:sz w:val="24"/>
          <w:szCs w:val="24"/>
        </w:rPr>
        <w:t xml:space="preserve"> p 98; Jo</w:t>
      </w:r>
      <w:r>
        <w:rPr>
          <w:rFonts w:ascii="Times New Roman" w:hAnsi="Times New Roman" w:cs="Times New Roman"/>
          <w:sz w:val="24"/>
          <w:szCs w:val="24"/>
        </w:rPr>
        <w:t xml:space="preserve">nathan Burchell, </w:t>
      </w:r>
      <w:r>
        <w:rPr>
          <w:rFonts w:ascii="Times New Roman" w:hAnsi="Times New Roman" w:cs="Times New Roman"/>
          <w:i/>
          <w:sz w:val="24"/>
          <w:szCs w:val="24"/>
        </w:rPr>
        <w:t xml:space="preserve">Principles of Criminal Law, </w:t>
      </w:r>
      <w:r>
        <w:rPr>
          <w:rFonts w:ascii="Times New Roman" w:hAnsi="Times New Roman" w:cs="Times New Roman"/>
          <w:sz w:val="24"/>
          <w:szCs w:val="24"/>
        </w:rPr>
        <w:t>5 ed p 742)</w:t>
      </w:r>
    </w:p>
    <w:p w:rsidR="00BA066E" w:rsidRDefault="00BA066E" w:rsidP="004202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application does not show that the second respondent made any misrepresentation at all to the applicant. Misrepresentation is an essential element for the delict of fraud. Its absence in the conduct of the second respondent towards the applicant establishes the fact tha</w:t>
      </w:r>
      <w:r w:rsidR="008517FF">
        <w:rPr>
          <w:rFonts w:ascii="Times New Roman" w:hAnsi="Times New Roman" w:cs="Times New Roman"/>
          <w:sz w:val="24"/>
          <w:szCs w:val="24"/>
        </w:rPr>
        <w:t xml:space="preserve">t the former is not </w:t>
      </w:r>
      <w:r w:rsidR="0029558C">
        <w:rPr>
          <w:rFonts w:ascii="Times New Roman" w:hAnsi="Times New Roman" w:cs="Times New Roman"/>
          <w:sz w:val="24"/>
          <w:szCs w:val="24"/>
        </w:rPr>
        <w:t>a</w:t>
      </w:r>
      <w:r w:rsidR="008517FF">
        <w:rPr>
          <w:rFonts w:ascii="Times New Roman" w:hAnsi="Times New Roman" w:cs="Times New Roman"/>
          <w:sz w:val="24"/>
          <w:szCs w:val="24"/>
        </w:rPr>
        <w:t xml:space="preserve"> frauds</w:t>
      </w:r>
      <w:r>
        <w:rPr>
          <w:rFonts w:ascii="Times New Roman" w:hAnsi="Times New Roman" w:cs="Times New Roman"/>
          <w:sz w:val="24"/>
          <w:szCs w:val="24"/>
        </w:rPr>
        <w:t xml:space="preserve">ter </w:t>
      </w:r>
      <w:r w:rsidR="0029558C">
        <w:rPr>
          <w:rFonts w:ascii="Times New Roman" w:hAnsi="Times New Roman" w:cs="Times New Roman"/>
          <w:sz w:val="24"/>
          <w:szCs w:val="24"/>
        </w:rPr>
        <w:t xml:space="preserve">as </w:t>
      </w:r>
      <w:r>
        <w:rPr>
          <w:rFonts w:ascii="Times New Roman" w:hAnsi="Times New Roman" w:cs="Times New Roman"/>
          <w:sz w:val="24"/>
          <w:szCs w:val="24"/>
        </w:rPr>
        <w:t>the latter would have the court believe.</w:t>
      </w:r>
    </w:p>
    <w:p w:rsidR="006240B5" w:rsidRDefault="00BA066E" w:rsidP="004202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
    <w:p w:rsidR="00BA066E" w:rsidRPr="006240B5" w:rsidRDefault="00BA066E" w:rsidP="00DE06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last sentence of para 8 of his founding affidavit, the applicant state as follows:</w:t>
      </w:r>
    </w:p>
    <w:p w:rsidR="00BA066E" w:rsidRDefault="00BA066E" w:rsidP="00BA066E">
      <w:pPr>
        <w:spacing w:after="0" w:line="240" w:lineRule="auto"/>
        <w:ind w:left="720"/>
        <w:jc w:val="both"/>
        <w:rPr>
          <w:rFonts w:ascii="Times New Roman" w:hAnsi="Times New Roman" w:cs="Times New Roman"/>
        </w:rPr>
      </w:pPr>
      <w:r>
        <w:rPr>
          <w:rFonts w:ascii="Times New Roman" w:hAnsi="Times New Roman" w:cs="Times New Roman"/>
        </w:rPr>
        <w:t xml:space="preserve">“I am legally advised that </w:t>
      </w:r>
      <w:r w:rsidR="0029558C">
        <w:rPr>
          <w:rFonts w:ascii="Times New Roman" w:hAnsi="Times New Roman" w:cs="Times New Roman"/>
        </w:rPr>
        <w:t>1</w:t>
      </w:r>
      <w:r w:rsidR="0029558C" w:rsidRPr="0029558C">
        <w:rPr>
          <w:rFonts w:ascii="Times New Roman" w:hAnsi="Times New Roman" w:cs="Times New Roman"/>
          <w:vertAlign w:val="superscript"/>
        </w:rPr>
        <w:t>st</w:t>
      </w:r>
      <w:r w:rsidR="0029558C">
        <w:rPr>
          <w:rFonts w:ascii="Times New Roman" w:hAnsi="Times New Roman" w:cs="Times New Roman"/>
        </w:rPr>
        <w:t xml:space="preserve"> </w:t>
      </w:r>
      <w:r w:rsidR="00600417">
        <w:rPr>
          <w:rFonts w:ascii="Times New Roman" w:hAnsi="Times New Roman" w:cs="Times New Roman"/>
        </w:rPr>
        <w:t>R</w:t>
      </w:r>
      <w:r>
        <w:rPr>
          <w:rFonts w:ascii="Times New Roman" w:hAnsi="Times New Roman" w:cs="Times New Roman"/>
        </w:rPr>
        <w:t>espondent</w:t>
      </w:r>
      <w:r w:rsidR="008517FF">
        <w:rPr>
          <w:rFonts w:ascii="Times New Roman" w:hAnsi="Times New Roman" w:cs="Times New Roman"/>
        </w:rPr>
        <w:t>’s</w:t>
      </w:r>
      <w:r>
        <w:rPr>
          <w:rFonts w:ascii="Times New Roman" w:hAnsi="Times New Roman" w:cs="Times New Roman"/>
        </w:rPr>
        <w:t xml:space="preserve"> conduct is akin to what is known as, ‘</w:t>
      </w:r>
      <w:r>
        <w:rPr>
          <w:rFonts w:ascii="Times New Roman" w:hAnsi="Times New Roman" w:cs="Times New Roman"/>
          <w:u w:val="single"/>
        </w:rPr>
        <w:t>throwing away the shield,</w:t>
      </w:r>
      <w:r>
        <w:rPr>
          <w:rFonts w:ascii="Times New Roman" w:hAnsi="Times New Roman" w:cs="Times New Roman"/>
        </w:rPr>
        <w:t>’</w:t>
      </w:r>
      <w:r w:rsidRPr="00BA066E">
        <w:rPr>
          <w:rFonts w:ascii="Times New Roman" w:hAnsi="Times New Roman" w:cs="Times New Roman"/>
        </w:rPr>
        <w:t xml:space="preserve"> in our criminal</w:t>
      </w:r>
      <w:r>
        <w:rPr>
          <w:rFonts w:ascii="Times New Roman" w:hAnsi="Times New Roman" w:cs="Times New Roman"/>
        </w:rPr>
        <w:t xml:space="preserve"> law”. That is my cause of action.”</w:t>
      </w:r>
    </w:p>
    <w:p w:rsidR="005453BC" w:rsidRDefault="005453BC" w:rsidP="00420230">
      <w:pPr>
        <w:spacing w:after="0" w:line="360" w:lineRule="auto"/>
        <w:jc w:val="both"/>
        <w:rPr>
          <w:rFonts w:ascii="Times New Roman" w:hAnsi="Times New Roman" w:cs="Times New Roman"/>
        </w:rPr>
      </w:pPr>
    </w:p>
    <w:p w:rsidR="005A46A0" w:rsidRDefault="00BA066E" w:rsidP="004202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He did not ex</w:t>
      </w:r>
      <w:r w:rsidR="008517FF">
        <w:rPr>
          <w:rFonts w:ascii="Times New Roman" w:hAnsi="Times New Roman" w:cs="Times New Roman"/>
          <w:sz w:val="24"/>
          <w:szCs w:val="24"/>
        </w:rPr>
        <w:t>plain</w:t>
      </w:r>
      <w:r>
        <w:rPr>
          <w:rFonts w:ascii="Times New Roman" w:hAnsi="Times New Roman" w:cs="Times New Roman"/>
          <w:sz w:val="24"/>
          <w:szCs w:val="24"/>
        </w:rPr>
        <w:t xml:space="preserve"> the meaning and import of the phrase </w:t>
      </w:r>
      <w:r w:rsidR="008517FF" w:rsidRPr="006A3541">
        <w:rPr>
          <w:rFonts w:ascii="Times New Roman" w:hAnsi="Times New Roman" w:cs="Times New Roman"/>
          <w:i/>
          <w:sz w:val="24"/>
          <w:szCs w:val="24"/>
        </w:rPr>
        <w:t>throwing away the shield</w:t>
      </w:r>
      <w:r>
        <w:rPr>
          <w:rFonts w:ascii="Times New Roman" w:hAnsi="Times New Roman" w:cs="Times New Roman"/>
          <w:sz w:val="24"/>
          <w:szCs w:val="24"/>
        </w:rPr>
        <w:t xml:space="preserve">. He </w:t>
      </w:r>
      <w:r w:rsidR="008517FF">
        <w:rPr>
          <w:rFonts w:ascii="Times New Roman" w:hAnsi="Times New Roman" w:cs="Times New Roman"/>
          <w:sz w:val="24"/>
          <w:szCs w:val="24"/>
        </w:rPr>
        <w:t>sim</w:t>
      </w:r>
      <w:r w:rsidR="0029558C">
        <w:rPr>
          <w:rFonts w:ascii="Times New Roman" w:hAnsi="Times New Roman" w:cs="Times New Roman"/>
          <w:sz w:val="24"/>
          <w:szCs w:val="24"/>
        </w:rPr>
        <w:t xml:space="preserve">ply </w:t>
      </w:r>
      <w:r w:rsidR="008517FF">
        <w:rPr>
          <w:rFonts w:ascii="Times New Roman" w:hAnsi="Times New Roman" w:cs="Times New Roman"/>
          <w:sz w:val="24"/>
          <w:szCs w:val="24"/>
        </w:rPr>
        <w:t>made mention</w:t>
      </w:r>
      <w:r>
        <w:rPr>
          <w:rFonts w:ascii="Times New Roman" w:hAnsi="Times New Roman" w:cs="Times New Roman"/>
          <w:sz w:val="24"/>
          <w:szCs w:val="24"/>
        </w:rPr>
        <w:t xml:space="preserve"> of it and left the matter at that. He says the phrase exists in the country’s criminal law. </w:t>
      </w:r>
      <w:r w:rsidR="008517FF">
        <w:rPr>
          <w:rFonts w:ascii="Times New Roman" w:hAnsi="Times New Roman" w:cs="Times New Roman"/>
          <w:sz w:val="24"/>
          <w:szCs w:val="24"/>
        </w:rPr>
        <w:t>The suit was a civil matter. It was not under</w:t>
      </w:r>
      <w:r>
        <w:rPr>
          <w:rFonts w:ascii="Times New Roman" w:hAnsi="Times New Roman" w:cs="Times New Roman"/>
          <w:sz w:val="24"/>
          <w:szCs w:val="24"/>
        </w:rPr>
        <w:t xml:space="preserve"> the criminal law branch of the country’s </w:t>
      </w:r>
      <w:r w:rsidR="00B85667">
        <w:rPr>
          <w:rFonts w:ascii="Times New Roman" w:hAnsi="Times New Roman" w:cs="Times New Roman"/>
          <w:sz w:val="24"/>
          <w:szCs w:val="24"/>
        </w:rPr>
        <w:t>laws. He avers that the phrase constitutes his cause of action. He does not explain</w:t>
      </w:r>
      <w:r w:rsidR="00DE06DE">
        <w:rPr>
          <w:rFonts w:ascii="Times New Roman" w:hAnsi="Times New Roman" w:cs="Times New Roman"/>
          <w:sz w:val="24"/>
          <w:szCs w:val="24"/>
        </w:rPr>
        <w:t xml:space="preserve"> how the </w:t>
      </w:r>
      <w:r w:rsidR="000533F1">
        <w:rPr>
          <w:rFonts w:ascii="Times New Roman" w:hAnsi="Times New Roman" w:cs="Times New Roman"/>
          <w:sz w:val="24"/>
          <w:szCs w:val="24"/>
        </w:rPr>
        <w:t>phrase translates</w:t>
      </w:r>
      <w:r w:rsidR="00DE06DE">
        <w:rPr>
          <w:rFonts w:ascii="Times New Roman" w:hAnsi="Times New Roman" w:cs="Times New Roman"/>
          <w:sz w:val="24"/>
          <w:szCs w:val="24"/>
        </w:rPr>
        <w:t xml:space="preserve"> into his </w:t>
      </w:r>
      <w:r w:rsidR="00F8639A">
        <w:rPr>
          <w:rFonts w:ascii="Times New Roman" w:hAnsi="Times New Roman" w:cs="Times New Roman"/>
          <w:sz w:val="24"/>
          <w:szCs w:val="24"/>
        </w:rPr>
        <w:t>cause</w:t>
      </w:r>
      <w:r w:rsidR="00DE06DE">
        <w:rPr>
          <w:rFonts w:ascii="Times New Roman" w:hAnsi="Times New Roman" w:cs="Times New Roman"/>
          <w:sz w:val="24"/>
          <w:szCs w:val="24"/>
        </w:rPr>
        <w:t xml:space="preserve"> of action. Nor does he explain what his </w:t>
      </w:r>
      <w:r w:rsidR="001813A1">
        <w:rPr>
          <w:rFonts w:ascii="Times New Roman" w:hAnsi="Times New Roman" w:cs="Times New Roman"/>
          <w:sz w:val="24"/>
          <w:szCs w:val="24"/>
        </w:rPr>
        <w:t>cause</w:t>
      </w:r>
      <w:r w:rsidR="00DE06DE">
        <w:rPr>
          <w:rFonts w:ascii="Times New Roman" w:hAnsi="Times New Roman" w:cs="Times New Roman"/>
          <w:sz w:val="24"/>
          <w:szCs w:val="24"/>
        </w:rPr>
        <w:t xml:space="preserve"> of action really is</w:t>
      </w:r>
      <w:r w:rsidR="00B85667">
        <w:rPr>
          <w:rFonts w:ascii="Times New Roman" w:hAnsi="Times New Roman" w:cs="Times New Roman"/>
          <w:sz w:val="24"/>
          <w:szCs w:val="24"/>
        </w:rPr>
        <w:t xml:space="preserve">. </w:t>
      </w:r>
      <w:r w:rsidR="00B85667">
        <w:rPr>
          <w:rFonts w:ascii="Times New Roman" w:hAnsi="Times New Roman" w:cs="Times New Roman"/>
          <w:i/>
          <w:sz w:val="24"/>
          <w:szCs w:val="24"/>
        </w:rPr>
        <w:t xml:space="preserve">A fortiori </w:t>
      </w:r>
      <w:r w:rsidR="00B85667">
        <w:rPr>
          <w:rFonts w:ascii="Times New Roman" w:hAnsi="Times New Roman" w:cs="Times New Roman"/>
          <w:sz w:val="24"/>
          <w:szCs w:val="24"/>
        </w:rPr>
        <w:t>when he alleges that his cause of action was against the first, and not the second</w:t>
      </w:r>
      <w:r w:rsidR="00DE06DE">
        <w:rPr>
          <w:rFonts w:ascii="Times New Roman" w:hAnsi="Times New Roman" w:cs="Times New Roman"/>
          <w:sz w:val="24"/>
          <w:szCs w:val="24"/>
        </w:rPr>
        <w:t>,</w:t>
      </w:r>
      <w:r w:rsidR="005453BC">
        <w:rPr>
          <w:rFonts w:ascii="Times New Roman" w:hAnsi="Times New Roman" w:cs="Times New Roman"/>
          <w:sz w:val="24"/>
          <w:szCs w:val="24"/>
        </w:rPr>
        <w:t xml:space="preserve"> </w:t>
      </w:r>
      <w:r w:rsidR="00B85667">
        <w:rPr>
          <w:rFonts w:ascii="Times New Roman" w:hAnsi="Times New Roman" w:cs="Times New Roman"/>
          <w:sz w:val="24"/>
          <w:szCs w:val="24"/>
        </w:rPr>
        <w:t>respondent.</w:t>
      </w:r>
    </w:p>
    <w:p w:rsidR="00B85667" w:rsidRDefault="00B85667" w:rsidP="004202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reiterate that no cause of action arise</w:t>
      </w:r>
      <w:r w:rsidR="008517FF">
        <w:rPr>
          <w:rFonts w:ascii="Times New Roman" w:hAnsi="Times New Roman" w:cs="Times New Roman"/>
          <w:sz w:val="24"/>
          <w:szCs w:val="24"/>
        </w:rPr>
        <w:t>s</w:t>
      </w:r>
      <w:r>
        <w:rPr>
          <w:rFonts w:ascii="Times New Roman" w:hAnsi="Times New Roman" w:cs="Times New Roman"/>
          <w:sz w:val="24"/>
          <w:szCs w:val="24"/>
        </w:rPr>
        <w:t xml:space="preserve"> from a meaningless statement. What the applicant stated in the abovementioned paragraph of his affidavit was totally devoid of </w:t>
      </w:r>
      <w:r w:rsidR="008517FF">
        <w:rPr>
          <w:rFonts w:ascii="Times New Roman" w:hAnsi="Times New Roman" w:cs="Times New Roman"/>
          <w:sz w:val="24"/>
          <w:szCs w:val="24"/>
        </w:rPr>
        <w:t xml:space="preserve">meaning. </w:t>
      </w:r>
      <w:r>
        <w:rPr>
          <w:rFonts w:ascii="Times New Roman" w:hAnsi="Times New Roman" w:cs="Times New Roman"/>
          <w:sz w:val="24"/>
          <w:szCs w:val="24"/>
        </w:rPr>
        <w:t xml:space="preserve">Nothing could be founded upon it. He did not explain what the first respondent did which he said was akin to what is known as </w:t>
      </w:r>
      <w:r w:rsidR="006A3541">
        <w:rPr>
          <w:rFonts w:ascii="Times New Roman" w:hAnsi="Times New Roman" w:cs="Times New Roman"/>
          <w:sz w:val="24"/>
          <w:szCs w:val="24"/>
        </w:rPr>
        <w:t>“</w:t>
      </w:r>
      <w:r w:rsidR="006A3541">
        <w:rPr>
          <w:rFonts w:ascii="Times New Roman" w:hAnsi="Times New Roman" w:cs="Times New Roman"/>
          <w:i/>
          <w:sz w:val="24"/>
          <w:szCs w:val="24"/>
        </w:rPr>
        <w:t>throwing away the shield</w:t>
      </w:r>
      <w:r w:rsidRPr="006A3541">
        <w:rPr>
          <w:rFonts w:ascii="Times New Roman" w:hAnsi="Times New Roman" w:cs="Times New Roman"/>
          <w:i/>
          <w:sz w:val="24"/>
          <w:szCs w:val="24"/>
        </w:rPr>
        <w:t xml:space="preserve"> in our criminal law</w:t>
      </w:r>
      <w:r>
        <w:rPr>
          <w:rFonts w:ascii="Times New Roman" w:hAnsi="Times New Roman" w:cs="Times New Roman"/>
          <w:sz w:val="24"/>
          <w:szCs w:val="24"/>
        </w:rPr>
        <w:t>.</w:t>
      </w:r>
      <w:r w:rsidR="006A3541">
        <w:rPr>
          <w:rFonts w:ascii="Times New Roman" w:hAnsi="Times New Roman" w:cs="Times New Roman"/>
          <w:sz w:val="24"/>
          <w:szCs w:val="24"/>
        </w:rPr>
        <w:t>”</w:t>
      </w:r>
      <w:r>
        <w:rPr>
          <w:rFonts w:ascii="Times New Roman" w:hAnsi="Times New Roman" w:cs="Times New Roman"/>
          <w:sz w:val="24"/>
          <w:szCs w:val="24"/>
        </w:rPr>
        <w:t xml:space="preserve"> He, in short, did not state his stat</w:t>
      </w:r>
      <w:r w:rsidR="006A3541">
        <w:rPr>
          <w:rFonts w:ascii="Times New Roman" w:hAnsi="Times New Roman" w:cs="Times New Roman"/>
          <w:sz w:val="24"/>
          <w:szCs w:val="24"/>
        </w:rPr>
        <w:t xml:space="preserve">ement of claim in a clear and </w:t>
      </w:r>
      <w:r>
        <w:rPr>
          <w:rFonts w:ascii="Times New Roman" w:hAnsi="Times New Roman" w:cs="Times New Roman"/>
          <w:sz w:val="24"/>
          <w:szCs w:val="24"/>
        </w:rPr>
        <w:t>concise manner.  He remained vague and completely embarrassing, so to speak.</w:t>
      </w:r>
    </w:p>
    <w:p w:rsidR="00B85667" w:rsidRDefault="00B85667" w:rsidP="004202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stated in the </w:t>
      </w:r>
      <w:r w:rsidR="006A3541">
        <w:rPr>
          <w:rFonts w:ascii="Times New Roman" w:hAnsi="Times New Roman" w:cs="Times New Roman"/>
          <w:sz w:val="24"/>
          <w:szCs w:val="24"/>
        </w:rPr>
        <w:t>last</w:t>
      </w:r>
      <w:r w:rsidR="00095041">
        <w:rPr>
          <w:rFonts w:ascii="Times New Roman" w:hAnsi="Times New Roman" w:cs="Times New Roman"/>
          <w:sz w:val="24"/>
          <w:szCs w:val="24"/>
        </w:rPr>
        <w:t xml:space="preserve"> sentence of paragraph (</w:t>
      </w:r>
      <w:r w:rsidR="006A3541">
        <w:rPr>
          <w:rFonts w:ascii="Times New Roman" w:hAnsi="Times New Roman" w:cs="Times New Roman"/>
          <w:sz w:val="24"/>
          <w:szCs w:val="24"/>
        </w:rPr>
        <w:t>10</w:t>
      </w:r>
      <w:r>
        <w:rPr>
          <w:rFonts w:ascii="Times New Roman" w:hAnsi="Times New Roman" w:cs="Times New Roman"/>
          <w:sz w:val="24"/>
          <w:szCs w:val="24"/>
        </w:rPr>
        <w:t>) of his affidavit as follows:</w:t>
      </w:r>
    </w:p>
    <w:p w:rsidR="00B85667" w:rsidRDefault="00B85667" w:rsidP="00B85667">
      <w:pPr>
        <w:spacing w:after="0" w:line="240" w:lineRule="auto"/>
        <w:ind w:left="720"/>
        <w:jc w:val="both"/>
        <w:rPr>
          <w:rFonts w:ascii="Times New Roman" w:hAnsi="Times New Roman" w:cs="Times New Roman"/>
        </w:rPr>
      </w:pPr>
      <w:r>
        <w:rPr>
          <w:rFonts w:ascii="Times New Roman" w:hAnsi="Times New Roman" w:cs="Times New Roman"/>
        </w:rPr>
        <w:t xml:space="preserve">“… it is my contention that </w:t>
      </w:r>
      <w:r w:rsidR="006C140D">
        <w:rPr>
          <w:rFonts w:ascii="Times New Roman" w:hAnsi="Times New Roman" w:cs="Times New Roman"/>
        </w:rPr>
        <w:t>1</w:t>
      </w:r>
      <w:r w:rsidR="006C140D">
        <w:rPr>
          <w:rFonts w:ascii="Times New Roman" w:hAnsi="Times New Roman" w:cs="Times New Roman"/>
          <w:vertAlign w:val="superscript"/>
        </w:rPr>
        <w:t xml:space="preserve">st </w:t>
      </w:r>
      <w:r w:rsidR="006C140D">
        <w:rPr>
          <w:rFonts w:ascii="Times New Roman" w:hAnsi="Times New Roman" w:cs="Times New Roman"/>
        </w:rPr>
        <w:t>R</w:t>
      </w:r>
      <w:r>
        <w:rPr>
          <w:rFonts w:ascii="Times New Roman" w:hAnsi="Times New Roman" w:cs="Times New Roman"/>
        </w:rPr>
        <w:t>espondent acquired the property in a tra</w:t>
      </w:r>
      <w:r w:rsidR="006A3541">
        <w:rPr>
          <w:rFonts w:ascii="Times New Roman" w:hAnsi="Times New Roman" w:cs="Times New Roman"/>
        </w:rPr>
        <w:t xml:space="preserve">nsaction </w:t>
      </w:r>
      <w:r>
        <w:rPr>
          <w:rFonts w:ascii="Times New Roman" w:hAnsi="Times New Roman" w:cs="Times New Roman"/>
        </w:rPr>
        <w:t xml:space="preserve">which was executed with the primary objective of defeating the execution of any judgment which </w:t>
      </w:r>
      <w:r w:rsidR="006A3541">
        <w:rPr>
          <w:rFonts w:ascii="Times New Roman" w:hAnsi="Times New Roman" w:cs="Times New Roman"/>
        </w:rPr>
        <w:t>I</w:t>
      </w:r>
      <w:r>
        <w:rPr>
          <w:rFonts w:ascii="Times New Roman" w:hAnsi="Times New Roman" w:cs="Times New Roman"/>
        </w:rPr>
        <w:t xml:space="preserve"> might obtain against </w:t>
      </w:r>
      <w:r w:rsidR="0029558C">
        <w:rPr>
          <w:rFonts w:ascii="Times New Roman" w:hAnsi="Times New Roman" w:cs="Times New Roman"/>
        </w:rPr>
        <w:t>2</w:t>
      </w:r>
      <w:r w:rsidR="0029558C" w:rsidRPr="0029558C">
        <w:rPr>
          <w:rFonts w:ascii="Times New Roman" w:hAnsi="Times New Roman" w:cs="Times New Roman"/>
          <w:vertAlign w:val="superscript"/>
        </w:rPr>
        <w:t>nd</w:t>
      </w:r>
      <w:r w:rsidR="0029558C">
        <w:rPr>
          <w:rFonts w:ascii="Times New Roman" w:hAnsi="Times New Roman" w:cs="Times New Roman"/>
        </w:rPr>
        <w:t xml:space="preserve"> </w:t>
      </w:r>
      <w:r w:rsidR="00600417">
        <w:rPr>
          <w:rFonts w:ascii="Times New Roman" w:hAnsi="Times New Roman" w:cs="Times New Roman"/>
        </w:rPr>
        <w:t>R</w:t>
      </w:r>
      <w:r>
        <w:rPr>
          <w:rFonts w:ascii="Times New Roman" w:hAnsi="Times New Roman" w:cs="Times New Roman"/>
        </w:rPr>
        <w:t>espondent.”</w:t>
      </w:r>
    </w:p>
    <w:p w:rsidR="00B85667" w:rsidRDefault="005B6E39" w:rsidP="00B85667">
      <w:pPr>
        <w:spacing w:after="0" w:line="240" w:lineRule="auto"/>
        <w:jc w:val="both"/>
        <w:rPr>
          <w:rFonts w:ascii="Times New Roman" w:hAnsi="Times New Roman" w:cs="Times New Roman"/>
        </w:rPr>
      </w:pPr>
      <w:r>
        <w:rPr>
          <w:rFonts w:ascii="Times New Roman" w:hAnsi="Times New Roman" w:cs="Times New Roman"/>
        </w:rPr>
        <w:tab/>
      </w:r>
    </w:p>
    <w:p w:rsidR="005B6E39" w:rsidRDefault="005B6E39" w:rsidP="005B6E39">
      <w:pPr>
        <w:spacing w:after="0" w:line="360" w:lineRule="auto"/>
        <w:jc w:val="both"/>
        <w:rPr>
          <w:rFonts w:ascii="Times New Roman" w:hAnsi="Times New Roman" w:cs="Times New Roman"/>
          <w:sz w:val="24"/>
          <w:szCs w:val="24"/>
        </w:rPr>
      </w:pPr>
      <w:r>
        <w:rPr>
          <w:rFonts w:ascii="Times New Roman" w:hAnsi="Times New Roman" w:cs="Times New Roman"/>
        </w:rPr>
        <w:tab/>
      </w:r>
      <w:r w:rsidRPr="005B6E39">
        <w:rPr>
          <w:rFonts w:ascii="Times New Roman" w:hAnsi="Times New Roman" w:cs="Times New Roman"/>
          <w:sz w:val="24"/>
          <w:szCs w:val="24"/>
        </w:rPr>
        <w:t>The tone of the above statement places his case into the criminal law topic of defeating or obstructing the course of justice. Jonathan Burchille’s</w:t>
      </w:r>
      <w:r>
        <w:rPr>
          <w:rFonts w:ascii="Times New Roman" w:hAnsi="Times New Roman" w:cs="Times New Roman"/>
          <w:sz w:val="24"/>
          <w:szCs w:val="24"/>
        </w:rPr>
        <w:t xml:space="preserve"> </w:t>
      </w:r>
      <w:r>
        <w:rPr>
          <w:rFonts w:ascii="Times New Roman" w:hAnsi="Times New Roman" w:cs="Times New Roman"/>
          <w:i/>
          <w:sz w:val="24"/>
          <w:szCs w:val="24"/>
        </w:rPr>
        <w:t xml:space="preserve">Principles of Criminal Law </w:t>
      </w:r>
      <w:r>
        <w:rPr>
          <w:rFonts w:ascii="Times New Roman" w:hAnsi="Times New Roman" w:cs="Times New Roman"/>
          <w:sz w:val="24"/>
          <w:szCs w:val="24"/>
        </w:rPr>
        <w:t xml:space="preserve">5 ed states, at p 851 that the crime of defeating of obstructing the course of justice </w:t>
      </w:r>
      <w:r w:rsidR="006A3541">
        <w:rPr>
          <w:rFonts w:ascii="Times New Roman" w:hAnsi="Times New Roman" w:cs="Times New Roman"/>
          <w:sz w:val="24"/>
          <w:szCs w:val="24"/>
        </w:rPr>
        <w:t>consists</w:t>
      </w:r>
      <w:r>
        <w:rPr>
          <w:rFonts w:ascii="Times New Roman" w:hAnsi="Times New Roman" w:cs="Times New Roman"/>
          <w:sz w:val="24"/>
          <w:szCs w:val="24"/>
        </w:rPr>
        <w:t xml:space="preserve"> </w:t>
      </w:r>
      <w:r w:rsidRPr="005B6E39">
        <w:rPr>
          <w:rFonts w:ascii="Times New Roman" w:hAnsi="Times New Roman" w:cs="Times New Roman"/>
        </w:rPr>
        <w:t>in</w:t>
      </w:r>
      <w:r>
        <w:rPr>
          <w:rFonts w:ascii="Times New Roman" w:hAnsi="Times New Roman" w:cs="Times New Roman"/>
          <w:sz w:val="24"/>
          <w:szCs w:val="24"/>
        </w:rPr>
        <w:t>:</w:t>
      </w:r>
    </w:p>
    <w:p w:rsidR="005B6E39" w:rsidRDefault="005B6E39" w:rsidP="005B6E39">
      <w:pPr>
        <w:spacing w:after="0" w:line="240" w:lineRule="auto"/>
        <w:ind w:left="720" w:firstLine="60"/>
        <w:jc w:val="both"/>
        <w:rPr>
          <w:rFonts w:ascii="Times New Roman" w:hAnsi="Times New Roman" w:cs="Times New Roman"/>
        </w:rPr>
      </w:pPr>
      <w:r>
        <w:rPr>
          <w:rFonts w:ascii="Times New Roman" w:hAnsi="Times New Roman" w:cs="Times New Roman"/>
          <w:sz w:val="24"/>
          <w:szCs w:val="24"/>
        </w:rPr>
        <w:t>“</w:t>
      </w:r>
      <w:r>
        <w:rPr>
          <w:rFonts w:ascii="Times New Roman" w:hAnsi="Times New Roman" w:cs="Times New Roman"/>
        </w:rPr>
        <w:t>unlawfully doing an act which is intended to defeat or obstruct the due administration of justice.”</w:t>
      </w:r>
    </w:p>
    <w:p w:rsidR="005B6E39" w:rsidRDefault="005B6E39" w:rsidP="005B6E39">
      <w:pPr>
        <w:spacing w:after="0" w:line="240" w:lineRule="auto"/>
        <w:ind w:left="720" w:firstLine="60"/>
        <w:jc w:val="both"/>
        <w:rPr>
          <w:rFonts w:ascii="Times New Roman" w:hAnsi="Times New Roman" w:cs="Times New Roman"/>
        </w:rPr>
      </w:pPr>
    </w:p>
    <w:p w:rsidR="005B6E39" w:rsidRDefault="005B6E39" w:rsidP="00095041">
      <w:pPr>
        <w:spacing w:after="0" w:line="360" w:lineRule="auto"/>
        <w:ind w:left="90"/>
        <w:jc w:val="both"/>
        <w:rPr>
          <w:rFonts w:ascii="Times New Roman" w:hAnsi="Times New Roman" w:cs="Times New Roman"/>
          <w:sz w:val="24"/>
          <w:szCs w:val="24"/>
        </w:rPr>
      </w:pPr>
      <w:r>
        <w:rPr>
          <w:rFonts w:ascii="Times New Roman" w:hAnsi="Times New Roman" w:cs="Times New Roman"/>
        </w:rPr>
        <w:tab/>
      </w:r>
      <w:r w:rsidR="00095041">
        <w:rPr>
          <w:rFonts w:ascii="Times New Roman" w:hAnsi="Times New Roman" w:cs="Times New Roman"/>
          <w:sz w:val="24"/>
          <w:szCs w:val="24"/>
        </w:rPr>
        <w:t>What the respondent</w:t>
      </w:r>
      <w:r w:rsidR="006A3541">
        <w:rPr>
          <w:rFonts w:ascii="Times New Roman" w:hAnsi="Times New Roman" w:cs="Times New Roman"/>
          <w:sz w:val="24"/>
          <w:szCs w:val="24"/>
        </w:rPr>
        <w:t>s</w:t>
      </w:r>
      <w:r w:rsidR="00095041">
        <w:rPr>
          <w:rFonts w:ascii="Times New Roman" w:hAnsi="Times New Roman" w:cs="Times New Roman"/>
          <w:sz w:val="24"/>
          <w:szCs w:val="24"/>
        </w:rPr>
        <w:t xml:space="preserve"> did was not unlawful. No law prohibited them from making a donation </w:t>
      </w:r>
      <w:r w:rsidR="006A3541">
        <w:rPr>
          <w:rFonts w:ascii="Times New Roman" w:hAnsi="Times New Roman" w:cs="Times New Roman"/>
          <w:sz w:val="24"/>
          <w:szCs w:val="24"/>
        </w:rPr>
        <w:t xml:space="preserve">to </w:t>
      </w:r>
      <w:r w:rsidR="00095041">
        <w:rPr>
          <w:rFonts w:ascii="Times New Roman" w:hAnsi="Times New Roman" w:cs="Times New Roman"/>
          <w:sz w:val="24"/>
          <w:szCs w:val="24"/>
        </w:rPr>
        <w:t xml:space="preserve">each other. If what they did was a crime, the applicant would have reported them to the police so that the law is allowed to take its course. The fact that he did not press charges against them </w:t>
      </w:r>
      <w:r w:rsidR="006A3541">
        <w:rPr>
          <w:rFonts w:ascii="Times New Roman" w:hAnsi="Times New Roman" w:cs="Times New Roman"/>
          <w:sz w:val="24"/>
          <w:szCs w:val="24"/>
        </w:rPr>
        <w:t>supports</w:t>
      </w:r>
      <w:r w:rsidR="00095041">
        <w:rPr>
          <w:rFonts w:ascii="Times New Roman" w:hAnsi="Times New Roman" w:cs="Times New Roman"/>
          <w:sz w:val="24"/>
          <w:szCs w:val="24"/>
        </w:rPr>
        <w:t xml:space="preserve"> the view which I hold of this matter. The learned author states at p 862 of his legal text book that:</w:t>
      </w:r>
    </w:p>
    <w:p w:rsidR="008B3044" w:rsidRDefault="008B3044" w:rsidP="00095041">
      <w:pPr>
        <w:spacing w:after="0" w:line="240" w:lineRule="auto"/>
        <w:ind w:left="720"/>
        <w:jc w:val="both"/>
        <w:rPr>
          <w:rFonts w:ascii="Times New Roman" w:hAnsi="Times New Roman" w:cs="Times New Roman"/>
        </w:rPr>
      </w:pPr>
    </w:p>
    <w:p w:rsidR="008B3044" w:rsidRDefault="008B3044" w:rsidP="00095041">
      <w:pPr>
        <w:spacing w:after="0" w:line="240" w:lineRule="auto"/>
        <w:ind w:left="720"/>
        <w:jc w:val="both"/>
        <w:rPr>
          <w:rFonts w:ascii="Times New Roman" w:hAnsi="Times New Roman" w:cs="Times New Roman"/>
        </w:rPr>
      </w:pPr>
    </w:p>
    <w:p w:rsidR="008B3044" w:rsidRDefault="008B3044" w:rsidP="00095041">
      <w:pPr>
        <w:spacing w:after="0" w:line="240" w:lineRule="auto"/>
        <w:ind w:left="720"/>
        <w:jc w:val="both"/>
        <w:rPr>
          <w:rFonts w:ascii="Times New Roman" w:hAnsi="Times New Roman" w:cs="Times New Roman"/>
        </w:rPr>
      </w:pPr>
    </w:p>
    <w:p w:rsidR="008B3044" w:rsidRDefault="008B3044" w:rsidP="00095041">
      <w:pPr>
        <w:spacing w:after="0" w:line="240" w:lineRule="auto"/>
        <w:ind w:left="720"/>
        <w:jc w:val="both"/>
        <w:rPr>
          <w:rFonts w:ascii="Times New Roman" w:hAnsi="Times New Roman" w:cs="Times New Roman"/>
        </w:rPr>
      </w:pPr>
    </w:p>
    <w:p w:rsidR="00095041" w:rsidRDefault="00095041" w:rsidP="00095041">
      <w:pPr>
        <w:spacing w:after="0" w:line="240" w:lineRule="auto"/>
        <w:ind w:left="720"/>
        <w:jc w:val="both"/>
        <w:rPr>
          <w:rFonts w:ascii="Times New Roman" w:hAnsi="Times New Roman" w:cs="Times New Roman"/>
        </w:rPr>
      </w:pPr>
      <w:r>
        <w:rPr>
          <w:rFonts w:ascii="Times New Roman" w:hAnsi="Times New Roman" w:cs="Times New Roman"/>
        </w:rPr>
        <w:t xml:space="preserve">“The judicial administration of justice is completed upon the pronouncement by a court of its judgment and </w:t>
      </w:r>
      <w:r>
        <w:rPr>
          <w:rFonts w:ascii="Times New Roman" w:hAnsi="Times New Roman" w:cs="Times New Roman"/>
          <w:u w:val="single"/>
        </w:rPr>
        <w:t>anything which delays or obstruct</w:t>
      </w:r>
      <w:r w:rsidR="006A3541">
        <w:rPr>
          <w:rFonts w:ascii="Times New Roman" w:hAnsi="Times New Roman" w:cs="Times New Roman"/>
          <w:u w:val="single"/>
        </w:rPr>
        <w:t>s</w:t>
      </w:r>
      <w:r>
        <w:rPr>
          <w:rFonts w:ascii="Times New Roman" w:hAnsi="Times New Roman" w:cs="Times New Roman"/>
          <w:u w:val="single"/>
        </w:rPr>
        <w:t xml:space="preserve">  the execution of judgment is not proper subject matter for a criminal charge of de</w:t>
      </w:r>
      <w:r w:rsidR="006A3541">
        <w:rPr>
          <w:rFonts w:ascii="Times New Roman" w:hAnsi="Times New Roman" w:cs="Times New Roman"/>
          <w:u w:val="single"/>
        </w:rPr>
        <w:t>feating</w:t>
      </w:r>
      <w:r>
        <w:rPr>
          <w:rFonts w:ascii="Times New Roman" w:hAnsi="Times New Roman" w:cs="Times New Roman"/>
          <w:u w:val="single"/>
        </w:rPr>
        <w:t xml:space="preserve"> or obstructing the course of justice</w:t>
      </w:r>
      <w:r w:rsidRPr="00095041">
        <w:rPr>
          <w:rFonts w:ascii="Times New Roman" w:hAnsi="Times New Roman" w:cs="Times New Roman"/>
        </w:rPr>
        <w:t>.” (emphasis added)</w:t>
      </w:r>
    </w:p>
    <w:p w:rsidR="00095041" w:rsidRDefault="00095041" w:rsidP="00095041">
      <w:pPr>
        <w:spacing w:after="0" w:line="240" w:lineRule="auto"/>
        <w:ind w:left="720"/>
        <w:jc w:val="both"/>
        <w:rPr>
          <w:rFonts w:ascii="Times New Roman" w:hAnsi="Times New Roman" w:cs="Times New Roman"/>
        </w:rPr>
      </w:pPr>
    </w:p>
    <w:p w:rsidR="00095041" w:rsidRDefault="00095041" w:rsidP="00095041">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Applying the principle which was laid down in the above underlined words</w:t>
      </w:r>
      <w:r w:rsidR="006A3541">
        <w:rPr>
          <w:rFonts w:ascii="Times New Roman" w:hAnsi="Times New Roman" w:cs="Times New Roman"/>
          <w:sz w:val="24"/>
          <w:szCs w:val="24"/>
        </w:rPr>
        <w:t>,</w:t>
      </w:r>
      <w:r>
        <w:rPr>
          <w:rFonts w:ascii="Times New Roman" w:hAnsi="Times New Roman" w:cs="Times New Roman"/>
          <w:sz w:val="24"/>
          <w:szCs w:val="24"/>
        </w:rPr>
        <w:t xml:space="preserve"> it is not an offence for the respondents to </w:t>
      </w:r>
      <w:r w:rsidR="006A3541">
        <w:rPr>
          <w:rFonts w:ascii="Times New Roman" w:hAnsi="Times New Roman" w:cs="Times New Roman"/>
          <w:sz w:val="24"/>
          <w:szCs w:val="24"/>
        </w:rPr>
        <w:t>have acted</w:t>
      </w:r>
      <w:r>
        <w:rPr>
          <w:rFonts w:ascii="Times New Roman" w:hAnsi="Times New Roman" w:cs="Times New Roman"/>
          <w:sz w:val="24"/>
          <w:szCs w:val="24"/>
        </w:rPr>
        <w:t xml:space="preserve"> as they did. Whilst they delayed or obstructed the execution of the applicant’s judgment against the second respondent, they do not in any way, qualify to be charged under the offence of defeating or obstructing the course of justice. Nor can they be properly sued for the same. </w:t>
      </w:r>
      <w:r>
        <w:rPr>
          <w:rFonts w:ascii="Times New Roman" w:hAnsi="Times New Roman" w:cs="Times New Roman"/>
          <w:i/>
          <w:sz w:val="24"/>
          <w:szCs w:val="24"/>
        </w:rPr>
        <w:t>A fortiori</w:t>
      </w:r>
      <w:r>
        <w:rPr>
          <w:rFonts w:ascii="Times New Roman" w:hAnsi="Times New Roman" w:cs="Times New Roman"/>
          <w:sz w:val="24"/>
          <w:szCs w:val="24"/>
        </w:rPr>
        <w:t xml:space="preserve"> when the donation which they made to each other pre-e</w:t>
      </w:r>
      <w:r w:rsidR="006A3541">
        <w:rPr>
          <w:rFonts w:ascii="Times New Roman" w:hAnsi="Times New Roman" w:cs="Times New Roman"/>
          <w:sz w:val="24"/>
          <w:szCs w:val="24"/>
        </w:rPr>
        <w:t>xisted</w:t>
      </w:r>
      <w:r w:rsidR="00802D9C">
        <w:rPr>
          <w:rFonts w:ascii="Times New Roman" w:hAnsi="Times New Roman" w:cs="Times New Roman"/>
          <w:sz w:val="24"/>
          <w:szCs w:val="24"/>
        </w:rPr>
        <w:t xml:space="preserve"> </w:t>
      </w:r>
      <w:r w:rsidR="00156B40">
        <w:rPr>
          <w:rFonts w:ascii="Times New Roman" w:hAnsi="Times New Roman" w:cs="Times New Roman"/>
          <w:sz w:val="24"/>
          <w:szCs w:val="24"/>
        </w:rPr>
        <w:t>the applicant’s judgment under HH 224/16 or the applicant’s company’s judgment under HC 6516/09.</w:t>
      </w:r>
    </w:p>
    <w:p w:rsidR="00156B40" w:rsidRDefault="00156B40" w:rsidP="000950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tone of application shows that the applicant is not challenging the </w:t>
      </w:r>
      <w:r w:rsidR="008B3044">
        <w:rPr>
          <w:rFonts w:ascii="Times New Roman" w:hAnsi="Times New Roman" w:cs="Times New Roman"/>
          <w:sz w:val="24"/>
          <w:szCs w:val="24"/>
        </w:rPr>
        <w:t>validity of the donation. He, indeed, c</w:t>
      </w:r>
      <w:r w:rsidR="006A3541">
        <w:rPr>
          <w:rFonts w:ascii="Times New Roman" w:hAnsi="Times New Roman" w:cs="Times New Roman"/>
          <w:sz w:val="24"/>
          <w:szCs w:val="24"/>
        </w:rPr>
        <w:t>annot challenge that in the face</w:t>
      </w:r>
      <w:r w:rsidR="008B3044">
        <w:rPr>
          <w:rFonts w:ascii="Times New Roman" w:hAnsi="Times New Roman" w:cs="Times New Roman"/>
          <w:sz w:val="24"/>
          <w:szCs w:val="24"/>
        </w:rPr>
        <w:t xml:space="preserve"> of Annexure </w:t>
      </w:r>
      <w:r w:rsidR="006A3541">
        <w:rPr>
          <w:rFonts w:ascii="Times New Roman" w:hAnsi="Times New Roman" w:cs="Times New Roman"/>
          <w:sz w:val="24"/>
          <w:szCs w:val="24"/>
        </w:rPr>
        <w:t>K</w:t>
      </w:r>
      <w:r w:rsidR="008B3044">
        <w:rPr>
          <w:rFonts w:ascii="Times New Roman" w:hAnsi="Times New Roman" w:cs="Times New Roman"/>
          <w:sz w:val="24"/>
          <w:szCs w:val="24"/>
        </w:rPr>
        <w:t xml:space="preserve"> and L which the first and the second respondents </w:t>
      </w:r>
      <w:r w:rsidR="006A3541">
        <w:rPr>
          <w:rFonts w:ascii="Times New Roman" w:hAnsi="Times New Roman" w:cs="Times New Roman"/>
          <w:sz w:val="24"/>
          <w:szCs w:val="24"/>
        </w:rPr>
        <w:t xml:space="preserve">executed </w:t>
      </w:r>
      <w:r w:rsidR="008B3044">
        <w:rPr>
          <w:rFonts w:ascii="Times New Roman" w:hAnsi="Times New Roman" w:cs="Times New Roman"/>
          <w:sz w:val="24"/>
          <w:szCs w:val="24"/>
        </w:rPr>
        <w:t xml:space="preserve">on 8 August 2008. The donation is valid and so is the </w:t>
      </w:r>
      <w:r w:rsidR="0029558C">
        <w:rPr>
          <w:rFonts w:ascii="Times New Roman" w:hAnsi="Times New Roman" w:cs="Times New Roman"/>
          <w:sz w:val="24"/>
          <w:szCs w:val="24"/>
        </w:rPr>
        <w:t>transfer</w:t>
      </w:r>
      <w:r w:rsidR="008B3044">
        <w:rPr>
          <w:rFonts w:ascii="Times New Roman" w:hAnsi="Times New Roman" w:cs="Times New Roman"/>
          <w:sz w:val="24"/>
          <w:szCs w:val="24"/>
        </w:rPr>
        <w:t xml:space="preserve"> of the property into the name of the first, by the second</w:t>
      </w:r>
      <w:r w:rsidR="006A3541">
        <w:rPr>
          <w:rFonts w:ascii="Times New Roman" w:hAnsi="Times New Roman" w:cs="Times New Roman"/>
          <w:sz w:val="24"/>
          <w:szCs w:val="24"/>
        </w:rPr>
        <w:t>,</w:t>
      </w:r>
      <w:r w:rsidR="008B3044">
        <w:rPr>
          <w:rFonts w:ascii="Times New Roman" w:hAnsi="Times New Roman" w:cs="Times New Roman"/>
          <w:sz w:val="24"/>
          <w:szCs w:val="24"/>
        </w:rPr>
        <w:t xml:space="preserve"> respondent.</w:t>
      </w:r>
    </w:p>
    <w:p w:rsidR="008B3044" w:rsidRDefault="008B3044" w:rsidP="000950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What the applicant appears to challenge is the motive of the donation. He is, in effect, challenging the intention of the respondents. He is saying the second respondent engaged in a fraudulent act when he donated the property to his wife and later, </w:t>
      </w:r>
      <w:r w:rsidR="006A3541">
        <w:rPr>
          <w:rFonts w:ascii="Times New Roman" w:hAnsi="Times New Roman" w:cs="Times New Roman"/>
          <w:sz w:val="24"/>
          <w:szCs w:val="24"/>
        </w:rPr>
        <w:t>passed</w:t>
      </w:r>
      <w:r>
        <w:rPr>
          <w:rFonts w:ascii="Times New Roman" w:hAnsi="Times New Roman" w:cs="Times New Roman"/>
          <w:sz w:val="24"/>
          <w:szCs w:val="24"/>
        </w:rPr>
        <w:t xml:space="preserve"> title in the same to her.</w:t>
      </w:r>
    </w:p>
    <w:p w:rsidR="008B3044" w:rsidRDefault="008B3044" w:rsidP="000950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reiterate that the conduct of the respondents does not fall into the </w:t>
      </w:r>
      <w:r w:rsidR="006A3541">
        <w:rPr>
          <w:rFonts w:ascii="Times New Roman" w:hAnsi="Times New Roman" w:cs="Times New Roman"/>
          <w:sz w:val="24"/>
          <w:szCs w:val="24"/>
        </w:rPr>
        <w:t xml:space="preserve">realms </w:t>
      </w:r>
      <w:r>
        <w:rPr>
          <w:rFonts w:ascii="Times New Roman" w:hAnsi="Times New Roman" w:cs="Times New Roman"/>
          <w:sz w:val="24"/>
          <w:szCs w:val="24"/>
        </w:rPr>
        <w:t>of the delict of fraud. Further, the unchalleng</w:t>
      </w:r>
      <w:r w:rsidR="006A3541">
        <w:rPr>
          <w:rFonts w:ascii="Times New Roman" w:hAnsi="Times New Roman" w:cs="Times New Roman"/>
          <w:sz w:val="24"/>
          <w:szCs w:val="24"/>
        </w:rPr>
        <w:t xml:space="preserve">ed </w:t>
      </w:r>
      <w:r>
        <w:rPr>
          <w:rFonts w:ascii="Times New Roman" w:hAnsi="Times New Roman" w:cs="Times New Roman"/>
          <w:sz w:val="24"/>
          <w:szCs w:val="24"/>
        </w:rPr>
        <w:t>statement of the second respondent is that there was no litigation against him when he donated the property to his w</w:t>
      </w:r>
      <w:r w:rsidR="006A3541">
        <w:rPr>
          <w:rFonts w:ascii="Times New Roman" w:hAnsi="Times New Roman" w:cs="Times New Roman"/>
          <w:sz w:val="24"/>
          <w:szCs w:val="24"/>
        </w:rPr>
        <w:t>ife. What he stated is the unva</w:t>
      </w:r>
      <w:r>
        <w:rPr>
          <w:rFonts w:ascii="Times New Roman" w:hAnsi="Times New Roman" w:cs="Times New Roman"/>
          <w:sz w:val="24"/>
          <w:szCs w:val="24"/>
        </w:rPr>
        <w:t xml:space="preserve">nished truth. The property was not encumbered at all when the donation took place. The only encumbrance which then </w:t>
      </w:r>
      <w:r w:rsidR="006A3541">
        <w:rPr>
          <w:rFonts w:ascii="Times New Roman" w:hAnsi="Times New Roman" w:cs="Times New Roman"/>
          <w:sz w:val="24"/>
          <w:szCs w:val="24"/>
        </w:rPr>
        <w:t xml:space="preserve">existed </w:t>
      </w:r>
      <w:r>
        <w:rPr>
          <w:rFonts w:ascii="Times New Roman" w:hAnsi="Times New Roman" w:cs="Times New Roman"/>
          <w:sz w:val="24"/>
          <w:szCs w:val="24"/>
        </w:rPr>
        <w:t xml:space="preserve">was the </w:t>
      </w:r>
      <w:r w:rsidR="006A3541">
        <w:rPr>
          <w:rFonts w:ascii="Times New Roman" w:hAnsi="Times New Roman" w:cs="Times New Roman"/>
          <w:sz w:val="24"/>
          <w:szCs w:val="24"/>
        </w:rPr>
        <w:t>servitude</w:t>
      </w:r>
      <w:r>
        <w:rPr>
          <w:rFonts w:ascii="Times New Roman" w:hAnsi="Times New Roman" w:cs="Times New Roman"/>
          <w:sz w:val="24"/>
          <w:szCs w:val="24"/>
        </w:rPr>
        <w:t xml:space="preserve"> of </w:t>
      </w:r>
      <w:r w:rsidR="006A3541">
        <w:rPr>
          <w:rFonts w:ascii="Times New Roman" w:hAnsi="Times New Roman" w:cs="Times New Roman"/>
          <w:sz w:val="24"/>
          <w:szCs w:val="24"/>
        </w:rPr>
        <w:t>usufruct</w:t>
      </w:r>
      <w:r>
        <w:rPr>
          <w:rFonts w:ascii="Times New Roman" w:hAnsi="Times New Roman" w:cs="Times New Roman"/>
          <w:sz w:val="24"/>
          <w:szCs w:val="24"/>
        </w:rPr>
        <w:t xml:space="preserve"> which he registered in favour of his wife in 2005.</w:t>
      </w:r>
      <w:r w:rsidR="006A3541">
        <w:rPr>
          <w:rFonts w:ascii="Times New Roman" w:hAnsi="Times New Roman" w:cs="Times New Roman"/>
          <w:sz w:val="24"/>
          <w:szCs w:val="24"/>
        </w:rPr>
        <w:t xml:space="preserve"> That encumbrance did not opera</w:t>
      </w:r>
      <w:r w:rsidR="0029558C">
        <w:rPr>
          <w:rFonts w:ascii="Times New Roman" w:hAnsi="Times New Roman" w:cs="Times New Roman"/>
          <w:sz w:val="24"/>
          <w:szCs w:val="24"/>
        </w:rPr>
        <w:t>te in favour of the applicant. I</w:t>
      </w:r>
      <w:r w:rsidR="006A3541">
        <w:rPr>
          <w:rFonts w:ascii="Times New Roman" w:hAnsi="Times New Roman" w:cs="Times New Roman"/>
          <w:sz w:val="24"/>
          <w:szCs w:val="24"/>
        </w:rPr>
        <w:t>t operated in favour of the first respondent.</w:t>
      </w:r>
    </w:p>
    <w:p w:rsidR="008B3044" w:rsidRDefault="008B3044" w:rsidP="000950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had every right to protect his interest in the property. He </w:t>
      </w:r>
      <w:r w:rsidR="006A3541">
        <w:rPr>
          <w:rFonts w:ascii="Times New Roman" w:hAnsi="Times New Roman" w:cs="Times New Roman"/>
          <w:sz w:val="24"/>
          <w:szCs w:val="24"/>
        </w:rPr>
        <w:t>must</w:t>
      </w:r>
      <w:r>
        <w:rPr>
          <w:rFonts w:ascii="Times New Roman" w:hAnsi="Times New Roman" w:cs="Times New Roman"/>
          <w:sz w:val="24"/>
          <w:szCs w:val="24"/>
        </w:rPr>
        <w:t xml:space="preserve"> have realised that the second respondent was moving to outwit him when the </w:t>
      </w:r>
      <w:r w:rsidR="006A3541">
        <w:rPr>
          <w:rFonts w:ascii="Times New Roman" w:hAnsi="Times New Roman" w:cs="Times New Roman"/>
          <w:sz w:val="24"/>
          <w:szCs w:val="24"/>
        </w:rPr>
        <w:t xml:space="preserve">servitude </w:t>
      </w:r>
      <w:r>
        <w:rPr>
          <w:rFonts w:ascii="Times New Roman" w:hAnsi="Times New Roman" w:cs="Times New Roman"/>
          <w:sz w:val="24"/>
          <w:szCs w:val="24"/>
        </w:rPr>
        <w:t xml:space="preserve">of </w:t>
      </w:r>
      <w:r w:rsidR="006A3541">
        <w:rPr>
          <w:rFonts w:ascii="Times New Roman" w:hAnsi="Times New Roman" w:cs="Times New Roman"/>
          <w:sz w:val="24"/>
          <w:szCs w:val="24"/>
        </w:rPr>
        <w:t>usufruct</w:t>
      </w:r>
      <w:r>
        <w:rPr>
          <w:rFonts w:ascii="Times New Roman" w:hAnsi="Times New Roman" w:cs="Times New Roman"/>
          <w:sz w:val="24"/>
          <w:szCs w:val="24"/>
        </w:rPr>
        <w:t xml:space="preserve"> </w:t>
      </w:r>
      <w:r w:rsidR="00B65FB5">
        <w:rPr>
          <w:rFonts w:ascii="Times New Roman" w:hAnsi="Times New Roman" w:cs="Times New Roman"/>
          <w:sz w:val="24"/>
          <w:szCs w:val="24"/>
        </w:rPr>
        <w:t>w</w:t>
      </w:r>
      <w:r>
        <w:rPr>
          <w:rFonts w:ascii="Times New Roman" w:hAnsi="Times New Roman" w:cs="Times New Roman"/>
          <w:sz w:val="24"/>
          <w:szCs w:val="24"/>
        </w:rPr>
        <w:t>as registered. He could easily have</w:t>
      </w:r>
      <w:r w:rsidR="00B65FB5">
        <w:rPr>
          <w:rFonts w:ascii="Times New Roman" w:hAnsi="Times New Roman" w:cs="Times New Roman"/>
          <w:sz w:val="24"/>
          <w:szCs w:val="24"/>
        </w:rPr>
        <w:t xml:space="preserve"> registered a caveat against the property as a way of </w:t>
      </w:r>
      <w:r w:rsidR="006A3541">
        <w:rPr>
          <w:rFonts w:ascii="Times New Roman" w:hAnsi="Times New Roman" w:cs="Times New Roman"/>
          <w:sz w:val="24"/>
          <w:szCs w:val="24"/>
        </w:rPr>
        <w:t>securing</w:t>
      </w:r>
      <w:r w:rsidR="00B65FB5">
        <w:rPr>
          <w:rFonts w:ascii="Times New Roman" w:hAnsi="Times New Roman" w:cs="Times New Roman"/>
          <w:sz w:val="24"/>
          <w:szCs w:val="24"/>
        </w:rPr>
        <w:t xml:space="preserve"> his interests in the same. He did not do so. He advan</w:t>
      </w:r>
      <w:r w:rsidR="006A3541">
        <w:rPr>
          <w:rFonts w:ascii="Times New Roman" w:hAnsi="Times New Roman" w:cs="Times New Roman"/>
          <w:sz w:val="24"/>
          <w:szCs w:val="24"/>
        </w:rPr>
        <w:t>ced no reason at all for his in</w:t>
      </w:r>
      <w:r w:rsidR="00B65FB5">
        <w:rPr>
          <w:rFonts w:ascii="Times New Roman" w:hAnsi="Times New Roman" w:cs="Times New Roman"/>
          <w:sz w:val="24"/>
          <w:szCs w:val="24"/>
        </w:rPr>
        <w:t>action.</w:t>
      </w:r>
    </w:p>
    <w:p w:rsidR="00904908" w:rsidRDefault="00904908" w:rsidP="00095041">
      <w:pPr>
        <w:spacing w:after="0" w:line="360" w:lineRule="auto"/>
        <w:jc w:val="both"/>
        <w:rPr>
          <w:rFonts w:ascii="Times New Roman" w:hAnsi="Times New Roman" w:cs="Times New Roman"/>
          <w:sz w:val="24"/>
          <w:szCs w:val="24"/>
        </w:rPr>
      </w:pPr>
    </w:p>
    <w:p w:rsidR="00904908" w:rsidRDefault="00904908" w:rsidP="00095041">
      <w:pPr>
        <w:spacing w:after="0" w:line="360" w:lineRule="auto"/>
        <w:jc w:val="both"/>
        <w:rPr>
          <w:rFonts w:ascii="Times New Roman" w:hAnsi="Times New Roman" w:cs="Times New Roman"/>
          <w:sz w:val="24"/>
          <w:szCs w:val="24"/>
        </w:rPr>
      </w:pPr>
    </w:p>
    <w:p w:rsidR="00904908" w:rsidRDefault="00904908" w:rsidP="00095041">
      <w:pPr>
        <w:spacing w:after="0" w:line="360" w:lineRule="auto"/>
        <w:jc w:val="both"/>
        <w:rPr>
          <w:rFonts w:ascii="Times New Roman" w:hAnsi="Times New Roman" w:cs="Times New Roman"/>
          <w:sz w:val="24"/>
          <w:szCs w:val="24"/>
        </w:rPr>
      </w:pPr>
    </w:p>
    <w:p w:rsidR="00B65FB5" w:rsidRDefault="00B65FB5" w:rsidP="000950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He has no one else to blame but himself. The </w:t>
      </w:r>
      <w:r>
        <w:rPr>
          <w:rFonts w:ascii="Times New Roman" w:hAnsi="Times New Roman" w:cs="Times New Roman"/>
          <w:i/>
          <w:sz w:val="24"/>
          <w:szCs w:val="24"/>
        </w:rPr>
        <w:t>dictum</w:t>
      </w:r>
      <w:r>
        <w:rPr>
          <w:rFonts w:ascii="Times New Roman" w:hAnsi="Times New Roman" w:cs="Times New Roman"/>
          <w:sz w:val="24"/>
          <w:szCs w:val="24"/>
        </w:rPr>
        <w:t xml:space="preserve"> which </w:t>
      </w:r>
      <w:r>
        <w:rPr>
          <w:rFonts w:ascii="Times New Roman" w:hAnsi="Times New Roman" w:cs="Times New Roman"/>
        </w:rPr>
        <w:t xml:space="preserve">SANDURA JA </w:t>
      </w:r>
      <w:r>
        <w:rPr>
          <w:rFonts w:ascii="Times New Roman" w:hAnsi="Times New Roman" w:cs="Times New Roman"/>
          <w:sz w:val="24"/>
          <w:szCs w:val="24"/>
        </w:rPr>
        <w:t xml:space="preserve">laid down in </w:t>
      </w:r>
      <w:r>
        <w:rPr>
          <w:rFonts w:ascii="Times New Roman" w:hAnsi="Times New Roman" w:cs="Times New Roman"/>
          <w:i/>
          <w:sz w:val="24"/>
          <w:szCs w:val="24"/>
        </w:rPr>
        <w:t xml:space="preserve">Beitbridge Rural District Council </w:t>
      </w:r>
      <w:r>
        <w:rPr>
          <w:rFonts w:ascii="Times New Roman" w:hAnsi="Times New Roman" w:cs="Times New Roman"/>
          <w:sz w:val="24"/>
          <w:szCs w:val="24"/>
        </w:rPr>
        <w:t xml:space="preserve">v </w:t>
      </w:r>
      <w:r>
        <w:rPr>
          <w:rFonts w:ascii="Times New Roman" w:hAnsi="Times New Roman" w:cs="Times New Roman"/>
          <w:i/>
          <w:sz w:val="24"/>
          <w:szCs w:val="24"/>
        </w:rPr>
        <w:t>Ru</w:t>
      </w:r>
      <w:r w:rsidR="00802D9C">
        <w:rPr>
          <w:rFonts w:ascii="Times New Roman" w:hAnsi="Times New Roman" w:cs="Times New Roman"/>
          <w:i/>
          <w:sz w:val="24"/>
          <w:szCs w:val="24"/>
        </w:rPr>
        <w:t xml:space="preserve">ssell Construction Co. </w:t>
      </w:r>
      <w:r>
        <w:rPr>
          <w:rFonts w:ascii="Times New Roman" w:hAnsi="Times New Roman" w:cs="Times New Roman"/>
          <w:sz w:val="24"/>
          <w:szCs w:val="24"/>
        </w:rPr>
        <w:t>1998 (2) ZLR 190 (</w:t>
      </w:r>
      <w:r w:rsidR="00802D9C">
        <w:rPr>
          <w:rFonts w:ascii="Times New Roman" w:hAnsi="Times New Roman" w:cs="Times New Roman"/>
          <w:sz w:val="24"/>
          <w:szCs w:val="24"/>
        </w:rPr>
        <w:t>S) 193 G remains</w:t>
      </w:r>
      <w:r>
        <w:rPr>
          <w:rFonts w:ascii="Times New Roman" w:hAnsi="Times New Roman" w:cs="Times New Roman"/>
          <w:sz w:val="24"/>
          <w:szCs w:val="24"/>
        </w:rPr>
        <w:t xml:space="preserve"> appropriate to his situation. It reads:</w:t>
      </w:r>
    </w:p>
    <w:p w:rsidR="00B65FB5" w:rsidRDefault="00B65FB5" w:rsidP="00095041">
      <w:pPr>
        <w:spacing w:after="0" w:line="36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“the law will help the vigilant and not the sluggard.”</w:t>
      </w:r>
    </w:p>
    <w:p w:rsidR="00B65FB5" w:rsidRDefault="00B65FB5" w:rsidP="00095041">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The applicant was not vigilant. He was sluggard in the manner that he dealt with his case. His explanation for not placing a caveat on the property leaves a lot to be desired.</w:t>
      </w:r>
    </w:p>
    <w:p w:rsidR="00B65FB5" w:rsidRDefault="00B65FB5" w:rsidP="000950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conduct of the</w:t>
      </w:r>
      <w:r w:rsidR="00802D9C">
        <w:rPr>
          <w:rFonts w:ascii="Times New Roman" w:hAnsi="Times New Roman" w:cs="Times New Roman"/>
          <w:sz w:val="24"/>
          <w:szCs w:val="24"/>
        </w:rPr>
        <w:t xml:space="preserve"> applicant is akin to that of a s</w:t>
      </w:r>
      <w:r>
        <w:rPr>
          <w:rFonts w:ascii="Times New Roman" w:hAnsi="Times New Roman" w:cs="Times New Roman"/>
          <w:sz w:val="24"/>
          <w:szCs w:val="24"/>
        </w:rPr>
        <w:t>table keeper who closes the stable when the horses have already bolted. It is an effort in vain. It is not rewarding at all.</w:t>
      </w:r>
    </w:p>
    <w:p w:rsidR="00B65FB5" w:rsidRDefault="00B65FB5" w:rsidP="000950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law allows couples to donate properties to each other. There is nothing wrong with that. This is what the respondent</w:t>
      </w:r>
      <w:r w:rsidR="00DE06DE">
        <w:rPr>
          <w:rFonts w:ascii="Times New Roman" w:hAnsi="Times New Roman" w:cs="Times New Roman"/>
          <w:sz w:val="24"/>
          <w:szCs w:val="24"/>
        </w:rPr>
        <w:t>s</w:t>
      </w:r>
      <w:r>
        <w:rPr>
          <w:rFonts w:ascii="Times New Roman" w:hAnsi="Times New Roman" w:cs="Times New Roman"/>
          <w:sz w:val="24"/>
          <w:szCs w:val="24"/>
        </w:rPr>
        <w:t xml:space="preserve"> did. They violated no law at all.</w:t>
      </w:r>
    </w:p>
    <w:p w:rsidR="00DE06DE" w:rsidRDefault="00B65FB5" w:rsidP="000950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applicant’s stated cause of action was all sorts of things. He alleged fraud and he failed to prove it. He alleged some meaningless </w:t>
      </w:r>
      <w:r w:rsidR="007E048C">
        <w:rPr>
          <w:rFonts w:ascii="Times New Roman" w:hAnsi="Times New Roman" w:cs="Times New Roman"/>
          <w:sz w:val="24"/>
          <w:szCs w:val="24"/>
        </w:rPr>
        <w:t>phrase. He failed to elaborate w</w:t>
      </w:r>
      <w:r>
        <w:rPr>
          <w:rFonts w:ascii="Times New Roman" w:hAnsi="Times New Roman" w:cs="Times New Roman"/>
          <w:sz w:val="24"/>
          <w:szCs w:val="24"/>
        </w:rPr>
        <w:t xml:space="preserve">hat he intended to convey by it. He alleged </w:t>
      </w:r>
      <w:r w:rsidR="00DE06DE">
        <w:rPr>
          <w:rFonts w:ascii="Times New Roman" w:hAnsi="Times New Roman" w:cs="Times New Roman"/>
          <w:sz w:val="24"/>
          <w:szCs w:val="24"/>
        </w:rPr>
        <w:t>that the respondents</w:t>
      </w:r>
      <w:r>
        <w:rPr>
          <w:rFonts w:ascii="Times New Roman" w:hAnsi="Times New Roman" w:cs="Times New Roman"/>
          <w:sz w:val="24"/>
          <w:szCs w:val="24"/>
        </w:rPr>
        <w:t xml:space="preserve"> defeat</w:t>
      </w:r>
      <w:r w:rsidR="00DE06DE">
        <w:rPr>
          <w:rFonts w:ascii="Times New Roman" w:hAnsi="Times New Roman" w:cs="Times New Roman"/>
          <w:sz w:val="24"/>
          <w:szCs w:val="24"/>
        </w:rPr>
        <w:t>ed</w:t>
      </w:r>
      <w:r>
        <w:rPr>
          <w:rFonts w:ascii="Times New Roman" w:hAnsi="Times New Roman" w:cs="Times New Roman"/>
          <w:sz w:val="24"/>
          <w:szCs w:val="24"/>
        </w:rPr>
        <w:t xml:space="preserve"> the course of justice. He did not say how the</w:t>
      </w:r>
      <w:r w:rsidR="00DE06DE">
        <w:rPr>
          <w:rFonts w:ascii="Times New Roman" w:hAnsi="Times New Roman" w:cs="Times New Roman"/>
          <w:sz w:val="24"/>
          <w:szCs w:val="24"/>
        </w:rPr>
        <w:t>y</w:t>
      </w:r>
      <w:r>
        <w:rPr>
          <w:rFonts w:ascii="Times New Roman" w:hAnsi="Times New Roman" w:cs="Times New Roman"/>
          <w:sz w:val="24"/>
          <w:szCs w:val="24"/>
        </w:rPr>
        <w:t xml:space="preserve"> defeated or obstructed the course of justice. </w:t>
      </w:r>
      <w:r>
        <w:rPr>
          <w:rFonts w:ascii="Times New Roman" w:hAnsi="Times New Roman" w:cs="Times New Roman"/>
          <w:i/>
          <w:sz w:val="24"/>
          <w:szCs w:val="24"/>
        </w:rPr>
        <w:t xml:space="preserve">A fortiori </w:t>
      </w:r>
      <w:r w:rsidR="0029558C">
        <w:rPr>
          <w:rFonts w:ascii="Times New Roman" w:hAnsi="Times New Roman" w:cs="Times New Roman"/>
          <w:sz w:val="24"/>
          <w:szCs w:val="24"/>
        </w:rPr>
        <w:t xml:space="preserve">when all what they did </w:t>
      </w:r>
      <w:r w:rsidR="00DE06DE">
        <w:rPr>
          <w:rFonts w:ascii="Times New Roman" w:hAnsi="Times New Roman" w:cs="Times New Roman"/>
          <w:sz w:val="24"/>
          <w:szCs w:val="24"/>
        </w:rPr>
        <w:t>– servitude</w:t>
      </w:r>
      <w:r w:rsidR="00802D9C">
        <w:rPr>
          <w:rFonts w:ascii="Times New Roman" w:hAnsi="Times New Roman" w:cs="Times New Roman"/>
          <w:sz w:val="24"/>
          <w:szCs w:val="24"/>
        </w:rPr>
        <w:t xml:space="preserve"> of usufruct, </w:t>
      </w:r>
      <w:r>
        <w:rPr>
          <w:rFonts w:ascii="Times New Roman" w:hAnsi="Times New Roman" w:cs="Times New Roman"/>
          <w:sz w:val="24"/>
          <w:szCs w:val="24"/>
        </w:rPr>
        <w:t>donation and transfer of property</w:t>
      </w:r>
      <w:r w:rsidR="00FC6245">
        <w:rPr>
          <w:rFonts w:ascii="Times New Roman" w:hAnsi="Times New Roman" w:cs="Times New Roman"/>
          <w:sz w:val="24"/>
          <w:szCs w:val="24"/>
        </w:rPr>
        <w:t xml:space="preserve"> –</w:t>
      </w:r>
      <w:r w:rsidR="007E048C">
        <w:rPr>
          <w:rFonts w:ascii="Times New Roman" w:hAnsi="Times New Roman" w:cs="Times New Roman"/>
          <w:sz w:val="24"/>
          <w:szCs w:val="24"/>
        </w:rPr>
        <w:t xml:space="preserve"> </w:t>
      </w:r>
      <w:r w:rsidR="00FC6245">
        <w:rPr>
          <w:rFonts w:ascii="Times New Roman" w:hAnsi="Times New Roman" w:cs="Times New Roman"/>
          <w:sz w:val="24"/>
          <w:szCs w:val="24"/>
        </w:rPr>
        <w:t>preceded the judgment</w:t>
      </w:r>
      <w:r w:rsidR="00DE06DE">
        <w:rPr>
          <w:rFonts w:ascii="Times New Roman" w:hAnsi="Times New Roman" w:cs="Times New Roman"/>
          <w:sz w:val="24"/>
          <w:szCs w:val="24"/>
        </w:rPr>
        <w:t>s which his company and him</w:t>
      </w:r>
      <w:r w:rsidR="00FC6245">
        <w:rPr>
          <w:rFonts w:ascii="Times New Roman" w:hAnsi="Times New Roman" w:cs="Times New Roman"/>
          <w:sz w:val="24"/>
          <w:szCs w:val="24"/>
        </w:rPr>
        <w:t xml:space="preserve"> obtained against the second respondent. </w:t>
      </w:r>
    </w:p>
    <w:p w:rsidR="00B65FB5" w:rsidRDefault="00FC6245" w:rsidP="00DE06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DE06DE">
        <w:rPr>
          <w:rFonts w:ascii="Times New Roman" w:hAnsi="Times New Roman" w:cs="Times New Roman"/>
          <w:sz w:val="24"/>
          <w:szCs w:val="24"/>
        </w:rPr>
        <w:t>second respondent</w:t>
      </w:r>
      <w:r>
        <w:rPr>
          <w:rFonts w:ascii="Times New Roman" w:hAnsi="Times New Roman" w:cs="Times New Roman"/>
          <w:sz w:val="24"/>
          <w:szCs w:val="24"/>
        </w:rPr>
        <w:t xml:space="preserve"> cannot be held liable for having out</w:t>
      </w:r>
      <w:r w:rsidR="00DB6355">
        <w:rPr>
          <w:rFonts w:ascii="Times New Roman" w:hAnsi="Times New Roman" w:cs="Times New Roman"/>
          <w:sz w:val="24"/>
          <w:szCs w:val="24"/>
        </w:rPr>
        <w:t>witted him.</w:t>
      </w:r>
      <w:r>
        <w:rPr>
          <w:rFonts w:ascii="Times New Roman" w:hAnsi="Times New Roman" w:cs="Times New Roman"/>
          <w:sz w:val="24"/>
          <w:szCs w:val="24"/>
        </w:rPr>
        <w:t xml:space="preserve"> He moved </w:t>
      </w:r>
      <w:r w:rsidR="00DB6355">
        <w:rPr>
          <w:rFonts w:ascii="Times New Roman" w:hAnsi="Times New Roman" w:cs="Times New Roman"/>
          <w:sz w:val="24"/>
          <w:szCs w:val="24"/>
        </w:rPr>
        <w:t>faster</w:t>
      </w:r>
      <w:r>
        <w:rPr>
          <w:rFonts w:ascii="Times New Roman" w:hAnsi="Times New Roman" w:cs="Times New Roman"/>
          <w:sz w:val="24"/>
          <w:szCs w:val="24"/>
        </w:rPr>
        <w:t xml:space="preserve"> than the </w:t>
      </w:r>
      <w:r w:rsidR="00802D9C">
        <w:rPr>
          <w:rFonts w:ascii="Times New Roman" w:hAnsi="Times New Roman" w:cs="Times New Roman"/>
          <w:sz w:val="24"/>
          <w:szCs w:val="24"/>
        </w:rPr>
        <w:t xml:space="preserve">applicant </w:t>
      </w:r>
      <w:r>
        <w:rPr>
          <w:rFonts w:ascii="Times New Roman" w:hAnsi="Times New Roman" w:cs="Times New Roman"/>
          <w:sz w:val="24"/>
          <w:szCs w:val="24"/>
        </w:rPr>
        <w:t xml:space="preserve">was able to do. It was, therefore, for the mentioned reason that the applicant </w:t>
      </w:r>
      <w:r w:rsidR="00DB6355">
        <w:rPr>
          <w:rFonts w:ascii="Times New Roman" w:hAnsi="Times New Roman" w:cs="Times New Roman"/>
          <w:sz w:val="24"/>
          <w:szCs w:val="24"/>
        </w:rPr>
        <w:t xml:space="preserve">gropped </w:t>
      </w:r>
      <w:r>
        <w:rPr>
          <w:rFonts w:ascii="Times New Roman" w:hAnsi="Times New Roman" w:cs="Times New Roman"/>
          <w:sz w:val="24"/>
          <w:szCs w:val="24"/>
        </w:rPr>
        <w:t xml:space="preserve">for words which he hoped would </w:t>
      </w:r>
      <w:r w:rsidR="00DB6355">
        <w:rPr>
          <w:rFonts w:ascii="Times New Roman" w:hAnsi="Times New Roman" w:cs="Times New Roman"/>
          <w:sz w:val="24"/>
          <w:szCs w:val="24"/>
        </w:rPr>
        <w:t>constitute</w:t>
      </w:r>
      <w:r>
        <w:rPr>
          <w:rFonts w:ascii="Times New Roman" w:hAnsi="Times New Roman" w:cs="Times New Roman"/>
          <w:sz w:val="24"/>
          <w:szCs w:val="24"/>
        </w:rPr>
        <w:t xml:space="preserve"> his cause of action. He, unfortunately for himself, stated none.</w:t>
      </w:r>
    </w:p>
    <w:p w:rsidR="00FC6245" w:rsidRDefault="00FC6245" w:rsidP="000950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 failed to prove his case on a balance of probabilities. His application cannot stand. It is, accordingly, dismissed with costs.</w:t>
      </w:r>
    </w:p>
    <w:p w:rsidR="00FC6245" w:rsidRDefault="00FC6245" w:rsidP="00095041">
      <w:pPr>
        <w:spacing w:after="0" w:line="360" w:lineRule="auto"/>
        <w:jc w:val="both"/>
        <w:rPr>
          <w:rFonts w:ascii="Times New Roman" w:hAnsi="Times New Roman" w:cs="Times New Roman"/>
          <w:sz w:val="24"/>
          <w:szCs w:val="24"/>
        </w:rPr>
      </w:pPr>
    </w:p>
    <w:p w:rsidR="00FC6245" w:rsidRDefault="00FC6245" w:rsidP="00095041">
      <w:pPr>
        <w:spacing w:after="0" w:line="360" w:lineRule="auto"/>
        <w:jc w:val="both"/>
        <w:rPr>
          <w:rFonts w:ascii="Times New Roman" w:hAnsi="Times New Roman" w:cs="Times New Roman"/>
          <w:sz w:val="24"/>
          <w:szCs w:val="24"/>
        </w:rPr>
      </w:pPr>
    </w:p>
    <w:p w:rsidR="00FC6245" w:rsidRDefault="00FC6245" w:rsidP="00095041">
      <w:pPr>
        <w:spacing w:after="0" w:line="360" w:lineRule="auto"/>
        <w:jc w:val="both"/>
        <w:rPr>
          <w:rFonts w:ascii="Times New Roman" w:hAnsi="Times New Roman" w:cs="Times New Roman"/>
          <w:sz w:val="24"/>
          <w:szCs w:val="24"/>
        </w:rPr>
      </w:pPr>
    </w:p>
    <w:p w:rsidR="00FC6245" w:rsidRDefault="00FC6245" w:rsidP="00FC6245">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Jakachira &amp; Company, </w:t>
      </w:r>
      <w:r>
        <w:rPr>
          <w:rFonts w:ascii="Times New Roman" w:hAnsi="Times New Roman" w:cs="Times New Roman"/>
          <w:sz w:val="24"/>
          <w:szCs w:val="24"/>
        </w:rPr>
        <w:t>applicant’s legal practitioners</w:t>
      </w:r>
    </w:p>
    <w:p w:rsidR="005B6E39" w:rsidRPr="005B6E39" w:rsidRDefault="00FC6245" w:rsidP="00FC7889">
      <w:pPr>
        <w:spacing w:after="0" w:line="240" w:lineRule="auto"/>
        <w:jc w:val="both"/>
        <w:rPr>
          <w:rFonts w:ascii="Times New Roman" w:hAnsi="Times New Roman" w:cs="Times New Roman"/>
        </w:rPr>
      </w:pPr>
      <w:r>
        <w:rPr>
          <w:rFonts w:ascii="Times New Roman" w:hAnsi="Times New Roman" w:cs="Times New Roman"/>
          <w:i/>
          <w:sz w:val="24"/>
          <w:szCs w:val="24"/>
        </w:rPr>
        <w:t xml:space="preserve">Messrs Bvekwa Legal Practice, </w:t>
      </w:r>
      <w:r w:rsidR="00FC7889">
        <w:rPr>
          <w:rFonts w:ascii="Times New Roman" w:hAnsi="Times New Roman" w:cs="Times New Roman"/>
          <w:sz w:val="24"/>
          <w:szCs w:val="24"/>
        </w:rPr>
        <w:t>1</w:t>
      </w:r>
      <w:r w:rsidR="00FC7889" w:rsidRPr="00FC7889">
        <w:rPr>
          <w:rFonts w:ascii="Times New Roman" w:hAnsi="Times New Roman" w:cs="Times New Roman"/>
          <w:sz w:val="24"/>
          <w:szCs w:val="24"/>
          <w:vertAlign w:val="superscript"/>
        </w:rPr>
        <w:t>st</w:t>
      </w:r>
      <w:r w:rsidR="00FC7889">
        <w:rPr>
          <w:rFonts w:ascii="Times New Roman" w:hAnsi="Times New Roman" w:cs="Times New Roman"/>
          <w:sz w:val="24"/>
          <w:szCs w:val="24"/>
        </w:rPr>
        <w:t xml:space="preserve"> </w:t>
      </w:r>
      <w:r>
        <w:rPr>
          <w:rFonts w:ascii="Times New Roman" w:hAnsi="Times New Roman" w:cs="Times New Roman"/>
          <w:sz w:val="24"/>
          <w:szCs w:val="24"/>
        </w:rPr>
        <w:t>&amp; 2</w:t>
      </w:r>
      <w:r w:rsidRPr="00FC6245">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legal practitioners</w:t>
      </w:r>
      <w:r w:rsidR="005B6E39">
        <w:rPr>
          <w:rFonts w:ascii="Times New Roman" w:hAnsi="Times New Roman" w:cs="Times New Roman"/>
        </w:rPr>
        <w:tab/>
      </w:r>
    </w:p>
    <w:p w:rsidR="00E1396A" w:rsidRPr="00E1396A" w:rsidRDefault="00E1396A" w:rsidP="00FC6245">
      <w:pPr>
        <w:spacing w:after="0" w:line="240" w:lineRule="auto"/>
        <w:ind w:left="360"/>
        <w:jc w:val="both"/>
        <w:rPr>
          <w:rFonts w:ascii="Times New Roman" w:hAnsi="Times New Roman" w:cs="Times New Roman"/>
          <w:sz w:val="24"/>
          <w:szCs w:val="24"/>
        </w:rPr>
      </w:pPr>
    </w:p>
    <w:p w:rsidR="008723CB" w:rsidRDefault="00EF3D73" w:rsidP="00FC62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8723CB" w:rsidRPr="008723CB" w:rsidRDefault="00EF3D73" w:rsidP="000950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550C44" w:rsidRPr="00550C44" w:rsidRDefault="00550C44" w:rsidP="00550C44">
      <w:pPr>
        <w:jc w:val="both"/>
        <w:rPr>
          <w:rFonts w:ascii="Times New Roman" w:hAnsi="Times New Roman" w:cs="Times New Roman"/>
          <w:sz w:val="24"/>
          <w:szCs w:val="24"/>
        </w:rPr>
      </w:pPr>
    </w:p>
    <w:sectPr w:rsidR="00550C44" w:rsidRPr="00550C4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155" w:rsidRDefault="00354155" w:rsidP="004F0B2E">
      <w:pPr>
        <w:spacing w:after="0" w:line="240" w:lineRule="auto"/>
      </w:pPr>
      <w:r>
        <w:separator/>
      </w:r>
    </w:p>
  </w:endnote>
  <w:endnote w:type="continuationSeparator" w:id="0">
    <w:p w:rsidR="00354155" w:rsidRDefault="00354155" w:rsidP="004F0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155" w:rsidRDefault="00354155" w:rsidP="004F0B2E">
      <w:pPr>
        <w:spacing w:after="0" w:line="240" w:lineRule="auto"/>
      </w:pPr>
      <w:r>
        <w:separator/>
      </w:r>
    </w:p>
  </w:footnote>
  <w:footnote w:type="continuationSeparator" w:id="0">
    <w:p w:rsidR="00354155" w:rsidRDefault="00354155" w:rsidP="004F0B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037579"/>
      <w:docPartObj>
        <w:docPartGallery w:val="Page Numbers (Top of Page)"/>
        <w:docPartUnique/>
      </w:docPartObj>
    </w:sdtPr>
    <w:sdtEndPr>
      <w:rPr>
        <w:noProof/>
      </w:rPr>
    </w:sdtEndPr>
    <w:sdtContent>
      <w:p w:rsidR="00095041" w:rsidRDefault="00095041">
        <w:pPr>
          <w:pStyle w:val="Header"/>
          <w:jc w:val="right"/>
        </w:pPr>
        <w:r>
          <w:fldChar w:fldCharType="begin"/>
        </w:r>
        <w:r>
          <w:instrText xml:space="preserve"> PAGE   \* MERGEFORMAT </w:instrText>
        </w:r>
        <w:r>
          <w:fldChar w:fldCharType="separate"/>
        </w:r>
        <w:r w:rsidR="00865EFB">
          <w:rPr>
            <w:noProof/>
          </w:rPr>
          <w:t>1</w:t>
        </w:r>
        <w:r>
          <w:rPr>
            <w:noProof/>
          </w:rPr>
          <w:fldChar w:fldCharType="end"/>
        </w:r>
      </w:p>
    </w:sdtContent>
  </w:sdt>
  <w:p w:rsidR="00095041" w:rsidRDefault="00095041">
    <w:pPr>
      <w:pStyle w:val="Header"/>
    </w:pPr>
    <w:r>
      <w:tab/>
    </w:r>
    <w:r>
      <w:tab/>
      <w:t>HH</w:t>
    </w:r>
    <w:r w:rsidR="00647E24">
      <w:t xml:space="preserve"> 277-18</w:t>
    </w:r>
  </w:p>
  <w:p w:rsidR="00095041" w:rsidRDefault="00095041">
    <w:pPr>
      <w:pStyle w:val="Header"/>
    </w:pPr>
    <w:r>
      <w:tab/>
    </w:r>
    <w:r>
      <w:tab/>
      <w:t>HC 1950/17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0A59"/>
    <w:multiLevelType w:val="hybridMultilevel"/>
    <w:tmpl w:val="238C1F88"/>
    <w:lvl w:ilvl="0" w:tplc="F4EE16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F5745"/>
    <w:multiLevelType w:val="hybridMultilevel"/>
    <w:tmpl w:val="26444FAA"/>
    <w:lvl w:ilvl="0" w:tplc="4DF401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33F7D6E"/>
    <w:multiLevelType w:val="hybridMultilevel"/>
    <w:tmpl w:val="AF82A5D4"/>
    <w:lvl w:ilvl="0" w:tplc="3272AC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C44"/>
    <w:rsid w:val="000533F1"/>
    <w:rsid w:val="00095041"/>
    <w:rsid w:val="00111987"/>
    <w:rsid w:val="00156B40"/>
    <w:rsid w:val="001813A1"/>
    <w:rsid w:val="0029558C"/>
    <w:rsid w:val="002E40A7"/>
    <w:rsid w:val="00354155"/>
    <w:rsid w:val="00420230"/>
    <w:rsid w:val="00460122"/>
    <w:rsid w:val="004F0B2E"/>
    <w:rsid w:val="00504D9D"/>
    <w:rsid w:val="005453BC"/>
    <w:rsid w:val="00550C44"/>
    <w:rsid w:val="00594FD5"/>
    <w:rsid w:val="005A46A0"/>
    <w:rsid w:val="005B6C54"/>
    <w:rsid w:val="005B6E39"/>
    <w:rsid w:val="005B71BC"/>
    <w:rsid w:val="005D0C03"/>
    <w:rsid w:val="00600417"/>
    <w:rsid w:val="006240B5"/>
    <w:rsid w:val="00647E24"/>
    <w:rsid w:val="00670FE0"/>
    <w:rsid w:val="006A3541"/>
    <w:rsid w:val="006C140D"/>
    <w:rsid w:val="00700BF8"/>
    <w:rsid w:val="007E048C"/>
    <w:rsid w:val="00802D9C"/>
    <w:rsid w:val="008513D8"/>
    <w:rsid w:val="008517FF"/>
    <w:rsid w:val="00865EFB"/>
    <w:rsid w:val="008723CB"/>
    <w:rsid w:val="008B3044"/>
    <w:rsid w:val="00904908"/>
    <w:rsid w:val="00944865"/>
    <w:rsid w:val="009759AD"/>
    <w:rsid w:val="00A30D15"/>
    <w:rsid w:val="00AD16F0"/>
    <w:rsid w:val="00AE0D42"/>
    <w:rsid w:val="00B65FB5"/>
    <w:rsid w:val="00B85667"/>
    <w:rsid w:val="00BA066E"/>
    <w:rsid w:val="00C45D73"/>
    <w:rsid w:val="00CE2248"/>
    <w:rsid w:val="00D27BA0"/>
    <w:rsid w:val="00DB6355"/>
    <w:rsid w:val="00DE06DE"/>
    <w:rsid w:val="00E1396A"/>
    <w:rsid w:val="00E163AC"/>
    <w:rsid w:val="00E6421F"/>
    <w:rsid w:val="00EA1A03"/>
    <w:rsid w:val="00EF3D73"/>
    <w:rsid w:val="00F8639A"/>
    <w:rsid w:val="00FC6245"/>
    <w:rsid w:val="00FC7889"/>
    <w:rsid w:val="00FF7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BDE098-B10C-42EF-BDE9-633320393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96A"/>
    <w:pPr>
      <w:ind w:left="720"/>
      <w:contextualSpacing/>
    </w:pPr>
  </w:style>
  <w:style w:type="paragraph" w:styleId="Header">
    <w:name w:val="header"/>
    <w:basedOn w:val="Normal"/>
    <w:link w:val="HeaderChar"/>
    <w:uiPriority w:val="99"/>
    <w:unhideWhenUsed/>
    <w:rsid w:val="004F0B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B2E"/>
  </w:style>
  <w:style w:type="paragraph" w:styleId="Footer">
    <w:name w:val="footer"/>
    <w:basedOn w:val="Normal"/>
    <w:link w:val="FooterChar"/>
    <w:uiPriority w:val="99"/>
    <w:unhideWhenUsed/>
    <w:rsid w:val="004F0B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B2E"/>
  </w:style>
  <w:style w:type="paragraph" w:styleId="BalloonText">
    <w:name w:val="Balloon Text"/>
    <w:basedOn w:val="Normal"/>
    <w:link w:val="BalloonTextChar"/>
    <w:uiPriority w:val="99"/>
    <w:semiHidden/>
    <w:unhideWhenUsed/>
    <w:rsid w:val="00504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D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2315</Words>
  <Characters>13198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Judges' Secretary</dc:creator>
  <cp:lastModifiedBy>JSC</cp:lastModifiedBy>
  <cp:revision>2</cp:revision>
  <cp:lastPrinted>2018-05-24T07:22:00Z</cp:lastPrinted>
  <dcterms:created xsi:type="dcterms:W3CDTF">2018-05-24T14:28:00Z</dcterms:created>
  <dcterms:modified xsi:type="dcterms:W3CDTF">2018-05-24T14:28:00Z</dcterms:modified>
</cp:coreProperties>
</file>