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DD" w:rsidRDefault="00C713DD" w:rsidP="006E2CC6">
      <w:pPr>
        <w:jc w:val="both"/>
        <w:rPr>
          <w:rFonts w:ascii="Times New Roman" w:hAnsi="Times New Roman" w:cs="Times New Roman"/>
          <w:sz w:val="24"/>
          <w:szCs w:val="24"/>
        </w:rPr>
      </w:pPr>
      <w:bookmarkStart w:id="0" w:name="_GoBack"/>
      <w:bookmarkEnd w:id="0"/>
    </w:p>
    <w:p w:rsidR="0006510A" w:rsidRPr="006E2CC6" w:rsidRDefault="007F5EBB" w:rsidP="006E2CC6">
      <w:pPr>
        <w:jc w:val="both"/>
        <w:rPr>
          <w:rFonts w:ascii="Times New Roman" w:hAnsi="Times New Roman" w:cs="Times New Roman"/>
          <w:sz w:val="24"/>
          <w:szCs w:val="24"/>
        </w:rPr>
      </w:pPr>
      <w:r w:rsidRPr="006E2CC6">
        <w:rPr>
          <w:rFonts w:ascii="Times New Roman" w:hAnsi="Times New Roman" w:cs="Times New Roman"/>
          <w:sz w:val="24"/>
          <w:szCs w:val="24"/>
        </w:rPr>
        <w:t xml:space="preserve">                                                                                                                                                 </w:t>
      </w:r>
    </w:p>
    <w:p w:rsidR="007F5EBB" w:rsidRPr="006E2CC6" w:rsidRDefault="007F5EBB" w:rsidP="006E2CC6">
      <w:pPr>
        <w:spacing w:after="0" w:line="240" w:lineRule="auto"/>
        <w:jc w:val="both"/>
        <w:rPr>
          <w:rFonts w:ascii="Times New Roman" w:hAnsi="Times New Roman" w:cs="Times New Roman"/>
          <w:sz w:val="24"/>
          <w:szCs w:val="24"/>
        </w:rPr>
      </w:pPr>
      <w:r w:rsidRPr="006E2CC6">
        <w:rPr>
          <w:rFonts w:ascii="Times New Roman" w:hAnsi="Times New Roman" w:cs="Times New Roman"/>
          <w:sz w:val="24"/>
          <w:szCs w:val="24"/>
        </w:rPr>
        <w:t xml:space="preserve">ROSELT MITCHEL ENTERPRISES (PVT) LTD t/a METAL COMPONENTS                   </w:t>
      </w:r>
    </w:p>
    <w:p w:rsidR="007F5EBB" w:rsidRPr="006E2CC6" w:rsidRDefault="006E2CC6" w:rsidP="006E2CC6">
      <w:pPr>
        <w:spacing w:after="0" w:line="240" w:lineRule="auto"/>
        <w:jc w:val="both"/>
        <w:rPr>
          <w:rFonts w:ascii="Times New Roman" w:hAnsi="Times New Roman" w:cs="Times New Roman"/>
          <w:sz w:val="24"/>
          <w:szCs w:val="24"/>
        </w:rPr>
      </w:pPr>
      <w:r w:rsidRPr="006E2CC6">
        <w:rPr>
          <w:rFonts w:ascii="Times New Roman" w:hAnsi="Times New Roman" w:cs="Times New Roman"/>
          <w:sz w:val="24"/>
          <w:szCs w:val="24"/>
        </w:rPr>
        <w:t>v</w:t>
      </w:r>
      <w:r w:rsidR="007F5EBB" w:rsidRPr="006E2CC6">
        <w:rPr>
          <w:rFonts w:ascii="Times New Roman" w:hAnsi="Times New Roman" w:cs="Times New Roman"/>
          <w:sz w:val="24"/>
          <w:szCs w:val="24"/>
        </w:rPr>
        <w:t>ersus</w:t>
      </w:r>
    </w:p>
    <w:p w:rsidR="007F5EBB" w:rsidRPr="006E2CC6" w:rsidRDefault="007F5EBB" w:rsidP="006E2CC6">
      <w:pPr>
        <w:spacing w:after="0" w:line="240" w:lineRule="auto"/>
        <w:jc w:val="both"/>
        <w:rPr>
          <w:rFonts w:ascii="Times New Roman" w:hAnsi="Times New Roman" w:cs="Times New Roman"/>
          <w:sz w:val="24"/>
          <w:szCs w:val="24"/>
        </w:rPr>
      </w:pPr>
      <w:r w:rsidRPr="006E2CC6">
        <w:rPr>
          <w:rFonts w:ascii="Times New Roman" w:hAnsi="Times New Roman" w:cs="Times New Roman"/>
          <w:sz w:val="24"/>
          <w:szCs w:val="24"/>
        </w:rPr>
        <w:t>MILDRED AND MATHIAS (PVT) LTD (Under Judicial Management)</w:t>
      </w:r>
    </w:p>
    <w:p w:rsidR="007F5EBB" w:rsidRPr="006E2CC6" w:rsidRDefault="006E2CC6" w:rsidP="006E2CC6">
      <w:pPr>
        <w:spacing w:after="0" w:line="240" w:lineRule="auto"/>
        <w:jc w:val="both"/>
        <w:rPr>
          <w:rFonts w:ascii="Times New Roman" w:hAnsi="Times New Roman" w:cs="Times New Roman"/>
          <w:sz w:val="24"/>
          <w:szCs w:val="24"/>
        </w:rPr>
      </w:pPr>
      <w:r w:rsidRPr="006E2CC6">
        <w:rPr>
          <w:rFonts w:ascii="Times New Roman" w:hAnsi="Times New Roman" w:cs="Times New Roman"/>
          <w:sz w:val="24"/>
          <w:szCs w:val="24"/>
        </w:rPr>
        <w:t>a</w:t>
      </w:r>
      <w:r w:rsidR="007F5EBB" w:rsidRPr="006E2CC6">
        <w:rPr>
          <w:rFonts w:ascii="Times New Roman" w:hAnsi="Times New Roman" w:cs="Times New Roman"/>
          <w:sz w:val="24"/>
          <w:szCs w:val="24"/>
        </w:rPr>
        <w:t>nd</w:t>
      </w:r>
    </w:p>
    <w:p w:rsidR="007F5EBB" w:rsidRPr="006E2CC6" w:rsidRDefault="007F5EBB" w:rsidP="006E2CC6">
      <w:pPr>
        <w:spacing w:after="0" w:line="240" w:lineRule="auto"/>
        <w:jc w:val="both"/>
        <w:rPr>
          <w:rFonts w:ascii="Times New Roman" w:hAnsi="Times New Roman" w:cs="Times New Roman"/>
          <w:sz w:val="24"/>
          <w:szCs w:val="24"/>
        </w:rPr>
      </w:pPr>
      <w:r w:rsidRPr="006E2CC6">
        <w:rPr>
          <w:rFonts w:ascii="Times New Roman" w:hAnsi="Times New Roman" w:cs="Times New Roman"/>
          <w:sz w:val="24"/>
          <w:szCs w:val="24"/>
        </w:rPr>
        <w:t>MRS MANDINGO N.O. (Final Judicial Manager – Mildred and Mathias (Pvt) Ltd)</w:t>
      </w:r>
    </w:p>
    <w:p w:rsidR="007F5EBB" w:rsidRPr="006E2CC6" w:rsidRDefault="006E2CC6" w:rsidP="006E2CC6">
      <w:pPr>
        <w:spacing w:after="0" w:line="240" w:lineRule="auto"/>
        <w:jc w:val="both"/>
        <w:rPr>
          <w:rFonts w:ascii="Times New Roman" w:hAnsi="Times New Roman" w:cs="Times New Roman"/>
          <w:sz w:val="24"/>
          <w:szCs w:val="24"/>
        </w:rPr>
      </w:pPr>
      <w:r w:rsidRPr="006E2CC6">
        <w:rPr>
          <w:rFonts w:ascii="Times New Roman" w:hAnsi="Times New Roman" w:cs="Times New Roman"/>
          <w:sz w:val="24"/>
          <w:szCs w:val="24"/>
        </w:rPr>
        <w:t>a</w:t>
      </w:r>
      <w:r w:rsidR="007F5EBB" w:rsidRPr="006E2CC6">
        <w:rPr>
          <w:rFonts w:ascii="Times New Roman" w:hAnsi="Times New Roman" w:cs="Times New Roman"/>
          <w:sz w:val="24"/>
          <w:szCs w:val="24"/>
        </w:rPr>
        <w:t>nd</w:t>
      </w:r>
    </w:p>
    <w:p w:rsidR="007F5EBB" w:rsidRPr="006E2CC6" w:rsidRDefault="007F5EBB" w:rsidP="006E2CC6">
      <w:pPr>
        <w:spacing w:after="0" w:line="240" w:lineRule="auto"/>
        <w:jc w:val="both"/>
        <w:rPr>
          <w:rFonts w:ascii="Times New Roman" w:hAnsi="Times New Roman" w:cs="Times New Roman"/>
          <w:sz w:val="24"/>
          <w:szCs w:val="24"/>
        </w:rPr>
      </w:pPr>
      <w:r w:rsidRPr="006E2CC6">
        <w:rPr>
          <w:rFonts w:ascii="Times New Roman" w:hAnsi="Times New Roman" w:cs="Times New Roman"/>
          <w:sz w:val="24"/>
          <w:szCs w:val="24"/>
        </w:rPr>
        <w:t>MASTER OF THE HIGH COURT</w:t>
      </w:r>
    </w:p>
    <w:p w:rsidR="007F5EBB" w:rsidRDefault="007F5EBB" w:rsidP="006E2CC6">
      <w:pPr>
        <w:jc w:val="both"/>
        <w:rPr>
          <w:rFonts w:ascii="Times New Roman" w:hAnsi="Times New Roman" w:cs="Times New Roman"/>
          <w:sz w:val="24"/>
          <w:szCs w:val="24"/>
        </w:rPr>
      </w:pPr>
    </w:p>
    <w:p w:rsidR="005C3E59" w:rsidRPr="006E2CC6" w:rsidRDefault="005C3E59" w:rsidP="006E2CC6">
      <w:pPr>
        <w:jc w:val="both"/>
        <w:rPr>
          <w:rFonts w:ascii="Times New Roman" w:hAnsi="Times New Roman" w:cs="Times New Roman"/>
          <w:sz w:val="24"/>
          <w:szCs w:val="24"/>
        </w:rPr>
      </w:pPr>
    </w:p>
    <w:p w:rsidR="007F5EBB" w:rsidRPr="006E2CC6" w:rsidRDefault="007F5EBB" w:rsidP="006E2CC6">
      <w:pPr>
        <w:spacing w:after="0" w:line="240" w:lineRule="auto"/>
        <w:jc w:val="both"/>
        <w:rPr>
          <w:rFonts w:ascii="Times New Roman" w:hAnsi="Times New Roman" w:cs="Times New Roman"/>
          <w:sz w:val="24"/>
          <w:szCs w:val="24"/>
        </w:rPr>
      </w:pPr>
      <w:r w:rsidRPr="006E2CC6">
        <w:rPr>
          <w:rFonts w:ascii="Times New Roman" w:hAnsi="Times New Roman" w:cs="Times New Roman"/>
          <w:sz w:val="24"/>
          <w:szCs w:val="24"/>
        </w:rPr>
        <w:t>HIGH COURT OF ZIMBABWE</w:t>
      </w:r>
    </w:p>
    <w:p w:rsidR="007F5EBB" w:rsidRPr="006E2CC6" w:rsidRDefault="007F5EBB" w:rsidP="006E2CC6">
      <w:pPr>
        <w:spacing w:after="0" w:line="240" w:lineRule="auto"/>
        <w:jc w:val="both"/>
        <w:rPr>
          <w:rFonts w:ascii="Times New Roman" w:hAnsi="Times New Roman" w:cs="Times New Roman"/>
          <w:sz w:val="24"/>
          <w:szCs w:val="24"/>
        </w:rPr>
      </w:pPr>
      <w:r w:rsidRPr="006E2CC6">
        <w:rPr>
          <w:rFonts w:ascii="Times New Roman" w:hAnsi="Times New Roman" w:cs="Times New Roman"/>
          <w:sz w:val="24"/>
          <w:szCs w:val="24"/>
        </w:rPr>
        <w:t>ZHOU J</w:t>
      </w:r>
    </w:p>
    <w:p w:rsidR="007F5EBB" w:rsidRPr="006E2CC6" w:rsidRDefault="007F5EBB" w:rsidP="006E2CC6">
      <w:pPr>
        <w:spacing w:after="0" w:line="240" w:lineRule="auto"/>
        <w:jc w:val="both"/>
        <w:rPr>
          <w:rFonts w:ascii="Times New Roman" w:hAnsi="Times New Roman" w:cs="Times New Roman"/>
          <w:sz w:val="24"/>
          <w:szCs w:val="24"/>
        </w:rPr>
      </w:pPr>
      <w:r w:rsidRPr="006E2CC6">
        <w:rPr>
          <w:rFonts w:ascii="Times New Roman" w:hAnsi="Times New Roman" w:cs="Times New Roman"/>
          <w:sz w:val="24"/>
          <w:szCs w:val="24"/>
        </w:rPr>
        <w:t>HARARE, 4 June &amp; 3 July 2019</w:t>
      </w:r>
    </w:p>
    <w:p w:rsidR="007F5EBB" w:rsidRDefault="007F5EBB" w:rsidP="006E2CC6">
      <w:pPr>
        <w:jc w:val="both"/>
        <w:rPr>
          <w:rFonts w:ascii="Times New Roman" w:hAnsi="Times New Roman" w:cs="Times New Roman"/>
          <w:sz w:val="24"/>
          <w:szCs w:val="24"/>
        </w:rPr>
      </w:pPr>
    </w:p>
    <w:p w:rsidR="005C3E59" w:rsidRDefault="005C3E59" w:rsidP="005C3E59">
      <w:pPr>
        <w:jc w:val="both"/>
        <w:rPr>
          <w:rFonts w:ascii="Times New Roman" w:hAnsi="Times New Roman" w:cs="Times New Roman"/>
          <w:b/>
          <w:sz w:val="24"/>
          <w:szCs w:val="24"/>
        </w:rPr>
      </w:pPr>
      <w:r w:rsidRPr="005C3E59">
        <w:rPr>
          <w:rFonts w:ascii="Times New Roman" w:hAnsi="Times New Roman" w:cs="Times New Roman"/>
          <w:b/>
          <w:sz w:val="24"/>
          <w:szCs w:val="24"/>
        </w:rPr>
        <w:t xml:space="preserve">Opposed </w:t>
      </w:r>
      <w:r w:rsidR="009D7552">
        <w:rPr>
          <w:rFonts w:ascii="Times New Roman" w:hAnsi="Times New Roman" w:cs="Times New Roman"/>
          <w:b/>
          <w:sz w:val="24"/>
          <w:szCs w:val="24"/>
        </w:rPr>
        <w:t>A</w:t>
      </w:r>
      <w:r w:rsidRPr="005C3E59">
        <w:rPr>
          <w:rFonts w:ascii="Times New Roman" w:hAnsi="Times New Roman" w:cs="Times New Roman"/>
          <w:b/>
          <w:sz w:val="24"/>
          <w:szCs w:val="24"/>
        </w:rPr>
        <w:t>pplication</w:t>
      </w:r>
    </w:p>
    <w:p w:rsidR="005C3E59" w:rsidRPr="006E2CC6" w:rsidRDefault="005C3E59" w:rsidP="006E2CC6">
      <w:pPr>
        <w:jc w:val="both"/>
        <w:rPr>
          <w:rFonts w:ascii="Times New Roman" w:hAnsi="Times New Roman" w:cs="Times New Roman"/>
          <w:sz w:val="24"/>
          <w:szCs w:val="24"/>
        </w:rPr>
      </w:pPr>
    </w:p>
    <w:p w:rsidR="007F5EBB" w:rsidRPr="006E2CC6" w:rsidRDefault="007F5EBB" w:rsidP="006E2CC6">
      <w:pPr>
        <w:spacing w:after="0" w:line="240" w:lineRule="auto"/>
        <w:jc w:val="both"/>
        <w:rPr>
          <w:rFonts w:ascii="Times New Roman" w:hAnsi="Times New Roman" w:cs="Times New Roman"/>
          <w:sz w:val="24"/>
          <w:szCs w:val="24"/>
        </w:rPr>
      </w:pPr>
      <w:r w:rsidRPr="006E2CC6">
        <w:rPr>
          <w:rFonts w:ascii="Times New Roman" w:hAnsi="Times New Roman" w:cs="Times New Roman"/>
          <w:sz w:val="24"/>
          <w:szCs w:val="24"/>
        </w:rPr>
        <w:t>Miss</w:t>
      </w:r>
      <w:r w:rsidRPr="006E2CC6">
        <w:rPr>
          <w:rFonts w:ascii="Times New Roman" w:hAnsi="Times New Roman" w:cs="Times New Roman"/>
          <w:i/>
          <w:sz w:val="24"/>
          <w:szCs w:val="24"/>
        </w:rPr>
        <w:t xml:space="preserve"> J. Mushunje</w:t>
      </w:r>
      <w:r w:rsidR="006E2CC6">
        <w:rPr>
          <w:rFonts w:ascii="Times New Roman" w:hAnsi="Times New Roman" w:cs="Times New Roman"/>
          <w:i/>
          <w:sz w:val="24"/>
          <w:szCs w:val="24"/>
        </w:rPr>
        <w:t>,</w:t>
      </w:r>
      <w:r w:rsidRPr="006E2CC6">
        <w:rPr>
          <w:rFonts w:ascii="Times New Roman" w:hAnsi="Times New Roman" w:cs="Times New Roman"/>
          <w:i/>
          <w:sz w:val="24"/>
          <w:szCs w:val="24"/>
        </w:rPr>
        <w:t xml:space="preserve"> </w:t>
      </w:r>
      <w:r w:rsidRPr="006E2CC6">
        <w:rPr>
          <w:rFonts w:ascii="Times New Roman" w:hAnsi="Times New Roman" w:cs="Times New Roman"/>
          <w:sz w:val="24"/>
          <w:szCs w:val="24"/>
        </w:rPr>
        <w:t>for the applicant</w:t>
      </w:r>
    </w:p>
    <w:p w:rsidR="007F5EBB" w:rsidRPr="006E2CC6" w:rsidRDefault="007F5EBB" w:rsidP="006E2CC6">
      <w:pPr>
        <w:spacing w:after="0" w:line="240" w:lineRule="auto"/>
        <w:jc w:val="both"/>
        <w:rPr>
          <w:rFonts w:ascii="Times New Roman" w:hAnsi="Times New Roman" w:cs="Times New Roman"/>
          <w:sz w:val="24"/>
          <w:szCs w:val="24"/>
        </w:rPr>
      </w:pPr>
      <w:r w:rsidRPr="006E2CC6">
        <w:rPr>
          <w:rFonts w:ascii="Times New Roman" w:hAnsi="Times New Roman" w:cs="Times New Roman"/>
          <w:i/>
          <w:sz w:val="24"/>
          <w:szCs w:val="24"/>
        </w:rPr>
        <w:t>K. Gama</w:t>
      </w:r>
      <w:r w:rsidR="006E2CC6">
        <w:rPr>
          <w:rFonts w:ascii="Times New Roman" w:hAnsi="Times New Roman" w:cs="Times New Roman"/>
          <w:i/>
          <w:sz w:val="24"/>
          <w:szCs w:val="24"/>
        </w:rPr>
        <w:t>,</w:t>
      </w:r>
      <w:r w:rsidRPr="006E2CC6">
        <w:rPr>
          <w:rFonts w:ascii="Times New Roman" w:hAnsi="Times New Roman" w:cs="Times New Roman"/>
          <w:i/>
          <w:sz w:val="24"/>
          <w:szCs w:val="24"/>
        </w:rPr>
        <w:t xml:space="preserve"> </w:t>
      </w:r>
      <w:r w:rsidRPr="006E2CC6">
        <w:rPr>
          <w:rFonts w:ascii="Times New Roman" w:hAnsi="Times New Roman" w:cs="Times New Roman"/>
          <w:sz w:val="24"/>
          <w:szCs w:val="24"/>
        </w:rPr>
        <w:t>for the first and second respondents</w:t>
      </w:r>
    </w:p>
    <w:p w:rsidR="007F5EBB" w:rsidRPr="006E2CC6" w:rsidRDefault="007F5EBB" w:rsidP="006E2CC6">
      <w:pPr>
        <w:jc w:val="both"/>
        <w:rPr>
          <w:rFonts w:ascii="Times New Roman" w:hAnsi="Times New Roman" w:cs="Times New Roman"/>
          <w:sz w:val="24"/>
          <w:szCs w:val="24"/>
        </w:rPr>
      </w:pPr>
    </w:p>
    <w:p w:rsidR="006E2CC6" w:rsidRDefault="006E2CC6" w:rsidP="006E2C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F5EBB" w:rsidRPr="006E2CC6">
        <w:rPr>
          <w:rFonts w:ascii="Times New Roman" w:hAnsi="Times New Roman" w:cs="Times New Roman"/>
          <w:sz w:val="24"/>
          <w:szCs w:val="24"/>
        </w:rPr>
        <w:t>ZHOU J: This is an application for leave to institute proceedings against the first respondent, a company which was placed under judicial management</w:t>
      </w:r>
      <w:r w:rsidR="00E17693" w:rsidRPr="006E2CC6">
        <w:rPr>
          <w:rFonts w:ascii="Times New Roman" w:hAnsi="Times New Roman" w:cs="Times New Roman"/>
          <w:sz w:val="24"/>
          <w:szCs w:val="24"/>
        </w:rPr>
        <w:t xml:space="preserve"> by order of this court</w:t>
      </w:r>
      <w:r w:rsidR="007F5EBB" w:rsidRPr="006E2CC6">
        <w:rPr>
          <w:rFonts w:ascii="Times New Roman" w:hAnsi="Times New Roman" w:cs="Times New Roman"/>
          <w:sz w:val="24"/>
          <w:szCs w:val="24"/>
        </w:rPr>
        <w:t>.  The second respondent is the duly appointed Judicial Manager for the first respondent</w:t>
      </w:r>
      <w:r w:rsidR="00E17693" w:rsidRPr="006E2CC6">
        <w:rPr>
          <w:rFonts w:ascii="Times New Roman" w:hAnsi="Times New Roman" w:cs="Times New Roman"/>
          <w:sz w:val="24"/>
          <w:szCs w:val="24"/>
        </w:rPr>
        <w:t>.  The claim which the applicant intends to institute is based upon an agreement in terms of which the applicant sold and delivered to the first respondent certain mining equipment as detailed in the founding affidavit.</w:t>
      </w:r>
      <w:r w:rsidR="00C95133" w:rsidRPr="006E2CC6">
        <w:rPr>
          <w:rFonts w:ascii="Times New Roman" w:hAnsi="Times New Roman" w:cs="Times New Roman"/>
          <w:sz w:val="24"/>
          <w:szCs w:val="24"/>
        </w:rPr>
        <w:t xml:space="preserve">  </w:t>
      </w:r>
      <w:r w:rsidR="00D72AD3" w:rsidRPr="006E2CC6">
        <w:rPr>
          <w:rFonts w:ascii="Times New Roman" w:hAnsi="Times New Roman" w:cs="Times New Roman"/>
          <w:sz w:val="24"/>
          <w:szCs w:val="24"/>
        </w:rPr>
        <w:t xml:space="preserve">The price for the equipment was US$534 000.  The first respondent paid a deposit of US$152 000, leaving a balance of US$382 000 which was supposed to be paid in monthly instalments.  The applicant states that the first respondent made no other payment towards the balance of the purchase price after paying the deposit.  </w:t>
      </w:r>
      <w:r w:rsidR="00C95133" w:rsidRPr="006E2CC6">
        <w:rPr>
          <w:rFonts w:ascii="Times New Roman" w:hAnsi="Times New Roman" w:cs="Times New Roman"/>
          <w:sz w:val="24"/>
          <w:szCs w:val="24"/>
        </w:rPr>
        <w:t>The agreement was entered into on 19 October 2015.  On 17 February 2016, some four months later, an order of provisional judicial management was granted in respect of the first respondent</w:t>
      </w:r>
      <w:r w:rsidR="000E2486" w:rsidRPr="006E2CC6">
        <w:rPr>
          <w:rFonts w:ascii="Times New Roman" w:hAnsi="Times New Roman" w:cs="Times New Roman"/>
          <w:sz w:val="24"/>
          <w:szCs w:val="24"/>
        </w:rPr>
        <w:t xml:space="preserve"> in Case No. HC 215/16</w:t>
      </w:r>
      <w:r w:rsidR="00C95133" w:rsidRPr="006E2CC6">
        <w:rPr>
          <w:rFonts w:ascii="Times New Roman" w:hAnsi="Times New Roman" w:cs="Times New Roman"/>
          <w:sz w:val="24"/>
          <w:szCs w:val="24"/>
        </w:rPr>
        <w:t>.  The applicant received notification of that order on 29 March 2016.</w:t>
      </w:r>
      <w:r w:rsidR="000E2486" w:rsidRPr="006E2CC6">
        <w:rPr>
          <w:rFonts w:ascii="Times New Roman" w:hAnsi="Times New Roman" w:cs="Times New Roman"/>
          <w:sz w:val="24"/>
          <w:szCs w:val="24"/>
        </w:rPr>
        <w:t xml:space="preserve">  A final order placing the first respondent </w:t>
      </w:r>
      <w:r w:rsidR="000E2486" w:rsidRPr="006E2CC6">
        <w:rPr>
          <w:rFonts w:ascii="Times New Roman" w:hAnsi="Times New Roman" w:cs="Times New Roman"/>
          <w:sz w:val="24"/>
          <w:szCs w:val="24"/>
        </w:rPr>
        <w:lastRenderedPageBreak/>
        <w:t>under judicial management was granted on 17 August 2016.  Paragraph 6 of the final order of judicial management states as follows:</w:t>
      </w:r>
    </w:p>
    <w:p w:rsidR="006E2CC6" w:rsidRDefault="006E2CC6" w:rsidP="006E2CC6">
      <w:pPr>
        <w:spacing w:after="0" w:line="240" w:lineRule="auto"/>
        <w:jc w:val="both"/>
        <w:rPr>
          <w:rFonts w:ascii="Times New Roman" w:hAnsi="Times New Roman" w:cs="Times New Roman"/>
        </w:rPr>
      </w:pPr>
      <w:r>
        <w:rPr>
          <w:rFonts w:ascii="Times New Roman" w:hAnsi="Times New Roman" w:cs="Times New Roman"/>
          <w:sz w:val="24"/>
          <w:szCs w:val="24"/>
        </w:rPr>
        <w:tab/>
      </w:r>
      <w:r w:rsidR="000E2486" w:rsidRPr="006E2CC6">
        <w:rPr>
          <w:rFonts w:ascii="Times New Roman" w:hAnsi="Times New Roman" w:cs="Times New Roman"/>
        </w:rPr>
        <w:t xml:space="preserve"> “All actions and applications and the execution of all writs, summonses, and other process </w:t>
      </w:r>
      <w:r>
        <w:rPr>
          <w:rFonts w:ascii="Times New Roman" w:hAnsi="Times New Roman" w:cs="Times New Roman"/>
        </w:rPr>
        <w:tab/>
      </w:r>
      <w:r w:rsidR="000E2486" w:rsidRPr="006E2CC6">
        <w:rPr>
          <w:rFonts w:ascii="Times New Roman" w:hAnsi="Times New Roman" w:cs="Times New Roman"/>
        </w:rPr>
        <w:t xml:space="preserve">against the applicant company shall be stayed and not proceeded with without the leave of </w:t>
      </w:r>
      <w:r>
        <w:rPr>
          <w:rFonts w:ascii="Times New Roman" w:hAnsi="Times New Roman" w:cs="Times New Roman"/>
        </w:rPr>
        <w:tab/>
      </w:r>
      <w:r w:rsidR="000E2486" w:rsidRPr="006E2CC6">
        <w:rPr>
          <w:rFonts w:ascii="Times New Roman" w:hAnsi="Times New Roman" w:cs="Times New Roman"/>
        </w:rPr>
        <w:t xml:space="preserve">this court.” </w:t>
      </w:r>
      <w:r w:rsidR="00C95133" w:rsidRPr="006E2CC6">
        <w:rPr>
          <w:rFonts w:ascii="Times New Roman" w:hAnsi="Times New Roman" w:cs="Times New Roman"/>
        </w:rPr>
        <w:t xml:space="preserve"> </w:t>
      </w:r>
    </w:p>
    <w:p w:rsidR="00C95133" w:rsidRPr="006E2CC6" w:rsidRDefault="00C95133" w:rsidP="006E2CC6">
      <w:pPr>
        <w:spacing w:after="0" w:line="240" w:lineRule="auto"/>
        <w:jc w:val="both"/>
        <w:rPr>
          <w:rFonts w:ascii="Times New Roman" w:hAnsi="Times New Roman" w:cs="Times New Roman"/>
        </w:rPr>
      </w:pPr>
      <w:r w:rsidRPr="006E2CC6">
        <w:rPr>
          <w:rFonts w:ascii="Times New Roman" w:hAnsi="Times New Roman" w:cs="Times New Roman"/>
        </w:rPr>
        <w:t xml:space="preserve"> </w:t>
      </w:r>
    </w:p>
    <w:p w:rsidR="00C95133" w:rsidRPr="006E2CC6" w:rsidRDefault="006E2CC6" w:rsidP="006E2C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95133" w:rsidRPr="006E2CC6">
        <w:rPr>
          <w:rFonts w:ascii="Times New Roman" w:hAnsi="Times New Roman" w:cs="Times New Roman"/>
          <w:sz w:val="24"/>
          <w:szCs w:val="24"/>
        </w:rPr>
        <w:t>The instant application is opposed by the first and second respondents.</w:t>
      </w:r>
    </w:p>
    <w:p w:rsidR="009343F0" w:rsidRPr="006E2CC6" w:rsidRDefault="006E2CC6" w:rsidP="006E2C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95133" w:rsidRPr="006E2CC6">
        <w:rPr>
          <w:rFonts w:ascii="Times New Roman" w:hAnsi="Times New Roman" w:cs="Times New Roman"/>
          <w:sz w:val="24"/>
          <w:szCs w:val="24"/>
        </w:rPr>
        <w:t>Following the placement of the first respondent under judicial management</w:t>
      </w:r>
      <w:r w:rsidR="00D72AD3" w:rsidRPr="006E2CC6">
        <w:rPr>
          <w:rFonts w:ascii="Times New Roman" w:hAnsi="Times New Roman" w:cs="Times New Roman"/>
          <w:sz w:val="24"/>
          <w:szCs w:val="24"/>
        </w:rPr>
        <w:t xml:space="preserve"> the applicant submitted its claim as a creditor.</w:t>
      </w:r>
      <w:r w:rsidR="00D37D69" w:rsidRPr="006E2CC6">
        <w:rPr>
          <w:rFonts w:ascii="Times New Roman" w:hAnsi="Times New Roman" w:cs="Times New Roman"/>
          <w:sz w:val="24"/>
          <w:szCs w:val="24"/>
        </w:rPr>
        <w:t xml:space="preserve">  Applicant attended some creditors’</w:t>
      </w:r>
      <w:r>
        <w:rPr>
          <w:rFonts w:ascii="Times New Roman" w:hAnsi="Times New Roman" w:cs="Times New Roman"/>
          <w:sz w:val="24"/>
          <w:szCs w:val="24"/>
        </w:rPr>
        <w:t xml:space="preserve"> </w:t>
      </w:r>
      <w:r w:rsidR="00D37D69" w:rsidRPr="006E2CC6">
        <w:rPr>
          <w:rFonts w:ascii="Times New Roman" w:hAnsi="Times New Roman" w:cs="Times New Roman"/>
          <w:sz w:val="24"/>
          <w:szCs w:val="24"/>
        </w:rPr>
        <w:t>meetings.  After some engagements the first and second respondents then denied liability to the applicant for the balance of the purchase price on the basis that the applicant had not delivered all the equipment purchased and that some of the equipment delivered was defective.</w:t>
      </w:r>
      <w:r w:rsidR="00B62F74" w:rsidRPr="006E2CC6">
        <w:rPr>
          <w:rFonts w:ascii="Times New Roman" w:hAnsi="Times New Roman" w:cs="Times New Roman"/>
          <w:sz w:val="24"/>
          <w:szCs w:val="24"/>
        </w:rPr>
        <w:t xml:space="preserve">  By letter dated 18 September 2018 the third respondent advised the applicant that its claim had been rejected.  This is what triggered the filing of the instant application.</w:t>
      </w:r>
    </w:p>
    <w:p w:rsidR="00A7518B" w:rsidRPr="006E2CC6" w:rsidRDefault="006E2CC6" w:rsidP="006E2C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343F0" w:rsidRPr="006E2CC6">
        <w:rPr>
          <w:rFonts w:ascii="Times New Roman" w:hAnsi="Times New Roman" w:cs="Times New Roman"/>
          <w:sz w:val="24"/>
          <w:szCs w:val="24"/>
        </w:rPr>
        <w:t>The opposition by the first and second respondents is on the grounds, firstly, that the applicant instituted another application which it withdrew and has not paid the costs for it and, secondly that the first respondent is entitled to protection from suits by virtue of being under judicial management.  The respondents also challenge the reference t</w:t>
      </w:r>
      <w:r>
        <w:rPr>
          <w:rFonts w:ascii="Times New Roman" w:hAnsi="Times New Roman" w:cs="Times New Roman"/>
          <w:sz w:val="24"/>
          <w:szCs w:val="24"/>
        </w:rPr>
        <w:t>o the application being made in</w:t>
      </w:r>
      <w:r w:rsidR="009343F0" w:rsidRPr="006E2CC6">
        <w:rPr>
          <w:rFonts w:ascii="Times New Roman" w:hAnsi="Times New Roman" w:cs="Times New Roman"/>
          <w:sz w:val="24"/>
          <w:szCs w:val="24"/>
        </w:rPr>
        <w:t xml:space="preserve"> terms of “section g” of the order of this court which was the provisional order granted prior to confirmation thereof.</w:t>
      </w:r>
    </w:p>
    <w:p w:rsidR="00F0583F" w:rsidRPr="006E2CC6" w:rsidRDefault="006E2CC6" w:rsidP="006E2C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7518B" w:rsidRPr="006E2CC6">
        <w:rPr>
          <w:rFonts w:ascii="Times New Roman" w:hAnsi="Times New Roman" w:cs="Times New Roman"/>
          <w:sz w:val="24"/>
          <w:szCs w:val="24"/>
        </w:rPr>
        <w:t>The objection to the filing of the instant application on the ground that the costs of the withdrawn application have not been paid is misconceived.  Those costs were tendered as per the notice of withdrawal issued by the registrar on 28 December 2018.  It is up to the respondents to recover them in terms of the rules.  Equally, the reference to section g is not material.  The fact is that this is an application</w:t>
      </w:r>
      <w:r w:rsidR="00CF0451">
        <w:rPr>
          <w:rFonts w:ascii="Times New Roman" w:hAnsi="Times New Roman" w:cs="Times New Roman"/>
          <w:sz w:val="24"/>
          <w:szCs w:val="24"/>
        </w:rPr>
        <w:t xml:space="preserve"> for leave</w:t>
      </w:r>
      <w:r w:rsidR="00A7518B" w:rsidRPr="006E2CC6">
        <w:rPr>
          <w:rFonts w:ascii="Times New Roman" w:hAnsi="Times New Roman" w:cs="Times New Roman"/>
          <w:sz w:val="24"/>
          <w:szCs w:val="24"/>
        </w:rPr>
        <w:t xml:space="preserve"> to institute proceedings against a company which is under judicial management.  The objection is vexatious.  The respondents are aware that the final order ha</w:t>
      </w:r>
      <w:r w:rsidR="00DB4C50">
        <w:rPr>
          <w:rFonts w:ascii="Times New Roman" w:hAnsi="Times New Roman" w:cs="Times New Roman"/>
          <w:sz w:val="24"/>
          <w:szCs w:val="24"/>
        </w:rPr>
        <w:t>s a similar provision, para</w:t>
      </w:r>
      <w:r w:rsidR="00A7518B" w:rsidRPr="006E2CC6">
        <w:rPr>
          <w:rFonts w:ascii="Times New Roman" w:hAnsi="Times New Roman" w:cs="Times New Roman"/>
          <w:sz w:val="24"/>
          <w:szCs w:val="24"/>
        </w:rPr>
        <w:t xml:space="preserve"> 6</w:t>
      </w:r>
      <w:r w:rsidR="00DB4C50">
        <w:rPr>
          <w:rFonts w:ascii="Times New Roman" w:hAnsi="Times New Roman" w:cs="Times New Roman"/>
          <w:sz w:val="24"/>
          <w:szCs w:val="24"/>
        </w:rPr>
        <w:t xml:space="preserve"> </w:t>
      </w:r>
      <w:r w:rsidR="00A7518B" w:rsidRPr="006E2CC6">
        <w:rPr>
          <w:rFonts w:ascii="Times New Roman" w:hAnsi="Times New Roman" w:cs="Times New Roman"/>
          <w:sz w:val="24"/>
          <w:szCs w:val="24"/>
        </w:rPr>
        <w:t>which stays all actions and applications and execution of writs, summonses and other process against the first respondent without the leave of this court.</w:t>
      </w:r>
    </w:p>
    <w:p w:rsidR="006F6524" w:rsidRPr="006E2CC6" w:rsidRDefault="00DB4C50" w:rsidP="006010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0583F" w:rsidRPr="006E2CC6">
        <w:rPr>
          <w:rFonts w:ascii="Times New Roman" w:hAnsi="Times New Roman" w:cs="Times New Roman"/>
          <w:sz w:val="24"/>
          <w:szCs w:val="24"/>
        </w:rPr>
        <w:t xml:space="preserve">At the hearing of the matter Mr </w:t>
      </w:r>
      <w:r w:rsidR="00F0583F" w:rsidRPr="006E2CC6">
        <w:rPr>
          <w:rFonts w:ascii="Times New Roman" w:hAnsi="Times New Roman" w:cs="Times New Roman"/>
          <w:i/>
          <w:sz w:val="24"/>
          <w:szCs w:val="24"/>
        </w:rPr>
        <w:t xml:space="preserve">Gama </w:t>
      </w:r>
      <w:r w:rsidR="00F0583F" w:rsidRPr="006E2CC6">
        <w:rPr>
          <w:rFonts w:ascii="Times New Roman" w:hAnsi="Times New Roman" w:cs="Times New Roman"/>
          <w:sz w:val="24"/>
          <w:szCs w:val="24"/>
        </w:rPr>
        <w:t xml:space="preserve">for the first and second respondents objected to the application citing </w:t>
      </w:r>
      <w:r w:rsidR="00CF0451">
        <w:rPr>
          <w:rFonts w:ascii="Times New Roman" w:hAnsi="Times New Roman" w:cs="Times New Roman"/>
          <w:sz w:val="24"/>
          <w:szCs w:val="24"/>
        </w:rPr>
        <w:t xml:space="preserve"> </w:t>
      </w:r>
      <w:r w:rsidR="00F0583F" w:rsidRPr="006E2CC6">
        <w:rPr>
          <w:rFonts w:ascii="Times New Roman" w:hAnsi="Times New Roman" w:cs="Times New Roman"/>
          <w:sz w:val="24"/>
          <w:szCs w:val="24"/>
        </w:rPr>
        <w:t>the</w:t>
      </w:r>
      <w:r w:rsidR="00CF0451">
        <w:rPr>
          <w:rFonts w:ascii="Times New Roman" w:hAnsi="Times New Roman" w:cs="Times New Roman"/>
          <w:sz w:val="24"/>
          <w:szCs w:val="24"/>
        </w:rPr>
        <w:t xml:space="preserve"> </w:t>
      </w:r>
      <w:r w:rsidR="00F0583F" w:rsidRPr="006E2CC6">
        <w:rPr>
          <w:rFonts w:ascii="Times New Roman" w:hAnsi="Times New Roman" w:cs="Times New Roman"/>
          <w:sz w:val="24"/>
          <w:szCs w:val="24"/>
        </w:rPr>
        <w:t xml:space="preserve"> provisions of s 259</w:t>
      </w:r>
      <w:r w:rsidR="00CF0451">
        <w:rPr>
          <w:rFonts w:ascii="Times New Roman" w:hAnsi="Times New Roman" w:cs="Times New Roman"/>
          <w:sz w:val="24"/>
          <w:szCs w:val="24"/>
        </w:rPr>
        <w:t xml:space="preserve"> </w:t>
      </w:r>
      <w:r w:rsidR="00F0583F" w:rsidRPr="006E2CC6">
        <w:rPr>
          <w:rFonts w:ascii="Times New Roman" w:hAnsi="Times New Roman" w:cs="Times New Roman"/>
          <w:sz w:val="24"/>
          <w:szCs w:val="24"/>
        </w:rPr>
        <w:t xml:space="preserve">(1) </w:t>
      </w:r>
      <w:r w:rsidR="00CF0451">
        <w:rPr>
          <w:rFonts w:ascii="Times New Roman" w:hAnsi="Times New Roman" w:cs="Times New Roman"/>
          <w:sz w:val="24"/>
          <w:szCs w:val="24"/>
        </w:rPr>
        <w:t xml:space="preserve"> </w:t>
      </w:r>
      <w:r w:rsidR="00F0583F" w:rsidRPr="006E2CC6">
        <w:rPr>
          <w:rFonts w:ascii="Times New Roman" w:hAnsi="Times New Roman" w:cs="Times New Roman"/>
          <w:sz w:val="24"/>
          <w:szCs w:val="24"/>
        </w:rPr>
        <w:t xml:space="preserve">as </w:t>
      </w:r>
      <w:r w:rsidR="00CF0451">
        <w:rPr>
          <w:rFonts w:ascii="Times New Roman" w:hAnsi="Times New Roman" w:cs="Times New Roman"/>
          <w:sz w:val="24"/>
          <w:szCs w:val="24"/>
        </w:rPr>
        <w:t xml:space="preserve"> </w:t>
      </w:r>
      <w:r w:rsidR="00F0583F" w:rsidRPr="006E2CC6">
        <w:rPr>
          <w:rFonts w:ascii="Times New Roman" w:hAnsi="Times New Roman" w:cs="Times New Roman"/>
          <w:sz w:val="24"/>
          <w:szCs w:val="24"/>
        </w:rPr>
        <w:t>read with s 304 of the Companies Act</w:t>
      </w:r>
      <w:r w:rsidR="00CF0451">
        <w:rPr>
          <w:rFonts w:ascii="Times New Roman" w:hAnsi="Times New Roman" w:cs="Times New Roman"/>
          <w:sz w:val="24"/>
          <w:szCs w:val="24"/>
        </w:rPr>
        <w:t xml:space="preserve"> </w:t>
      </w:r>
      <w:r w:rsidR="00F0583F" w:rsidRPr="006E2CC6">
        <w:rPr>
          <w:rFonts w:ascii="Times New Roman" w:hAnsi="Times New Roman" w:cs="Times New Roman"/>
          <w:sz w:val="24"/>
          <w:szCs w:val="24"/>
        </w:rPr>
        <w:t>[</w:t>
      </w:r>
      <w:r w:rsidR="00F0583F" w:rsidRPr="006E2CC6">
        <w:rPr>
          <w:rFonts w:ascii="Times New Roman" w:hAnsi="Times New Roman" w:cs="Times New Roman"/>
          <w:i/>
          <w:sz w:val="24"/>
          <w:szCs w:val="24"/>
        </w:rPr>
        <w:t>Chapter 24:03</w:t>
      </w:r>
      <w:r w:rsidR="00F0583F" w:rsidRPr="006E2CC6">
        <w:rPr>
          <w:rFonts w:ascii="Times New Roman" w:hAnsi="Times New Roman" w:cs="Times New Roman"/>
          <w:sz w:val="24"/>
          <w:szCs w:val="24"/>
        </w:rPr>
        <w:t>] as providing an adequate remedy by which the applicant could challenge the refusal by the second respondent to settle its claim.</w:t>
      </w:r>
      <w:r w:rsidR="0037716A" w:rsidRPr="006E2CC6">
        <w:rPr>
          <w:rFonts w:ascii="Times New Roman" w:hAnsi="Times New Roman" w:cs="Times New Roman"/>
          <w:sz w:val="24"/>
          <w:szCs w:val="24"/>
        </w:rPr>
        <w:t xml:space="preserve">  The effect of s 304(5) is to make the provisions of s 259 </w:t>
      </w:r>
      <w:r w:rsidR="0037716A" w:rsidRPr="006E2CC6">
        <w:rPr>
          <w:rFonts w:ascii="Times New Roman" w:hAnsi="Times New Roman" w:cs="Times New Roman"/>
          <w:sz w:val="24"/>
          <w:szCs w:val="24"/>
        </w:rPr>
        <w:lastRenderedPageBreak/>
        <w:t>apply to judicial management.  This means that by operation of the two sections read together “if a claim is rejected by the liquidator (read, judicial manager), the claimant may apply to the court by motion to set aside the rejection”.  This provision gives the applicant as the claimant the right to apply to court for the setting aside of a rejection of his claim by the judicial manager.  The issue that exercise</w:t>
      </w:r>
      <w:r w:rsidR="00CF0451">
        <w:rPr>
          <w:rFonts w:ascii="Times New Roman" w:hAnsi="Times New Roman" w:cs="Times New Roman"/>
          <w:sz w:val="24"/>
          <w:szCs w:val="24"/>
        </w:rPr>
        <w:t>d</w:t>
      </w:r>
      <w:r w:rsidR="0037716A" w:rsidRPr="006E2CC6">
        <w:rPr>
          <w:rFonts w:ascii="Times New Roman" w:hAnsi="Times New Roman" w:cs="Times New Roman"/>
          <w:sz w:val="24"/>
          <w:szCs w:val="24"/>
        </w:rPr>
        <w:t xml:space="preserve"> the court’s</w:t>
      </w:r>
      <w:r w:rsidR="00395D6D" w:rsidRPr="006E2CC6">
        <w:rPr>
          <w:rFonts w:ascii="Times New Roman" w:hAnsi="Times New Roman" w:cs="Times New Roman"/>
          <w:sz w:val="24"/>
          <w:szCs w:val="24"/>
        </w:rPr>
        <w:t xml:space="preserve"> mind is wh</w:t>
      </w:r>
      <w:r>
        <w:rPr>
          <w:rFonts w:ascii="Times New Roman" w:hAnsi="Times New Roman" w:cs="Times New Roman"/>
          <w:sz w:val="24"/>
          <w:szCs w:val="24"/>
        </w:rPr>
        <w:t>ether, in the light of para</w:t>
      </w:r>
      <w:r w:rsidR="00395D6D" w:rsidRPr="006E2CC6">
        <w:rPr>
          <w:rFonts w:ascii="Times New Roman" w:hAnsi="Times New Roman" w:cs="Times New Roman"/>
          <w:sz w:val="24"/>
          <w:szCs w:val="24"/>
        </w:rPr>
        <w:t xml:space="preserve"> 6 of the judicial management order as read with the provisions of the proviso to s 301(1) of the Companies Act, the applicant would be entitled to proceed to make the contemplated application without the leave of court.  It would appear, however, that leave of the court would still be required given </w:t>
      </w:r>
      <w:r w:rsidR="006F6524" w:rsidRPr="006E2CC6">
        <w:rPr>
          <w:rFonts w:ascii="Times New Roman" w:hAnsi="Times New Roman" w:cs="Times New Roman"/>
          <w:sz w:val="24"/>
          <w:szCs w:val="24"/>
        </w:rPr>
        <w:t>the explicit provisions of the judicial management order in that respect.  If the legislature wanted such an application to be excluded from the requirement for leave of court it would have stated so explicitly or by necessary implication.  Further, the order for judicial management does not exempt such an application from the requirement to obtain leave before instituting it.  This means, therefore, that the objection that</w:t>
      </w:r>
      <w:r w:rsidR="00CF0451">
        <w:rPr>
          <w:rFonts w:ascii="Times New Roman" w:hAnsi="Times New Roman" w:cs="Times New Roman"/>
          <w:sz w:val="24"/>
          <w:szCs w:val="24"/>
        </w:rPr>
        <w:t xml:space="preserve"> these sections</w:t>
      </w:r>
      <w:r w:rsidR="00B542F6">
        <w:rPr>
          <w:rFonts w:ascii="Times New Roman" w:hAnsi="Times New Roman" w:cs="Times New Roman"/>
          <w:sz w:val="24"/>
          <w:szCs w:val="24"/>
        </w:rPr>
        <w:t xml:space="preserve"> </w:t>
      </w:r>
      <w:r w:rsidR="00CF0451">
        <w:rPr>
          <w:rFonts w:ascii="Times New Roman" w:hAnsi="Times New Roman" w:cs="Times New Roman"/>
          <w:sz w:val="24"/>
          <w:szCs w:val="24"/>
        </w:rPr>
        <w:t>provide</w:t>
      </w:r>
      <w:r w:rsidR="006F6524" w:rsidRPr="006E2CC6">
        <w:rPr>
          <w:rFonts w:ascii="Times New Roman" w:hAnsi="Times New Roman" w:cs="Times New Roman"/>
          <w:sz w:val="24"/>
          <w:szCs w:val="24"/>
        </w:rPr>
        <w:t xml:space="preserve"> an alternative to the application for leave to institute proceedings against the first respondent cannot be sustained.  In any event, the remedy provided for in s 259</w:t>
      </w:r>
      <w:r>
        <w:rPr>
          <w:rFonts w:ascii="Times New Roman" w:hAnsi="Times New Roman" w:cs="Times New Roman"/>
          <w:sz w:val="24"/>
          <w:szCs w:val="24"/>
        </w:rPr>
        <w:t xml:space="preserve"> </w:t>
      </w:r>
      <w:r w:rsidR="006F6524" w:rsidRPr="006E2CC6">
        <w:rPr>
          <w:rFonts w:ascii="Times New Roman" w:hAnsi="Times New Roman" w:cs="Times New Roman"/>
          <w:sz w:val="24"/>
          <w:szCs w:val="24"/>
        </w:rPr>
        <w:t>(1) assumes that the claim would be simply for the setting aside of the rejection of the claim by the liquidator and that the matters raised would be capable of determination on the papers since the procedure for the remedy would be by motion proceedings.  Such a procedure inevitably presents difficulties where there are allegations of breach which would require proof of the breaches alleged by both parties as well as the amount due.  These are matters which in the circumstances of this case or any other similar dispute would require evidence to be led in trial proceedings. The s 259</w:t>
      </w:r>
      <w:r>
        <w:rPr>
          <w:rFonts w:ascii="Times New Roman" w:hAnsi="Times New Roman" w:cs="Times New Roman"/>
          <w:sz w:val="24"/>
          <w:szCs w:val="24"/>
        </w:rPr>
        <w:t xml:space="preserve"> </w:t>
      </w:r>
      <w:r w:rsidR="006F6524" w:rsidRPr="006E2CC6">
        <w:rPr>
          <w:rFonts w:ascii="Times New Roman" w:hAnsi="Times New Roman" w:cs="Times New Roman"/>
          <w:sz w:val="24"/>
          <w:szCs w:val="24"/>
        </w:rPr>
        <w:t>(1) procedure would therefore be inapposite for matters where there are disputes of fact.</w:t>
      </w:r>
      <w:r w:rsidR="003D75D4" w:rsidRPr="006E2CC6">
        <w:rPr>
          <w:rFonts w:ascii="Times New Roman" w:hAnsi="Times New Roman" w:cs="Times New Roman"/>
          <w:sz w:val="24"/>
          <w:szCs w:val="24"/>
        </w:rPr>
        <w:t xml:space="preserve">  After all, the procedure does not purport to operate to the exclusion of any other remedies which may be available to a claimant whose claim has been rejected by the judicial manager.  For these reasons the objection based on s 159</w:t>
      </w:r>
      <w:r>
        <w:rPr>
          <w:rFonts w:ascii="Times New Roman" w:hAnsi="Times New Roman" w:cs="Times New Roman"/>
          <w:sz w:val="24"/>
          <w:szCs w:val="24"/>
        </w:rPr>
        <w:t xml:space="preserve"> </w:t>
      </w:r>
      <w:r w:rsidR="003D75D4" w:rsidRPr="006E2CC6">
        <w:rPr>
          <w:rFonts w:ascii="Times New Roman" w:hAnsi="Times New Roman" w:cs="Times New Roman"/>
          <w:sz w:val="24"/>
          <w:szCs w:val="24"/>
        </w:rPr>
        <w:t xml:space="preserve">(1) is dismissed for want of merit. </w:t>
      </w:r>
    </w:p>
    <w:p w:rsidR="00AA14F0" w:rsidRPr="006E2CC6" w:rsidRDefault="00DB4C50" w:rsidP="006010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19E3" w:rsidRPr="006E2CC6">
        <w:rPr>
          <w:rFonts w:ascii="Times New Roman" w:hAnsi="Times New Roman" w:cs="Times New Roman"/>
          <w:sz w:val="24"/>
          <w:szCs w:val="24"/>
        </w:rPr>
        <w:t xml:space="preserve">What has to be determined now is whether leave to institute proceedings against the first respondent must be granted it being trite that judicial management is not an absolute bar to such proceedings.  This is a matter in respect of which the court has a discretion which discretion must be exercised judicially having regard to all the circumstances of the case, see </w:t>
      </w:r>
      <w:r w:rsidR="00313B5A" w:rsidRPr="006E2CC6">
        <w:rPr>
          <w:rFonts w:ascii="Times New Roman" w:hAnsi="Times New Roman" w:cs="Times New Roman"/>
          <w:i/>
          <w:sz w:val="24"/>
          <w:szCs w:val="24"/>
        </w:rPr>
        <w:t xml:space="preserve">Bindura University of Science Education </w:t>
      </w:r>
      <w:r w:rsidR="00313B5A" w:rsidRPr="00B9741A">
        <w:rPr>
          <w:rFonts w:ascii="Times New Roman" w:hAnsi="Times New Roman" w:cs="Times New Roman"/>
          <w:sz w:val="24"/>
          <w:szCs w:val="24"/>
        </w:rPr>
        <w:t>v</w:t>
      </w:r>
      <w:r w:rsidR="00313B5A" w:rsidRPr="006E2CC6">
        <w:rPr>
          <w:rFonts w:ascii="Times New Roman" w:hAnsi="Times New Roman" w:cs="Times New Roman"/>
          <w:i/>
          <w:sz w:val="24"/>
          <w:szCs w:val="24"/>
        </w:rPr>
        <w:t xml:space="preserve"> Tetrad Investment Bank Ltd &amp; Anor </w:t>
      </w:r>
      <w:r w:rsidR="00313B5A" w:rsidRPr="006E2CC6">
        <w:rPr>
          <w:rFonts w:ascii="Times New Roman" w:hAnsi="Times New Roman" w:cs="Times New Roman"/>
          <w:sz w:val="24"/>
          <w:szCs w:val="24"/>
        </w:rPr>
        <w:t xml:space="preserve">2017 (1) ZLR 193(H) at 196G-197E.  </w:t>
      </w:r>
      <w:r w:rsidR="008A4E56" w:rsidRPr="006E2CC6">
        <w:rPr>
          <w:rFonts w:ascii="Times New Roman" w:hAnsi="Times New Roman" w:cs="Times New Roman"/>
          <w:sz w:val="24"/>
          <w:szCs w:val="24"/>
        </w:rPr>
        <w:lastRenderedPageBreak/>
        <w:t xml:space="preserve">Unlike in the </w:t>
      </w:r>
      <w:r w:rsidR="00401A6E" w:rsidRPr="006E2CC6">
        <w:rPr>
          <w:rFonts w:ascii="Times New Roman" w:hAnsi="Times New Roman" w:cs="Times New Roman"/>
          <w:i/>
          <w:sz w:val="24"/>
          <w:szCs w:val="24"/>
        </w:rPr>
        <w:t xml:space="preserve">Bindura University of Science Education </w:t>
      </w:r>
      <w:r w:rsidR="00401A6E" w:rsidRPr="00B9741A">
        <w:rPr>
          <w:rFonts w:ascii="Times New Roman" w:hAnsi="Times New Roman" w:cs="Times New Roman"/>
          <w:sz w:val="24"/>
          <w:szCs w:val="24"/>
        </w:rPr>
        <w:t>v</w:t>
      </w:r>
      <w:r w:rsidR="00401A6E" w:rsidRPr="006E2CC6">
        <w:rPr>
          <w:rFonts w:ascii="Times New Roman" w:hAnsi="Times New Roman" w:cs="Times New Roman"/>
          <w:i/>
          <w:sz w:val="24"/>
          <w:szCs w:val="24"/>
        </w:rPr>
        <w:t xml:space="preserve"> Tetrad Investment Bank Ltd, supra, </w:t>
      </w:r>
      <w:r w:rsidR="00401A6E" w:rsidRPr="006E2CC6">
        <w:rPr>
          <w:rFonts w:ascii="Times New Roman" w:hAnsi="Times New Roman" w:cs="Times New Roman"/>
          <w:sz w:val="24"/>
          <w:szCs w:val="24"/>
        </w:rPr>
        <w:t xml:space="preserve">where judgment had already been obtained prior to the respondent being placed under judicial management, in the present case what is being sought is to institute proceedings for the liability of the first respondent to be determined.  In my view the principles applicable should be the same.  Neither the Companies Act nor the judicial management order provides guidelines as to the relevant principles.  The judgment of the Federal Court of Australia in the case of </w:t>
      </w:r>
      <w:r w:rsidR="00401A6E" w:rsidRPr="006E2CC6">
        <w:rPr>
          <w:rFonts w:ascii="Times New Roman" w:hAnsi="Times New Roman" w:cs="Times New Roman"/>
          <w:i/>
          <w:sz w:val="24"/>
          <w:szCs w:val="24"/>
        </w:rPr>
        <w:t xml:space="preserve">Rushleigh Services Pty Ltd </w:t>
      </w:r>
      <w:r w:rsidR="00401A6E" w:rsidRPr="00B9741A">
        <w:rPr>
          <w:rFonts w:ascii="Times New Roman" w:hAnsi="Times New Roman" w:cs="Times New Roman"/>
          <w:sz w:val="24"/>
          <w:szCs w:val="24"/>
        </w:rPr>
        <w:t>v</w:t>
      </w:r>
      <w:r w:rsidR="00401A6E" w:rsidRPr="006E2CC6">
        <w:rPr>
          <w:rFonts w:ascii="Times New Roman" w:hAnsi="Times New Roman" w:cs="Times New Roman"/>
          <w:i/>
          <w:sz w:val="24"/>
          <w:szCs w:val="24"/>
        </w:rPr>
        <w:t xml:space="preserve"> Forge Group Ltd (In Liq) (Receivers a</w:t>
      </w:r>
      <w:r>
        <w:rPr>
          <w:rFonts w:ascii="Times New Roman" w:hAnsi="Times New Roman" w:cs="Times New Roman"/>
          <w:i/>
          <w:sz w:val="24"/>
          <w:szCs w:val="24"/>
        </w:rPr>
        <w:t xml:space="preserve">nd Managers Appointed); </w:t>
      </w:r>
      <w:r w:rsidRPr="00DB4C50">
        <w:rPr>
          <w:rFonts w:ascii="Times New Roman" w:hAnsi="Times New Roman" w:cs="Times New Roman"/>
          <w:sz w:val="24"/>
          <w:szCs w:val="24"/>
        </w:rPr>
        <w:t>In the m</w:t>
      </w:r>
      <w:r w:rsidR="00401A6E" w:rsidRPr="00DB4C50">
        <w:rPr>
          <w:rFonts w:ascii="Times New Roman" w:hAnsi="Times New Roman" w:cs="Times New Roman"/>
          <w:sz w:val="24"/>
          <w:szCs w:val="24"/>
        </w:rPr>
        <w:t>atter</w:t>
      </w:r>
      <w:r w:rsidR="00401A6E" w:rsidRPr="006E2CC6">
        <w:rPr>
          <w:rFonts w:ascii="Times New Roman" w:hAnsi="Times New Roman" w:cs="Times New Roman"/>
          <w:i/>
          <w:sz w:val="24"/>
          <w:szCs w:val="24"/>
        </w:rPr>
        <w:t xml:space="preserve"> </w:t>
      </w:r>
      <w:r w:rsidR="00401A6E" w:rsidRPr="00DB4C50">
        <w:rPr>
          <w:rFonts w:ascii="Times New Roman" w:hAnsi="Times New Roman" w:cs="Times New Roman"/>
          <w:sz w:val="24"/>
          <w:szCs w:val="24"/>
        </w:rPr>
        <w:t>of</w:t>
      </w:r>
      <w:r w:rsidR="00401A6E" w:rsidRPr="006E2CC6">
        <w:rPr>
          <w:rFonts w:ascii="Times New Roman" w:hAnsi="Times New Roman" w:cs="Times New Roman"/>
          <w:i/>
          <w:sz w:val="24"/>
          <w:szCs w:val="24"/>
        </w:rPr>
        <w:t xml:space="preserve"> Forge Group Ltd (In Liq) (Receivers and Managers Appointed) </w:t>
      </w:r>
      <w:r w:rsidR="00401A6E" w:rsidRPr="006E2CC6">
        <w:rPr>
          <w:rFonts w:ascii="Times New Roman" w:hAnsi="Times New Roman" w:cs="Times New Roman"/>
          <w:sz w:val="24"/>
          <w:szCs w:val="24"/>
        </w:rPr>
        <w:t xml:space="preserve">[2016] FCA 1471, is instructive.  The relevant provisions </w:t>
      </w:r>
      <w:r w:rsidR="00AA14F0" w:rsidRPr="006E2CC6">
        <w:rPr>
          <w:rFonts w:ascii="Times New Roman" w:hAnsi="Times New Roman" w:cs="Times New Roman"/>
          <w:sz w:val="24"/>
          <w:szCs w:val="24"/>
        </w:rPr>
        <w:t xml:space="preserve">are contained in s 500(2) </w:t>
      </w:r>
      <w:r w:rsidR="00401A6E" w:rsidRPr="006E2CC6">
        <w:rPr>
          <w:rFonts w:ascii="Times New Roman" w:hAnsi="Times New Roman" w:cs="Times New Roman"/>
          <w:sz w:val="24"/>
          <w:szCs w:val="24"/>
        </w:rPr>
        <w:t xml:space="preserve">of the </w:t>
      </w:r>
      <w:r w:rsidR="00401A6E" w:rsidRPr="006E2CC6">
        <w:rPr>
          <w:rFonts w:ascii="Times New Roman" w:hAnsi="Times New Roman" w:cs="Times New Roman"/>
          <w:i/>
          <w:sz w:val="24"/>
          <w:szCs w:val="24"/>
        </w:rPr>
        <w:t>Corporations Act 2001</w:t>
      </w:r>
      <w:r w:rsidR="00AA14F0" w:rsidRPr="006E2CC6">
        <w:rPr>
          <w:rFonts w:ascii="Times New Roman" w:hAnsi="Times New Roman" w:cs="Times New Roman"/>
          <w:i/>
          <w:sz w:val="24"/>
          <w:szCs w:val="24"/>
        </w:rPr>
        <w:t xml:space="preserve"> </w:t>
      </w:r>
      <w:r w:rsidR="00AA14F0" w:rsidRPr="006E2CC6">
        <w:rPr>
          <w:rFonts w:ascii="Times New Roman" w:hAnsi="Times New Roman" w:cs="Times New Roman"/>
          <w:sz w:val="24"/>
          <w:szCs w:val="24"/>
        </w:rPr>
        <w:t>which states as follows:</w:t>
      </w:r>
    </w:p>
    <w:p w:rsidR="00C02740" w:rsidRDefault="00AA14F0" w:rsidP="00DB4C50">
      <w:pPr>
        <w:spacing w:after="0" w:line="240" w:lineRule="auto"/>
        <w:ind w:left="1440"/>
        <w:jc w:val="both"/>
        <w:rPr>
          <w:rFonts w:ascii="Times New Roman" w:hAnsi="Times New Roman" w:cs="Times New Roman"/>
        </w:rPr>
      </w:pPr>
      <w:r w:rsidRPr="00DB4C50">
        <w:rPr>
          <w:rFonts w:ascii="Times New Roman" w:hAnsi="Times New Roman" w:cs="Times New Roman"/>
        </w:rPr>
        <w:t>“After the passing</w:t>
      </w:r>
      <w:r w:rsidR="00C02740" w:rsidRPr="00DB4C50">
        <w:rPr>
          <w:rFonts w:ascii="Times New Roman" w:hAnsi="Times New Roman" w:cs="Times New Roman"/>
        </w:rPr>
        <w:t xml:space="preserve"> of the resolution for voluntary winding up, no action or other civil proceeding is to be proceeded with or commenced against the company except by leave of the Court and subject to such terms as the Court imposes.”</w:t>
      </w:r>
    </w:p>
    <w:p w:rsidR="00DB4C50" w:rsidRPr="00DB4C50" w:rsidRDefault="00DB4C50" w:rsidP="00DB4C50">
      <w:pPr>
        <w:spacing w:after="0" w:line="240" w:lineRule="auto"/>
        <w:ind w:left="1440"/>
        <w:jc w:val="both"/>
        <w:rPr>
          <w:rFonts w:ascii="Times New Roman" w:hAnsi="Times New Roman" w:cs="Times New Roman"/>
        </w:rPr>
      </w:pPr>
    </w:p>
    <w:p w:rsidR="00534522" w:rsidRPr="006E2CC6" w:rsidRDefault="00DB4C50" w:rsidP="00DB4C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02740" w:rsidRPr="006E2CC6">
        <w:rPr>
          <w:rFonts w:ascii="Times New Roman" w:hAnsi="Times New Roman" w:cs="Times New Roman"/>
          <w:sz w:val="24"/>
          <w:szCs w:val="24"/>
        </w:rPr>
        <w:t xml:space="preserve">There are differences between the above provision and the one in </w:t>
      </w:r>
      <w:r w:rsidR="0025416E" w:rsidRPr="006E2CC6">
        <w:rPr>
          <w:rFonts w:ascii="Times New Roman" w:hAnsi="Times New Roman" w:cs="Times New Roman"/>
          <w:sz w:val="24"/>
          <w:szCs w:val="24"/>
        </w:rPr>
        <w:t>our law</w:t>
      </w:r>
      <w:r w:rsidR="00B9741A">
        <w:rPr>
          <w:rFonts w:ascii="Times New Roman" w:hAnsi="Times New Roman" w:cs="Times New Roman"/>
          <w:sz w:val="24"/>
          <w:szCs w:val="24"/>
        </w:rPr>
        <w:t xml:space="preserve"> relative to judicial management</w:t>
      </w:r>
      <w:r w:rsidR="0025416E" w:rsidRPr="006E2CC6">
        <w:rPr>
          <w:rFonts w:ascii="Times New Roman" w:hAnsi="Times New Roman" w:cs="Times New Roman"/>
          <w:sz w:val="24"/>
          <w:szCs w:val="24"/>
        </w:rPr>
        <w:t xml:space="preserve"> in that in terms of the Australian</w:t>
      </w:r>
      <w:r w:rsidR="00C02740" w:rsidRPr="006E2CC6">
        <w:rPr>
          <w:rFonts w:ascii="Times New Roman" w:hAnsi="Times New Roman" w:cs="Times New Roman"/>
          <w:sz w:val="24"/>
          <w:szCs w:val="24"/>
        </w:rPr>
        <w:t xml:space="preserve"> provision the civil proceedings are stayed </w:t>
      </w:r>
      <w:r w:rsidR="004B46CC" w:rsidRPr="006E2CC6">
        <w:rPr>
          <w:rFonts w:ascii="Times New Roman" w:hAnsi="Times New Roman" w:cs="Times New Roman"/>
          <w:sz w:val="24"/>
          <w:szCs w:val="24"/>
        </w:rPr>
        <w:t xml:space="preserve">or may not be commenced </w:t>
      </w:r>
      <w:r w:rsidR="00C02740" w:rsidRPr="006E2CC6">
        <w:rPr>
          <w:rFonts w:ascii="Times New Roman" w:hAnsi="Times New Roman" w:cs="Times New Roman"/>
          <w:sz w:val="24"/>
          <w:szCs w:val="24"/>
        </w:rPr>
        <w:t>after the passing of a resolution for voluntary winding up wher</w:t>
      </w:r>
      <w:r w:rsidR="001D42ED" w:rsidRPr="006E2CC6">
        <w:rPr>
          <w:rFonts w:ascii="Times New Roman" w:hAnsi="Times New Roman" w:cs="Times New Roman"/>
          <w:sz w:val="24"/>
          <w:szCs w:val="24"/>
        </w:rPr>
        <w:t>eas in this jurisdiction actions and proceedings and execution of all</w:t>
      </w:r>
      <w:r w:rsidR="00C02740" w:rsidRPr="006E2CC6">
        <w:rPr>
          <w:rFonts w:ascii="Times New Roman" w:hAnsi="Times New Roman" w:cs="Times New Roman"/>
          <w:sz w:val="24"/>
          <w:szCs w:val="24"/>
        </w:rPr>
        <w:t xml:space="preserve"> writs</w:t>
      </w:r>
      <w:r w:rsidR="001D42ED" w:rsidRPr="006E2CC6">
        <w:rPr>
          <w:rFonts w:ascii="Times New Roman" w:hAnsi="Times New Roman" w:cs="Times New Roman"/>
          <w:sz w:val="24"/>
          <w:szCs w:val="24"/>
        </w:rPr>
        <w:t>, summonses</w:t>
      </w:r>
      <w:r w:rsidR="00C02740" w:rsidRPr="006E2CC6">
        <w:rPr>
          <w:rFonts w:ascii="Times New Roman" w:hAnsi="Times New Roman" w:cs="Times New Roman"/>
          <w:sz w:val="24"/>
          <w:szCs w:val="24"/>
        </w:rPr>
        <w:t xml:space="preserve"> and other processes</w:t>
      </w:r>
      <w:r w:rsidR="001D42ED" w:rsidRPr="006E2CC6">
        <w:rPr>
          <w:rFonts w:ascii="Times New Roman" w:hAnsi="Times New Roman" w:cs="Times New Roman"/>
          <w:sz w:val="24"/>
          <w:szCs w:val="24"/>
        </w:rPr>
        <w:t xml:space="preserve"> against the company</w:t>
      </w:r>
      <w:r w:rsidR="00C02740" w:rsidRPr="006E2CC6">
        <w:rPr>
          <w:rFonts w:ascii="Times New Roman" w:hAnsi="Times New Roman" w:cs="Times New Roman"/>
          <w:sz w:val="24"/>
          <w:szCs w:val="24"/>
        </w:rPr>
        <w:t xml:space="preserve"> are only stayed by an order of cou</w:t>
      </w:r>
      <w:r w:rsidR="004B46CC" w:rsidRPr="006E2CC6">
        <w:rPr>
          <w:rFonts w:ascii="Times New Roman" w:hAnsi="Times New Roman" w:cs="Times New Roman"/>
          <w:sz w:val="24"/>
          <w:szCs w:val="24"/>
        </w:rPr>
        <w:t>rt</w:t>
      </w:r>
      <w:r w:rsidR="001D42ED" w:rsidRPr="006E2CC6">
        <w:rPr>
          <w:rFonts w:ascii="Times New Roman" w:hAnsi="Times New Roman" w:cs="Times New Roman"/>
          <w:sz w:val="24"/>
          <w:szCs w:val="24"/>
        </w:rPr>
        <w:t>, s 301</w:t>
      </w:r>
      <w:r w:rsidR="00B9741A">
        <w:rPr>
          <w:rFonts w:ascii="Times New Roman" w:hAnsi="Times New Roman" w:cs="Times New Roman"/>
          <w:sz w:val="24"/>
          <w:szCs w:val="24"/>
        </w:rPr>
        <w:t xml:space="preserve"> </w:t>
      </w:r>
      <w:r w:rsidR="001D42ED" w:rsidRPr="006E2CC6">
        <w:rPr>
          <w:rFonts w:ascii="Times New Roman" w:hAnsi="Times New Roman" w:cs="Times New Roman"/>
          <w:sz w:val="24"/>
          <w:szCs w:val="24"/>
        </w:rPr>
        <w:t>(1) of the Companies Act [</w:t>
      </w:r>
      <w:r w:rsidR="001D42ED" w:rsidRPr="006E2CC6">
        <w:rPr>
          <w:rFonts w:ascii="Times New Roman" w:hAnsi="Times New Roman" w:cs="Times New Roman"/>
          <w:i/>
          <w:sz w:val="24"/>
          <w:szCs w:val="24"/>
        </w:rPr>
        <w:t>Chapter 24:03</w:t>
      </w:r>
      <w:r w:rsidR="001D42ED" w:rsidRPr="006E2CC6">
        <w:rPr>
          <w:rFonts w:ascii="Times New Roman" w:hAnsi="Times New Roman" w:cs="Times New Roman"/>
          <w:sz w:val="24"/>
          <w:szCs w:val="24"/>
        </w:rPr>
        <w:t>]</w:t>
      </w:r>
      <w:r w:rsidR="004B46CC" w:rsidRPr="006E2CC6">
        <w:rPr>
          <w:rFonts w:ascii="Times New Roman" w:hAnsi="Times New Roman" w:cs="Times New Roman"/>
          <w:sz w:val="24"/>
          <w:szCs w:val="24"/>
        </w:rPr>
        <w:t>.</w:t>
      </w:r>
      <w:r w:rsidR="00315ED5" w:rsidRPr="006E2CC6">
        <w:rPr>
          <w:rFonts w:ascii="Times New Roman" w:hAnsi="Times New Roman" w:cs="Times New Roman"/>
          <w:sz w:val="24"/>
          <w:szCs w:val="24"/>
        </w:rPr>
        <w:t xml:space="preserve">  However, judicial management has the same effect as in our jurisdiction once the court has ordered that all actions and proceedings and the execution of summonses against the company be stayed and not proceeded with without the leave of the court.  </w:t>
      </w:r>
      <w:r w:rsidR="00B9741A">
        <w:rPr>
          <w:rFonts w:ascii="Times New Roman" w:hAnsi="Times New Roman" w:cs="Times New Roman"/>
          <w:sz w:val="24"/>
          <w:szCs w:val="24"/>
        </w:rPr>
        <w:t xml:space="preserve">An area of commonality </w:t>
      </w:r>
      <w:r w:rsidR="00670198" w:rsidRPr="006E2CC6">
        <w:rPr>
          <w:rFonts w:ascii="Times New Roman" w:hAnsi="Times New Roman" w:cs="Times New Roman"/>
          <w:sz w:val="24"/>
          <w:szCs w:val="24"/>
        </w:rPr>
        <w:t>is that the Australian provision cited above is similar in material respects to s 213 of our Companies Act which applies to a winding up by the court in that the effect of winding up is not just to stay or preclude proceeding with any action or proceeding against the company but also to prohibit commencement of any action or proceeding against such company.  Section 213 (a) of the Companies Act provides th</w:t>
      </w:r>
      <w:r w:rsidR="00534522" w:rsidRPr="006E2CC6">
        <w:rPr>
          <w:rFonts w:ascii="Times New Roman" w:hAnsi="Times New Roman" w:cs="Times New Roman"/>
          <w:sz w:val="24"/>
          <w:szCs w:val="24"/>
        </w:rPr>
        <w:t>at in a winding up by the court,</w:t>
      </w:r>
      <w:r w:rsidR="00670198" w:rsidRPr="006E2CC6">
        <w:rPr>
          <w:rFonts w:ascii="Times New Roman" w:hAnsi="Times New Roman" w:cs="Times New Roman"/>
          <w:sz w:val="24"/>
          <w:szCs w:val="24"/>
        </w:rPr>
        <w:t xml:space="preserve"> “no action or proceeding shall be proceeded with or commenced against the company except by leave of the court and subject </w:t>
      </w:r>
      <w:r w:rsidR="00B9741A">
        <w:rPr>
          <w:rFonts w:ascii="Times New Roman" w:hAnsi="Times New Roman" w:cs="Times New Roman"/>
          <w:sz w:val="24"/>
          <w:szCs w:val="24"/>
        </w:rPr>
        <w:t xml:space="preserve"> </w:t>
      </w:r>
      <w:r w:rsidR="00670198" w:rsidRPr="006E2CC6">
        <w:rPr>
          <w:rFonts w:ascii="Times New Roman" w:hAnsi="Times New Roman" w:cs="Times New Roman"/>
          <w:sz w:val="24"/>
          <w:szCs w:val="24"/>
        </w:rPr>
        <w:t xml:space="preserve">to such terms as the court may impose.”  In </w:t>
      </w:r>
      <w:r w:rsidR="00B9741A">
        <w:rPr>
          <w:rFonts w:ascii="Times New Roman" w:hAnsi="Times New Roman" w:cs="Times New Roman"/>
          <w:sz w:val="24"/>
          <w:szCs w:val="24"/>
        </w:rPr>
        <w:t xml:space="preserve"> </w:t>
      </w:r>
      <w:r w:rsidR="00670198" w:rsidRPr="006E2CC6">
        <w:rPr>
          <w:rFonts w:ascii="Times New Roman" w:hAnsi="Times New Roman" w:cs="Times New Roman"/>
          <w:sz w:val="24"/>
          <w:szCs w:val="24"/>
        </w:rPr>
        <w:t xml:space="preserve">this </w:t>
      </w:r>
      <w:r w:rsidR="00B9741A">
        <w:rPr>
          <w:rFonts w:ascii="Times New Roman" w:hAnsi="Times New Roman" w:cs="Times New Roman"/>
          <w:sz w:val="24"/>
          <w:szCs w:val="24"/>
        </w:rPr>
        <w:t xml:space="preserve"> </w:t>
      </w:r>
      <w:r w:rsidR="00670198" w:rsidRPr="006E2CC6">
        <w:rPr>
          <w:rFonts w:ascii="Times New Roman" w:hAnsi="Times New Roman" w:cs="Times New Roman"/>
          <w:sz w:val="24"/>
          <w:szCs w:val="24"/>
        </w:rPr>
        <w:t>respect</w:t>
      </w:r>
      <w:r w:rsidR="00B9741A">
        <w:rPr>
          <w:rFonts w:ascii="Times New Roman" w:hAnsi="Times New Roman" w:cs="Times New Roman"/>
          <w:sz w:val="24"/>
          <w:szCs w:val="24"/>
        </w:rPr>
        <w:t xml:space="preserve"> </w:t>
      </w:r>
      <w:r w:rsidR="00670198" w:rsidRPr="006E2CC6">
        <w:rPr>
          <w:rFonts w:ascii="Times New Roman" w:hAnsi="Times New Roman" w:cs="Times New Roman"/>
          <w:sz w:val="24"/>
          <w:szCs w:val="24"/>
        </w:rPr>
        <w:t xml:space="preserve"> the </w:t>
      </w:r>
      <w:r w:rsidR="00B9741A">
        <w:rPr>
          <w:rFonts w:ascii="Times New Roman" w:hAnsi="Times New Roman" w:cs="Times New Roman"/>
          <w:sz w:val="24"/>
          <w:szCs w:val="24"/>
        </w:rPr>
        <w:t xml:space="preserve"> </w:t>
      </w:r>
      <w:r w:rsidR="00670198" w:rsidRPr="006E2CC6">
        <w:rPr>
          <w:rFonts w:ascii="Times New Roman" w:hAnsi="Times New Roman" w:cs="Times New Roman"/>
          <w:sz w:val="24"/>
          <w:szCs w:val="24"/>
        </w:rPr>
        <w:t xml:space="preserve">Australian </w:t>
      </w:r>
      <w:r w:rsidR="00B9741A">
        <w:rPr>
          <w:rFonts w:ascii="Times New Roman" w:hAnsi="Times New Roman" w:cs="Times New Roman"/>
          <w:sz w:val="24"/>
          <w:szCs w:val="24"/>
        </w:rPr>
        <w:t xml:space="preserve"> </w:t>
      </w:r>
      <w:r w:rsidR="00670198" w:rsidRPr="006E2CC6">
        <w:rPr>
          <w:rFonts w:ascii="Times New Roman" w:hAnsi="Times New Roman" w:cs="Times New Roman"/>
          <w:sz w:val="24"/>
          <w:szCs w:val="24"/>
        </w:rPr>
        <w:t xml:space="preserve">provision </w:t>
      </w:r>
      <w:r w:rsidR="00B9741A">
        <w:rPr>
          <w:rFonts w:ascii="Times New Roman" w:hAnsi="Times New Roman" w:cs="Times New Roman"/>
          <w:sz w:val="24"/>
          <w:szCs w:val="24"/>
        </w:rPr>
        <w:t xml:space="preserve"> </w:t>
      </w:r>
      <w:r w:rsidR="00670198" w:rsidRPr="006E2CC6">
        <w:rPr>
          <w:rFonts w:ascii="Times New Roman" w:hAnsi="Times New Roman" w:cs="Times New Roman"/>
          <w:sz w:val="24"/>
          <w:szCs w:val="24"/>
        </w:rPr>
        <w:t>and s 213</w:t>
      </w:r>
      <w:r w:rsidR="001D092F">
        <w:rPr>
          <w:rFonts w:ascii="Times New Roman" w:hAnsi="Times New Roman" w:cs="Times New Roman"/>
          <w:sz w:val="24"/>
          <w:szCs w:val="24"/>
        </w:rPr>
        <w:t xml:space="preserve"> </w:t>
      </w:r>
      <w:r w:rsidR="00670198" w:rsidRPr="006E2CC6">
        <w:rPr>
          <w:rFonts w:ascii="Times New Roman" w:hAnsi="Times New Roman" w:cs="Times New Roman"/>
          <w:sz w:val="24"/>
          <w:szCs w:val="24"/>
        </w:rPr>
        <w:t>(a) of the Companies Act</w:t>
      </w:r>
      <w:r w:rsidR="00534522" w:rsidRPr="006E2CC6">
        <w:rPr>
          <w:rFonts w:ascii="Times New Roman" w:hAnsi="Times New Roman" w:cs="Times New Roman"/>
          <w:sz w:val="24"/>
          <w:szCs w:val="24"/>
        </w:rPr>
        <w:t xml:space="preserve"> differ from the effect of an order of judicial management as envisaged by s 301(1) </w:t>
      </w:r>
      <w:r w:rsidR="00B9741A">
        <w:rPr>
          <w:rFonts w:ascii="Times New Roman" w:hAnsi="Times New Roman" w:cs="Times New Roman"/>
          <w:sz w:val="24"/>
          <w:szCs w:val="24"/>
        </w:rPr>
        <w:t xml:space="preserve">of our Companies Act </w:t>
      </w:r>
      <w:r w:rsidR="00534522" w:rsidRPr="006E2CC6">
        <w:rPr>
          <w:rFonts w:ascii="Times New Roman" w:hAnsi="Times New Roman" w:cs="Times New Roman"/>
          <w:sz w:val="24"/>
          <w:szCs w:val="24"/>
        </w:rPr>
        <w:t>in that in the latter provision there is no mention of “commencement” of</w:t>
      </w:r>
      <w:r w:rsidR="001D42ED" w:rsidRPr="006E2CC6">
        <w:rPr>
          <w:rFonts w:ascii="Times New Roman" w:hAnsi="Times New Roman" w:cs="Times New Roman"/>
          <w:sz w:val="24"/>
          <w:szCs w:val="24"/>
        </w:rPr>
        <w:t xml:space="preserve"> </w:t>
      </w:r>
      <w:r w:rsidR="00534522" w:rsidRPr="006E2CC6">
        <w:rPr>
          <w:rFonts w:ascii="Times New Roman" w:hAnsi="Times New Roman" w:cs="Times New Roman"/>
          <w:sz w:val="24"/>
          <w:szCs w:val="24"/>
        </w:rPr>
        <w:t xml:space="preserve">any action or other stated proceedings being </w:t>
      </w:r>
      <w:r w:rsidR="00B9741A">
        <w:rPr>
          <w:rFonts w:ascii="Times New Roman" w:hAnsi="Times New Roman" w:cs="Times New Roman"/>
          <w:sz w:val="24"/>
          <w:szCs w:val="24"/>
        </w:rPr>
        <w:t>prohibited</w:t>
      </w:r>
      <w:r w:rsidR="00534522" w:rsidRPr="006E2CC6">
        <w:rPr>
          <w:rFonts w:ascii="Times New Roman" w:hAnsi="Times New Roman" w:cs="Times New Roman"/>
          <w:sz w:val="24"/>
          <w:szCs w:val="24"/>
        </w:rPr>
        <w:t xml:space="preserve"> by a judicial </w:t>
      </w:r>
      <w:r w:rsidR="00534522" w:rsidRPr="006E2CC6">
        <w:rPr>
          <w:rFonts w:ascii="Times New Roman" w:hAnsi="Times New Roman" w:cs="Times New Roman"/>
          <w:sz w:val="24"/>
          <w:szCs w:val="24"/>
        </w:rPr>
        <w:lastRenderedPageBreak/>
        <w:t>management order.  This means, therefore,</w:t>
      </w:r>
      <w:r w:rsidR="001D42ED" w:rsidRPr="006E2CC6">
        <w:rPr>
          <w:rFonts w:ascii="Times New Roman" w:hAnsi="Times New Roman" w:cs="Times New Roman"/>
          <w:sz w:val="24"/>
          <w:szCs w:val="24"/>
        </w:rPr>
        <w:t xml:space="preserve"> </w:t>
      </w:r>
      <w:r w:rsidR="00534522" w:rsidRPr="006E2CC6">
        <w:rPr>
          <w:rFonts w:ascii="Times New Roman" w:hAnsi="Times New Roman" w:cs="Times New Roman"/>
          <w:sz w:val="24"/>
          <w:szCs w:val="24"/>
        </w:rPr>
        <w:t xml:space="preserve">that the applicant does not need the leave of this court to commence the action or proceedings </w:t>
      </w:r>
      <w:r w:rsidR="00534522" w:rsidRPr="006E2CC6">
        <w:rPr>
          <w:rFonts w:ascii="Times New Roman" w:hAnsi="Times New Roman" w:cs="Times New Roman"/>
          <w:i/>
          <w:sz w:val="24"/>
          <w:szCs w:val="24"/>
        </w:rPr>
        <w:t xml:space="preserve">per se </w:t>
      </w:r>
      <w:r w:rsidR="00534522" w:rsidRPr="006E2CC6">
        <w:rPr>
          <w:rFonts w:ascii="Times New Roman" w:hAnsi="Times New Roman" w:cs="Times New Roman"/>
          <w:sz w:val="24"/>
          <w:szCs w:val="24"/>
        </w:rPr>
        <w:t>but requires the leave of the court to proceed with such action or proceeding once commenced</w:t>
      </w:r>
      <w:r w:rsidR="00E4780C" w:rsidRPr="006E2CC6">
        <w:rPr>
          <w:rFonts w:ascii="Times New Roman" w:hAnsi="Times New Roman" w:cs="Times New Roman"/>
          <w:sz w:val="24"/>
          <w:szCs w:val="24"/>
        </w:rPr>
        <w:t xml:space="preserve"> hence the instant application</w:t>
      </w:r>
      <w:r w:rsidR="00534522" w:rsidRPr="006E2CC6">
        <w:rPr>
          <w:rFonts w:ascii="Times New Roman" w:hAnsi="Times New Roman" w:cs="Times New Roman"/>
          <w:sz w:val="24"/>
          <w:szCs w:val="24"/>
        </w:rPr>
        <w:t>.</w:t>
      </w:r>
      <w:r w:rsidR="00F50F74" w:rsidRPr="006E2CC6">
        <w:rPr>
          <w:rFonts w:ascii="Times New Roman" w:hAnsi="Times New Roman" w:cs="Times New Roman"/>
          <w:sz w:val="24"/>
          <w:szCs w:val="24"/>
        </w:rPr>
        <w:t xml:space="preserve">  The Act does not account for this difference but it is not difficult to understand given that winding-up and judicial management differ in their nature</w:t>
      </w:r>
      <w:r w:rsidR="00B9741A">
        <w:rPr>
          <w:rFonts w:ascii="Times New Roman" w:hAnsi="Times New Roman" w:cs="Times New Roman"/>
          <w:sz w:val="24"/>
          <w:szCs w:val="24"/>
        </w:rPr>
        <w:t>,</w:t>
      </w:r>
      <w:r w:rsidR="00F50F74" w:rsidRPr="006E2CC6">
        <w:rPr>
          <w:rFonts w:ascii="Times New Roman" w:hAnsi="Times New Roman" w:cs="Times New Roman"/>
          <w:sz w:val="24"/>
          <w:szCs w:val="24"/>
        </w:rPr>
        <w:t xml:space="preserve"> implications and consequences.  </w:t>
      </w:r>
      <w:r w:rsidR="00534522" w:rsidRPr="006E2CC6">
        <w:rPr>
          <w:rFonts w:ascii="Times New Roman" w:hAnsi="Times New Roman" w:cs="Times New Roman"/>
          <w:sz w:val="24"/>
          <w:szCs w:val="24"/>
        </w:rPr>
        <w:t xml:space="preserve">  </w:t>
      </w:r>
    </w:p>
    <w:p w:rsidR="003E02A4" w:rsidRPr="006E2CC6" w:rsidRDefault="00DB4C50" w:rsidP="00DB4C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0F74" w:rsidRPr="006E2CC6">
        <w:rPr>
          <w:rFonts w:ascii="Times New Roman" w:hAnsi="Times New Roman" w:cs="Times New Roman"/>
          <w:sz w:val="24"/>
          <w:szCs w:val="24"/>
        </w:rPr>
        <w:t xml:space="preserve">In the case of </w:t>
      </w:r>
      <w:r w:rsidR="00F50F74" w:rsidRPr="006E2CC6">
        <w:rPr>
          <w:rFonts w:ascii="Times New Roman" w:hAnsi="Times New Roman" w:cs="Times New Roman"/>
          <w:i/>
          <w:sz w:val="24"/>
          <w:szCs w:val="24"/>
        </w:rPr>
        <w:t>Rushleigh Services Pty Ltd, supra</w:t>
      </w:r>
      <w:r w:rsidR="00E4780C" w:rsidRPr="006E2CC6">
        <w:rPr>
          <w:rFonts w:ascii="Times New Roman" w:hAnsi="Times New Roman" w:cs="Times New Roman"/>
          <w:i/>
          <w:sz w:val="24"/>
          <w:szCs w:val="24"/>
        </w:rPr>
        <w:t xml:space="preserve">, </w:t>
      </w:r>
      <w:r w:rsidR="00E4780C" w:rsidRPr="00DB4C50">
        <w:rPr>
          <w:rFonts w:ascii="Times New Roman" w:hAnsi="Times New Roman" w:cs="Times New Roman"/>
        </w:rPr>
        <w:t>FOSTER J</w:t>
      </w:r>
      <w:r w:rsidR="00E4780C" w:rsidRPr="006E2CC6">
        <w:rPr>
          <w:rFonts w:ascii="Times New Roman" w:hAnsi="Times New Roman" w:cs="Times New Roman"/>
          <w:sz w:val="24"/>
          <w:szCs w:val="24"/>
        </w:rPr>
        <w:t xml:space="preserve"> a</w:t>
      </w:r>
      <w:r w:rsidR="00315ED5" w:rsidRPr="006E2CC6">
        <w:rPr>
          <w:rFonts w:ascii="Times New Roman" w:hAnsi="Times New Roman" w:cs="Times New Roman"/>
          <w:sz w:val="24"/>
          <w:szCs w:val="24"/>
        </w:rPr>
        <w:t xml:space="preserve">fter noting that the </w:t>
      </w:r>
      <w:r w:rsidR="00E4780C" w:rsidRPr="00DB4C50">
        <w:rPr>
          <w:rFonts w:ascii="Times New Roman" w:hAnsi="Times New Roman" w:cs="Times New Roman"/>
          <w:sz w:val="24"/>
          <w:szCs w:val="24"/>
        </w:rPr>
        <w:t xml:space="preserve">Corporations </w:t>
      </w:r>
      <w:r w:rsidR="00315ED5" w:rsidRPr="00DB4C50">
        <w:rPr>
          <w:rFonts w:ascii="Times New Roman" w:hAnsi="Times New Roman" w:cs="Times New Roman"/>
          <w:sz w:val="24"/>
          <w:szCs w:val="24"/>
        </w:rPr>
        <w:t>Act</w:t>
      </w:r>
      <w:r w:rsidR="00315ED5" w:rsidRPr="006E2CC6">
        <w:rPr>
          <w:rFonts w:ascii="Times New Roman" w:hAnsi="Times New Roman" w:cs="Times New Roman"/>
          <w:sz w:val="24"/>
          <w:szCs w:val="24"/>
        </w:rPr>
        <w:t xml:space="preserve"> is silent as to the relevant principles to be applied to the determination of an application for leave to proceed against a company under judicial management, cited with approval the following passage on the relevant principles</w:t>
      </w:r>
      <w:r w:rsidR="003E02A4" w:rsidRPr="006E2CC6">
        <w:rPr>
          <w:rFonts w:ascii="Times New Roman" w:hAnsi="Times New Roman" w:cs="Times New Roman"/>
          <w:sz w:val="24"/>
          <w:szCs w:val="24"/>
        </w:rPr>
        <w:t xml:space="preserve"> in para 15-18, pages 10-11</w:t>
      </w:r>
      <w:r w:rsidR="00315ED5" w:rsidRPr="006E2CC6">
        <w:rPr>
          <w:rFonts w:ascii="Times New Roman" w:hAnsi="Times New Roman" w:cs="Times New Roman"/>
          <w:sz w:val="24"/>
          <w:szCs w:val="24"/>
        </w:rPr>
        <w:t>:</w:t>
      </w:r>
    </w:p>
    <w:p w:rsidR="00582032" w:rsidRPr="00F969AC" w:rsidRDefault="00315ED5" w:rsidP="00F969AC">
      <w:pPr>
        <w:spacing w:after="0" w:line="240" w:lineRule="auto"/>
        <w:ind w:left="1440"/>
        <w:jc w:val="both"/>
        <w:rPr>
          <w:rFonts w:ascii="Times New Roman" w:hAnsi="Times New Roman" w:cs="Times New Roman"/>
        </w:rPr>
      </w:pPr>
      <w:r w:rsidRPr="00F969AC">
        <w:rPr>
          <w:rFonts w:ascii="Times New Roman" w:hAnsi="Times New Roman" w:cs="Times New Roman"/>
        </w:rPr>
        <w:t>“</w:t>
      </w:r>
      <w:r w:rsidR="00E35269" w:rsidRPr="00F969AC">
        <w:rPr>
          <w:rFonts w:ascii="Times New Roman" w:hAnsi="Times New Roman" w:cs="Times New Roman"/>
        </w:rPr>
        <w:t>15.</w:t>
      </w:r>
      <w:r w:rsidR="00E35269" w:rsidRPr="00F969AC">
        <w:rPr>
          <w:rFonts w:ascii="Times New Roman" w:hAnsi="Times New Roman" w:cs="Times New Roman"/>
        </w:rPr>
        <w:tab/>
      </w:r>
      <w:r w:rsidRPr="00F969AC">
        <w:rPr>
          <w:rFonts w:ascii="Times New Roman" w:hAnsi="Times New Roman" w:cs="Times New Roman"/>
        </w:rPr>
        <w:t>In</w:t>
      </w:r>
      <w:r w:rsidR="003E02A4" w:rsidRPr="00F969AC">
        <w:rPr>
          <w:rFonts w:ascii="Times New Roman" w:hAnsi="Times New Roman" w:cs="Times New Roman"/>
        </w:rPr>
        <w:t xml:space="preserve"> </w:t>
      </w:r>
      <w:r w:rsidR="00582032" w:rsidRPr="00F969AC">
        <w:rPr>
          <w:rFonts w:ascii="Times New Roman" w:hAnsi="Times New Roman" w:cs="Times New Roman"/>
          <w:i/>
        </w:rPr>
        <w:t xml:space="preserve">Re Gordon Grant &amp; Grant Pty Ltd </w:t>
      </w:r>
      <w:r w:rsidR="00582032" w:rsidRPr="00F969AC">
        <w:rPr>
          <w:rFonts w:ascii="Times New Roman" w:hAnsi="Times New Roman" w:cs="Times New Roman"/>
        </w:rPr>
        <w:t xml:space="preserve">[1983] 2 Qd R 314 at 315-317, </w:t>
      </w:r>
      <w:r w:rsidR="00F969AC" w:rsidRPr="00F969AC">
        <w:rPr>
          <w:rFonts w:ascii="Times New Roman" w:hAnsi="Times New Roman" w:cs="Times New Roman"/>
        </w:rPr>
        <w:tab/>
      </w:r>
      <w:r w:rsidR="00582032" w:rsidRPr="00F969AC">
        <w:rPr>
          <w:rFonts w:ascii="Times New Roman" w:hAnsi="Times New Roman" w:cs="Times New Roman"/>
        </w:rPr>
        <w:t xml:space="preserve">McPherson J, when sitting as a judge of the Full Court of the Supreme </w:t>
      </w:r>
      <w:r w:rsidR="00F969AC" w:rsidRPr="00F969AC">
        <w:rPr>
          <w:rFonts w:ascii="Times New Roman" w:hAnsi="Times New Roman" w:cs="Times New Roman"/>
        </w:rPr>
        <w:tab/>
      </w:r>
      <w:r w:rsidR="00582032" w:rsidRPr="00F969AC">
        <w:rPr>
          <w:rFonts w:ascii="Times New Roman" w:hAnsi="Times New Roman" w:cs="Times New Roman"/>
        </w:rPr>
        <w:t xml:space="preserve">Court </w:t>
      </w:r>
      <w:r w:rsidR="00F969AC">
        <w:rPr>
          <w:rFonts w:ascii="Times New Roman" w:hAnsi="Times New Roman" w:cs="Times New Roman"/>
        </w:rPr>
        <w:tab/>
      </w:r>
      <w:r w:rsidR="00582032" w:rsidRPr="00F969AC">
        <w:rPr>
          <w:rFonts w:ascii="Times New Roman" w:hAnsi="Times New Roman" w:cs="Times New Roman"/>
        </w:rPr>
        <w:t xml:space="preserve">of Queensland, summarized the relevant principles.  I extract the </w:t>
      </w:r>
      <w:r w:rsidR="00F969AC" w:rsidRPr="00F969AC">
        <w:rPr>
          <w:rFonts w:ascii="Times New Roman" w:hAnsi="Times New Roman" w:cs="Times New Roman"/>
        </w:rPr>
        <w:tab/>
      </w:r>
      <w:r w:rsidR="00582032" w:rsidRPr="00F969AC">
        <w:rPr>
          <w:rFonts w:ascii="Times New Roman" w:hAnsi="Times New Roman" w:cs="Times New Roman"/>
        </w:rPr>
        <w:t xml:space="preserve">following </w:t>
      </w:r>
      <w:r w:rsidR="00F969AC">
        <w:rPr>
          <w:rFonts w:ascii="Times New Roman" w:hAnsi="Times New Roman" w:cs="Times New Roman"/>
        </w:rPr>
        <w:tab/>
      </w:r>
      <w:r w:rsidR="00582032" w:rsidRPr="00F969AC">
        <w:rPr>
          <w:rFonts w:ascii="Times New Roman" w:hAnsi="Times New Roman" w:cs="Times New Roman"/>
        </w:rPr>
        <w:t>relevant propositions from his Honour’s summary:</w:t>
      </w:r>
    </w:p>
    <w:p w:rsidR="00582032" w:rsidRPr="00F969AC" w:rsidRDefault="00F969AC" w:rsidP="00F969AC">
      <w:pPr>
        <w:pStyle w:val="ListParagraph"/>
        <w:spacing w:after="0" w:line="240" w:lineRule="auto"/>
        <w:ind w:left="1800"/>
        <w:jc w:val="both"/>
        <w:rPr>
          <w:rFonts w:ascii="Times New Roman" w:hAnsi="Times New Roman" w:cs="Times New Roman"/>
        </w:rPr>
      </w:pPr>
      <w:r w:rsidRPr="00F969AC">
        <w:rPr>
          <w:rFonts w:ascii="Times New Roman" w:hAnsi="Times New Roman" w:cs="Times New Roman"/>
        </w:rPr>
        <w:tab/>
        <w:t xml:space="preserve">(a) </w:t>
      </w:r>
      <w:r w:rsidRPr="00F969AC">
        <w:rPr>
          <w:rFonts w:ascii="Times New Roman" w:hAnsi="Times New Roman" w:cs="Times New Roman"/>
        </w:rPr>
        <w:tab/>
      </w:r>
      <w:r w:rsidR="00582032" w:rsidRPr="00F969AC">
        <w:rPr>
          <w:rFonts w:ascii="Times New Roman" w:hAnsi="Times New Roman" w:cs="Times New Roman"/>
        </w:rPr>
        <w:t xml:space="preserve">A decision granting or refusing leave to proceed against a </w:t>
      </w:r>
      <w:r w:rsidRPr="00F969AC">
        <w:rPr>
          <w:rFonts w:ascii="Times New Roman" w:hAnsi="Times New Roman" w:cs="Times New Roman"/>
        </w:rPr>
        <w:tab/>
      </w:r>
      <w:r w:rsidRPr="00F969AC">
        <w:rPr>
          <w:rFonts w:ascii="Times New Roman" w:hAnsi="Times New Roman" w:cs="Times New Roman"/>
        </w:rPr>
        <w:tab/>
      </w:r>
      <w:r w:rsidRPr="00F969AC">
        <w:rPr>
          <w:rFonts w:ascii="Times New Roman" w:hAnsi="Times New Roman" w:cs="Times New Roman"/>
        </w:rPr>
        <w:tab/>
      </w:r>
      <w:r w:rsidRPr="00F969AC">
        <w:rPr>
          <w:rFonts w:ascii="Times New Roman" w:hAnsi="Times New Roman" w:cs="Times New Roman"/>
        </w:rPr>
        <w:tab/>
      </w:r>
      <w:r w:rsidR="00582032" w:rsidRPr="00F969AC">
        <w:rPr>
          <w:rFonts w:ascii="Times New Roman" w:hAnsi="Times New Roman" w:cs="Times New Roman"/>
        </w:rPr>
        <w:t>corporation</w:t>
      </w:r>
      <w:r w:rsidRPr="00F969AC">
        <w:rPr>
          <w:rFonts w:ascii="Times New Roman" w:hAnsi="Times New Roman" w:cs="Times New Roman"/>
        </w:rPr>
        <w:t xml:space="preserve"> </w:t>
      </w:r>
      <w:r w:rsidR="00582032" w:rsidRPr="00F969AC">
        <w:rPr>
          <w:rFonts w:ascii="Times New Roman" w:hAnsi="Times New Roman" w:cs="Times New Roman"/>
        </w:rPr>
        <w:t xml:space="preserve">in liquidation involves the exercise of a judicial </w:t>
      </w:r>
      <w:r w:rsidRPr="00F969AC">
        <w:rPr>
          <w:rFonts w:ascii="Times New Roman" w:hAnsi="Times New Roman" w:cs="Times New Roman"/>
        </w:rPr>
        <w:tab/>
      </w:r>
      <w:r w:rsidRPr="00F969AC">
        <w:rPr>
          <w:rFonts w:ascii="Times New Roman" w:hAnsi="Times New Roman" w:cs="Times New Roman"/>
        </w:rPr>
        <w:tab/>
      </w:r>
      <w:r w:rsidRPr="00F969AC">
        <w:rPr>
          <w:rFonts w:ascii="Times New Roman" w:hAnsi="Times New Roman" w:cs="Times New Roman"/>
        </w:rPr>
        <w:tab/>
      </w:r>
      <w:r>
        <w:rPr>
          <w:rFonts w:ascii="Times New Roman" w:hAnsi="Times New Roman" w:cs="Times New Roman"/>
        </w:rPr>
        <w:tab/>
      </w:r>
      <w:r w:rsidR="00582032" w:rsidRPr="00F969AC">
        <w:rPr>
          <w:rFonts w:ascii="Times New Roman" w:hAnsi="Times New Roman" w:cs="Times New Roman"/>
        </w:rPr>
        <w:t>discretion;</w:t>
      </w:r>
    </w:p>
    <w:p w:rsidR="00582032" w:rsidRPr="00F969AC" w:rsidRDefault="00F969AC" w:rsidP="00F969AC">
      <w:pPr>
        <w:pStyle w:val="ListParagraph"/>
        <w:spacing w:after="0" w:line="240" w:lineRule="auto"/>
        <w:ind w:left="1800"/>
        <w:jc w:val="both"/>
        <w:rPr>
          <w:rFonts w:ascii="Times New Roman" w:hAnsi="Times New Roman" w:cs="Times New Roman"/>
        </w:rPr>
      </w:pPr>
      <w:r w:rsidRPr="00F969AC">
        <w:rPr>
          <w:rFonts w:ascii="Times New Roman" w:hAnsi="Times New Roman" w:cs="Times New Roman"/>
        </w:rPr>
        <w:tab/>
        <w:t>(b)</w:t>
      </w:r>
      <w:r w:rsidRPr="00F969AC">
        <w:rPr>
          <w:rFonts w:ascii="Times New Roman" w:hAnsi="Times New Roman" w:cs="Times New Roman"/>
        </w:rPr>
        <w:tab/>
      </w:r>
      <w:r w:rsidR="00582032" w:rsidRPr="00F969AC">
        <w:rPr>
          <w:rFonts w:ascii="Times New Roman" w:hAnsi="Times New Roman" w:cs="Times New Roman"/>
        </w:rPr>
        <w:t xml:space="preserve">The prohibition against commencing or proceeding with an action </w:t>
      </w:r>
      <w:r w:rsidRPr="00F969AC">
        <w:rPr>
          <w:rFonts w:ascii="Times New Roman" w:hAnsi="Times New Roman" w:cs="Times New Roman"/>
        </w:rPr>
        <w:tab/>
      </w:r>
      <w:r w:rsidRPr="00F969AC">
        <w:rPr>
          <w:rFonts w:ascii="Times New Roman" w:hAnsi="Times New Roman" w:cs="Times New Roman"/>
        </w:rPr>
        <w:tab/>
      </w:r>
      <w:r w:rsidRPr="00F969AC">
        <w:rPr>
          <w:rFonts w:ascii="Times New Roman" w:hAnsi="Times New Roman" w:cs="Times New Roman"/>
        </w:rPr>
        <w:tab/>
      </w:r>
      <w:r w:rsidR="00582032" w:rsidRPr="00F969AC">
        <w:rPr>
          <w:rFonts w:ascii="Times New Roman" w:hAnsi="Times New Roman" w:cs="Times New Roman"/>
        </w:rPr>
        <w:t xml:space="preserve">or other proceeding against a company once a winding up order is </w:t>
      </w:r>
      <w:r w:rsidRPr="00F969AC">
        <w:rPr>
          <w:rFonts w:ascii="Times New Roman" w:hAnsi="Times New Roman" w:cs="Times New Roman"/>
        </w:rPr>
        <w:tab/>
      </w:r>
      <w:r w:rsidRPr="00F969AC">
        <w:rPr>
          <w:rFonts w:ascii="Times New Roman" w:hAnsi="Times New Roman" w:cs="Times New Roman"/>
        </w:rPr>
        <w:tab/>
      </w:r>
      <w:r w:rsidRPr="00F969AC">
        <w:rPr>
          <w:rFonts w:ascii="Times New Roman" w:hAnsi="Times New Roman" w:cs="Times New Roman"/>
        </w:rPr>
        <w:tab/>
      </w:r>
      <w:r w:rsidR="00582032" w:rsidRPr="00F969AC">
        <w:rPr>
          <w:rFonts w:ascii="Times New Roman" w:hAnsi="Times New Roman" w:cs="Times New Roman"/>
        </w:rPr>
        <w:t xml:space="preserve">made or the company is placed into liquidation is a feature of companies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2032" w:rsidRPr="00F969AC">
        <w:rPr>
          <w:rFonts w:ascii="Times New Roman" w:hAnsi="Times New Roman" w:cs="Times New Roman"/>
        </w:rPr>
        <w:t>legislation of long standing;</w:t>
      </w:r>
    </w:p>
    <w:p w:rsidR="00E35269" w:rsidRPr="00F969AC" w:rsidRDefault="00F969AC" w:rsidP="00F969AC">
      <w:pPr>
        <w:pStyle w:val="ListParagraph"/>
        <w:spacing w:after="0" w:line="240" w:lineRule="auto"/>
        <w:ind w:left="1800"/>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00582032" w:rsidRPr="00F969AC">
        <w:rPr>
          <w:rFonts w:ascii="Times New Roman" w:hAnsi="Times New Roman" w:cs="Times New Roman"/>
        </w:rPr>
        <w:t xml:space="preserve">Without the relevant restriction, a corporation in liquidation would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2032" w:rsidRPr="00F969AC">
        <w:rPr>
          <w:rFonts w:ascii="Times New Roman" w:hAnsi="Times New Roman" w:cs="Times New Roman"/>
        </w:rPr>
        <w:t xml:space="preserve">subjected to a multiplicity of actions which would be both expensive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2032" w:rsidRPr="00F969AC">
        <w:rPr>
          <w:rFonts w:ascii="Times New Roman" w:hAnsi="Times New Roman" w:cs="Times New Roman"/>
        </w:rPr>
        <w:t xml:space="preserve">time-consuming, as well as in some cases completely unnecessary.  This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2032" w:rsidRPr="00F969AC">
        <w:rPr>
          <w:rFonts w:ascii="Times New Roman" w:hAnsi="Times New Roman" w:cs="Times New Roman"/>
        </w:rPr>
        <w:t xml:space="preserve">explanation has been accepted in a number of </w:t>
      </w:r>
      <w:r w:rsidR="00E35269" w:rsidRPr="00F969AC">
        <w:rPr>
          <w:rFonts w:ascii="Times New Roman" w:hAnsi="Times New Roman" w:cs="Times New Roman"/>
        </w:rPr>
        <w:t xml:space="preserve">Canadian </w:t>
      </w:r>
      <w:r w:rsidR="00582032" w:rsidRPr="00F969AC">
        <w:rPr>
          <w:rFonts w:ascii="Times New Roman" w:hAnsi="Times New Roman" w:cs="Times New Roman"/>
        </w:rPr>
        <w:t>cases</w:t>
      </w:r>
      <w:r w:rsidR="00E35269" w:rsidRPr="00F969AC">
        <w:rPr>
          <w:rFonts w:ascii="Times New Roman" w:hAnsi="Times New Roman" w:cs="Times New Roman"/>
        </w:rPr>
        <w:t xml:space="preserve"> and was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5269" w:rsidRPr="00F969AC">
        <w:rPr>
          <w:rFonts w:ascii="Times New Roman" w:hAnsi="Times New Roman" w:cs="Times New Roman"/>
        </w:rPr>
        <w:t xml:space="preserve">also accepted by Street J in </w:t>
      </w:r>
      <w:r w:rsidR="00E35269" w:rsidRPr="00F969AC">
        <w:rPr>
          <w:rFonts w:ascii="Times New Roman" w:hAnsi="Times New Roman" w:cs="Times New Roman"/>
          <w:i/>
        </w:rPr>
        <w:t xml:space="preserve">Re AJ Benjamin Ltd (In Liq) </w:t>
      </w:r>
      <w:r w:rsidR="00E35269" w:rsidRPr="00F969AC">
        <w:rPr>
          <w:rFonts w:ascii="Times New Roman" w:hAnsi="Times New Roman" w:cs="Times New Roman"/>
        </w:rPr>
        <w:t xml:space="preserve">[1969] 2 NSWR </w:t>
      </w:r>
      <w:r>
        <w:rPr>
          <w:rFonts w:ascii="Times New Roman" w:hAnsi="Times New Roman" w:cs="Times New Roman"/>
        </w:rPr>
        <w:tab/>
      </w:r>
      <w:r>
        <w:rPr>
          <w:rFonts w:ascii="Times New Roman" w:hAnsi="Times New Roman" w:cs="Times New Roman"/>
        </w:rPr>
        <w:tab/>
      </w:r>
      <w:r w:rsidR="00E35269" w:rsidRPr="00F969AC">
        <w:rPr>
          <w:rFonts w:ascii="Times New Roman" w:hAnsi="Times New Roman" w:cs="Times New Roman"/>
        </w:rPr>
        <w:t>374 at 376, (1969) WN (Pt 1) (NSW) 107 at 109-110;</w:t>
      </w:r>
    </w:p>
    <w:p w:rsidR="00E35269" w:rsidRPr="00F969AC" w:rsidRDefault="00F969AC" w:rsidP="00F969AC">
      <w:pPr>
        <w:pStyle w:val="ListParagraph"/>
        <w:spacing w:after="0" w:line="240" w:lineRule="auto"/>
        <w:ind w:left="1800"/>
        <w:jc w:val="both"/>
        <w:rPr>
          <w:rFonts w:ascii="Times New Roman" w:hAnsi="Times New Roman" w:cs="Times New Roman"/>
        </w:rPr>
      </w:pPr>
      <w:r>
        <w:rPr>
          <w:rFonts w:ascii="Times New Roman" w:hAnsi="Times New Roman" w:cs="Times New Roman"/>
        </w:rPr>
        <w:tab/>
        <w:t>(d)</w:t>
      </w:r>
      <w:r>
        <w:rPr>
          <w:rFonts w:ascii="Times New Roman" w:hAnsi="Times New Roman" w:cs="Times New Roman"/>
        </w:rPr>
        <w:tab/>
      </w:r>
      <w:r w:rsidR="00E35269" w:rsidRPr="00F969AC">
        <w:rPr>
          <w:rFonts w:ascii="Times New Roman" w:hAnsi="Times New Roman" w:cs="Times New Roman"/>
        </w:rPr>
        <w:t xml:space="preserve">Generally, what is substituted for litigation in the ordinary form is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5269" w:rsidRPr="00F969AC">
        <w:rPr>
          <w:rFonts w:ascii="Times New Roman" w:hAnsi="Times New Roman" w:cs="Times New Roman"/>
        </w:rPr>
        <w:t xml:space="preserve">procedure by which a claimant lodges a verified proof of debt with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5269" w:rsidRPr="00F969AC">
        <w:rPr>
          <w:rFonts w:ascii="Times New Roman" w:hAnsi="Times New Roman" w:cs="Times New Roman"/>
        </w:rPr>
        <w:t xml:space="preserve">liquidator, who admits or rejects it wholly or in part, and from whom 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5269" w:rsidRPr="00F969AC">
        <w:rPr>
          <w:rFonts w:ascii="Times New Roman" w:hAnsi="Times New Roman" w:cs="Times New Roman"/>
        </w:rPr>
        <w:t xml:space="preserve">appeal lies to a judge who determines that appeal </w:t>
      </w:r>
      <w:r w:rsidR="00E35269" w:rsidRPr="00F969AC">
        <w:rPr>
          <w:rFonts w:ascii="Times New Roman" w:hAnsi="Times New Roman" w:cs="Times New Roman"/>
          <w:i/>
        </w:rPr>
        <w:t>de novo</w:t>
      </w:r>
      <w:r w:rsidR="00E35269" w:rsidRPr="00F969AC">
        <w:rPr>
          <w:rFonts w:ascii="Times New Roman" w:hAnsi="Times New Roman" w:cs="Times New Roman"/>
        </w:rPr>
        <w:t>;</w:t>
      </w:r>
    </w:p>
    <w:p w:rsidR="00E35269" w:rsidRPr="00F969AC" w:rsidRDefault="00F969AC" w:rsidP="00F969AC">
      <w:pPr>
        <w:pStyle w:val="ListParagraph"/>
        <w:spacing w:after="0" w:line="240" w:lineRule="auto"/>
        <w:ind w:left="1800"/>
        <w:jc w:val="both"/>
        <w:rPr>
          <w:rFonts w:ascii="Times New Roman" w:hAnsi="Times New Roman" w:cs="Times New Roman"/>
        </w:rPr>
      </w:pPr>
      <w:r>
        <w:rPr>
          <w:rFonts w:ascii="Times New Roman" w:hAnsi="Times New Roman" w:cs="Times New Roman"/>
        </w:rPr>
        <w:tab/>
        <w:t>(e)</w:t>
      </w:r>
      <w:r>
        <w:rPr>
          <w:rFonts w:ascii="Times New Roman" w:hAnsi="Times New Roman" w:cs="Times New Roman"/>
        </w:rPr>
        <w:tab/>
      </w:r>
      <w:r w:rsidR="00E35269" w:rsidRPr="00F969AC">
        <w:rPr>
          <w:rFonts w:ascii="Times New Roman" w:hAnsi="Times New Roman" w:cs="Times New Roman"/>
        </w:rPr>
        <w:t xml:space="preserve">A claimant should proceed by way of lodgment of a proof of debt unless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5269" w:rsidRPr="00F969AC">
        <w:rPr>
          <w:rFonts w:ascii="Times New Roman" w:hAnsi="Times New Roman" w:cs="Times New Roman"/>
        </w:rPr>
        <w:t xml:space="preserve">he or she can demonstrate that there is some good reason why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5269" w:rsidRPr="00F969AC">
        <w:rPr>
          <w:rFonts w:ascii="Times New Roman" w:hAnsi="Times New Roman" w:cs="Times New Roman"/>
        </w:rPr>
        <w:t xml:space="preserve">departure from that procedure is justified in the case of the particular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5269" w:rsidRPr="00F969AC">
        <w:rPr>
          <w:rFonts w:ascii="Times New Roman" w:hAnsi="Times New Roman" w:cs="Times New Roman"/>
        </w:rPr>
        <w:t>claim in dispute; and</w:t>
      </w:r>
    </w:p>
    <w:p w:rsidR="00B02152" w:rsidRPr="00F969AC" w:rsidRDefault="00F969AC" w:rsidP="00F969AC">
      <w:pPr>
        <w:spacing w:after="0" w:line="240" w:lineRule="auto"/>
        <w:ind w:left="1440"/>
        <w:jc w:val="both"/>
        <w:rPr>
          <w:rFonts w:ascii="Times New Roman" w:hAnsi="Times New Roman" w:cs="Times New Roman"/>
        </w:rPr>
      </w:pPr>
      <w:r w:rsidRPr="00F969AC">
        <w:rPr>
          <w:rFonts w:ascii="Times New Roman" w:hAnsi="Times New Roman" w:cs="Times New Roman"/>
        </w:rPr>
        <w:tab/>
        <w:t>(f)</w:t>
      </w:r>
      <w:r w:rsidRPr="00F969AC">
        <w:rPr>
          <w:rFonts w:ascii="Times New Roman" w:hAnsi="Times New Roman" w:cs="Times New Roman"/>
        </w:rPr>
        <w:tab/>
      </w:r>
      <w:r w:rsidR="00E35269" w:rsidRPr="00F969AC">
        <w:rPr>
          <w:rFonts w:ascii="Times New Roman" w:hAnsi="Times New Roman" w:cs="Times New Roman"/>
        </w:rPr>
        <w:t xml:space="preserve">It is impossible to state in an exhaustive manner all of the circumstances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5269" w:rsidRPr="00F969AC">
        <w:rPr>
          <w:rFonts w:ascii="Times New Roman" w:hAnsi="Times New Roman" w:cs="Times New Roman"/>
        </w:rPr>
        <w:t xml:space="preserve">in which leave to proceed may be appropriate.  However, in the past,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5269" w:rsidRPr="00F969AC">
        <w:rPr>
          <w:rFonts w:ascii="Times New Roman" w:hAnsi="Times New Roman" w:cs="Times New Roman"/>
        </w:rPr>
        <w:t xml:space="preserve">those circumstances have been said to include factors such as the amount </w:t>
      </w:r>
      <w:r>
        <w:rPr>
          <w:rFonts w:ascii="Times New Roman" w:hAnsi="Times New Roman" w:cs="Times New Roman"/>
        </w:rPr>
        <w:tab/>
      </w:r>
      <w:r>
        <w:rPr>
          <w:rFonts w:ascii="Times New Roman" w:hAnsi="Times New Roman" w:cs="Times New Roman"/>
        </w:rPr>
        <w:tab/>
      </w:r>
      <w:r w:rsidR="00E35269" w:rsidRPr="00F969AC">
        <w:rPr>
          <w:rFonts w:ascii="Times New Roman" w:hAnsi="Times New Roman" w:cs="Times New Roman"/>
        </w:rPr>
        <w:t xml:space="preserve">and seriousness of the claim, the degree of complexity of the legal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5269" w:rsidRPr="00F969AC">
        <w:rPr>
          <w:rFonts w:ascii="Times New Roman" w:hAnsi="Times New Roman" w:cs="Times New Roman"/>
        </w:rPr>
        <w:t xml:space="preserve">factual issues involved and the stage at which the proceedings, if already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5269" w:rsidRPr="00F969AC">
        <w:rPr>
          <w:rFonts w:ascii="Times New Roman" w:hAnsi="Times New Roman" w:cs="Times New Roman"/>
        </w:rPr>
        <w:t>commenced, may be progressed.</w:t>
      </w:r>
    </w:p>
    <w:p w:rsidR="00B02152" w:rsidRPr="00F969AC" w:rsidRDefault="00B02152" w:rsidP="00F969AC">
      <w:pPr>
        <w:spacing w:after="0" w:line="240" w:lineRule="auto"/>
        <w:ind w:left="1440"/>
        <w:jc w:val="both"/>
        <w:rPr>
          <w:rFonts w:ascii="Times New Roman" w:hAnsi="Times New Roman" w:cs="Times New Roman"/>
        </w:rPr>
      </w:pPr>
      <w:r w:rsidRPr="00F969AC">
        <w:rPr>
          <w:rFonts w:ascii="Times New Roman" w:hAnsi="Times New Roman" w:cs="Times New Roman"/>
        </w:rPr>
        <w:t>16.</w:t>
      </w:r>
      <w:r w:rsidRPr="00F969AC">
        <w:rPr>
          <w:rFonts w:ascii="Times New Roman" w:hAnsi="Times New Roman" w:cs="Times New Roman"/>
        </w:rPr>
        <w:tab/>
        <w:t xml:space="preserve">These remarks of his Honour were approved by the Full Court of this Court </w:t>
      </w:r>
      <w:r w:rsidR="00F969AC">
        <w:rPr>
          <w:rFonts w:ascii="Times New Roman" w:hAnsi="Times New Roman" w:cs="Times New Roman"/>
        </w:rPr>
        <w:tab/>
      </w:r>
      <w:r w:rsidRPr="00F969AC">
        <w:rPr>
          <w:rFonts w:ascii="Times New Roman" w:hAnsi="Times New Roman" w:cs="Times New Roman"/>
        </w:rPr>
        <w:t xml:space="preserve">(Wilcox, Burchett and Beazley JJ) in </w:t>
      </w:r>
      <w:r w:rsidRPr="00F969AC">
        <w:rPr>
          <w:rFonts w:ascii="Times New Roman" w:hAnsi="Times New Roman" w:cs="Times New Roman"/>
          <w:i/>
        </w:rPr>
        <w:t xml:space="preserve">Vagrand Pty Ltd (In Liq) </w:t>
      </w:r>
      <w:r w:rsidRPr="006010EF">
        <w:rPr>
          <w:rFonts w:ascii="Times New Roman" w:hAnsi="Times New Roman" w:cs="Times New Roman"/>
        </w:rPr>
        <w:t>v</w:t>
      </w:r>
      <w:r w:rsidRPr="00F969AC">
        <w:rPr>
          <w:rFonts w:ascii="Times New Roman" w:hAnsi="Times New Roman" w:cs="Times New Roman"/>
          <w:i/>
        </w:rPr>
        <w:t xml:space="preserve"> Fielding </w:t>
      </w:r>
      <w:r w:rsidRPr="00F969AC">
        <w:rPr>
          <w:rFonts w:ascii="Times New Roman" w:hAnsi="Times New Roman" w:cs="Times New Roman"/>
        </w:rPr>
        <w:t xml:space="preserve">(1993) </w:t>
      </w:r>
      <w:r w:rsidR="00F969AC">
        <w:rPr>
          <w:rFonts w:ascii="Times New Roman" w:hAnsi="Times New Roman" w:cs="Times New Roman"/>
        </w:rPr>
        <w:tab/>
      </w:r>
      <w:r w:rsidRPr="00F969AC">
        <w:rPr>
          <w:rFonts w:ascii="Times New Roman" w:hAnsi="Times New Roman" w:cs="Times New Roman"/>
        </w:rPr>
        <w:t>41 FCR 550 at 554-555.</w:t>
      </w:r>
    </w:p>
    <w:p w:rsidR="00B02152" w:rsidRPr="00F969AC" w:rsidRDefault="00B02152" w:rsidP="00F969AC">
      <w:pPr>
        <w:spacing w:after="0" w:line="240" w:lineRule="auto"/>
        <w:ind w:left="1440"/>
        <w:jc w:val="both"/>
        <w:rPr>
          <w:rFonts w:ascii="Times New Roman" w:hAnsi="Times New Roman" w:cs="Times New Roman"/>
        </w:rPr>
      </w:pPr>
      <w:r w:rsidRPr="00F969AC">
        <w:rPr>
          <w:rFonts w:ascii="Times New Roman" w:hAnsi="Times New Roman" w:cs="Times New Roman"/>
        </w:rPr>
        <w:lastRenderedPageBreak/>
        <w:t>17.</w:t>
      </w:r>
      <w:r w:rsidRPr="00F969AC">
        <w:rPr>
          <w:rFonts w:ascii="Times New Roman" w:hAnsi="Times New Roman" w:cs="Times New Roman"/>
        </w:rPr>
        <w:tab/>
        <w:t xml:space="preserve">In </w:t>
      </w:r>
      <w:r w:rsidRPr="00F969AC">
        <w:rPr>
          <w:rFonts w:ascii="Times New Roman" w:hAnsi="Times New Roman" w:cs="Times New Roman"/>
          <w:i/>
        </w:rPr>
        <w:t xml:space="preserve">Eopply New Energy Technology Co Ltd </w:t>
      </w:r>
      <w:r w:rsidRPr="006010EF">
        <w:rPr>
          <w:rFonts w:ascii="Times New Roman" w:hAnsi="Times New Roman" w:cs="Times New Roman"/>
        </w:rPr>
        <w:t>v</w:t>
      </w:r>
      <w:r w:rsidRPr="00F969AC">
        <w:rPr>
          <w:rFonts w:ascii="Times New Roman" w:hAnsi="Times New Roman" w:cs="Times New Roman"/>
          <w:i/>
        </w:rPr>
        <w:t xml:space="preserve"> EP Solar Pty Ltd </w:t>
      </w:r>
      <w:r w:rsidRPr="00F969AC">
        <w:rPr>
          <w:rFonts w:ascii="Times New Roman" w:hAnsi="Times New Roman" w:cs="Times New Roman"/>
        </w:rPr>
        <w:t xml:space="preserve">[2013] FCA 356 at </w:t>
      </w:r>
      <w:r w:rsidR="00F969AC">
        <w:rPr>
          <w:rFonts w:ascii="Times New Roman" w:hAnsi="Times New Roman" w:cs="Times New Roman"/>
        </w:rPr>
        <w:tab/>
      </w:r>
      <w:r w:rsidRPr="00F969AC">
        <w:rPr>
          <w:rFonts w:ascii="Times New Roman" w:hAnsi="Times New Roman" w:cs="Times New Roman"/>
        </w:rPr>
        <w:t>[22], I said:</w:t>
      </w:r>
    </w:p>
    <w:p w:rsidR="005D490A" w:rsidRPr="00F969AC" w:rsidRDefault="00B02152" w:rsidP="00F969AC">
      <w:pPr>
        <w:spacing w:after="0" w:line="240" w:lineRule="auto"/>
        <w:ind w:left="2880"/>
        <w:jc w:val="both"/>
        <w:rPr>
          <w:rFonts w:ascii="Times New Roman" w:hAnsi="Times New Roman" w:cs="Times New Roman"/>
        </w:rPr>
      </w:pPr>
      <w:r w:rsidRPr="00F969AC">
        <w:rPr>
          <w:rFonts w:ascii="Times New Roman" w:hAnsi="Times New Roman" w:cs="Times New Roman"/>
        </w:rPr>
        <w:t xml:space="preserve">In </w:t>
      </w:r>
      <w:r w:rsidRPr="00F969AC">
        <w:rPr>
          <w:rFonts w:ascii="Times New Roman" w:hAnsi="Times New Roman" w:cs="Times New Roman"/>
          <w:i/>
        </w:rPr>
        <w:t>Executive Director of the Department of Conservation and Land Management v Ringfab Environmental Structures Pty Ltd</w:t>
      </w:r>
      <w:r w:rsidRPr="00F969AC">
        <w:rPr>
          <w:rFonts w:ascii="Times New Roman" w:hAnsi="Times New Roman" w:cs="Times New Roman"/>
        </w:rPr>
        <w:t xml:space="preserve"> [1997] FCA 1484, Lee J discussed </w:t>
      </w:r>
      <w:r w:rsidR="005D490A" w:rsidRPr="00F969AC">
        <w:rPr>
          <w:rFonts w:ascii="Times New Roman" w:hAnsi="Times New Roman" w:cs="Times New Roman"/>
        </w:rPr>
        <w:t>the relevant considerations which should ordinarily guide the exercise of the discretion to grant leave to proceed against a corporation in liquidation.  The following considerations may be extracted from his Honour’s judgment:</w:t>
      </w:r>
    </w:p>
    <w:p w:rsidR="00D051CD" w:rsidRPr="00F969AC" w:rsidRDefault="005D490A" w:rsidP="00F969AC">
      <w:pPr>
        <w:pStyle w:val="ListParagraph"/>
        <w:numPr>
          <w:ilvl w:val="0"/>
          <w:numId w:val="2"/>
        </w:numPr>
        <w:spacing w:after="0" w:line="240" w:lineRule="auto"/>
        <w:jc w:val="both"/>
        <w:rPr>
          <w:rFonts w:ascii="Times New Roman" w:hAnsi="Times New Roman" w:cs="Times New Roman"/>
        </w:rPr>
      </w:pPr>
      <w:r w:rsidRPr="00F969AC">
        <w:rPr>
          <w:rFonts w:ascii="Times New Roman" w:hAnsi="Times New Roman" w:cs="Times New Roman"/>
        </w:rPr>
        <w:t>The purpose of having a requirement for leave is to prevent a corporation in liquidation being subjected to actions that are expensive and, therefore, carried on at the expense of the creditors of the company and, perhaps, unnecessarily.</w:t>
      </w:r>
    </w:p>
    <w:p w:rsidR="00D051CD" w:rsidRPr="00F969AC" w:rsidRDefault="00D051CD" w:rsidP="00F969AC">
      <w:pPr>
        <w:pStyle w:val="ListParagraph"/>
        <w:numPr>
          <w:ilvl w:val="0"/>
          <w:numId w:val="2"/>
        </w:numPr>
        <w:spacing w:after="0" w:line="240" w:lineRule="auto"/>
        <w:jc w:val="both"/>
        <w:rPr>
          <w:rFonts w:ascii="Times New Roman" w:hAnsi="Times New Roman" w:cs="Times New Roman"/>
        </w:rPr>
      </w:pPr>
      <w:r w:rsidRPr="00F969AC">
        <w:rPr>
          <w:rFonts w:ascii="Times New Roman" w:hAnsi="Times New Roman" w:cs="Times New Roman"/>
        </w:rPr>
        <w:t>In determining whether leave should be granted, the court considers whether the balance of convenience lies in allowing the applicant to proceed by way of action to judgment, or whether the applicant should be left to pursue his or her claim by lodging a proof of debt with the liquidator. The matter is one of discretion and the onus is on the applicant to demonstrate why it is more appropriate in respect of the particular claim, to proceed by way of action.</w:t>
      </w:r>
    </w:p>
    <w:p w:rsidR="00D051CD" w:rsidRPr="00F969AC" w:rsidRDefault="00D051CD" w:rsidP="00F969AC">
      <w:pPr>
        <w:pStyle w:val="ListParagraph"/>
        <w:numPr>
          <w:ilvl w:val="0"/>
          <w:numId w:val="2"/>
        </w:numPr>
        <w:spacing w:after="0" w:line="240" w:lineRule="auto"/>
        <w:jc w:val="both"/>
        <w:rPr>
          <w:rFonts w:ascii="Times New Roman" w:hAnsi="Times New Roman" w:cs="Times New Roman"/>
        </w:rPr>
      </w:pPr>
      <w:r w:rsidRPr="00F969AC">
        <w:rPr>
          <w:rFonts w:ascii="Times New Roman" w:hAnsi="Times New Roman" w:cs="Times New Roman"/>
        </w:rPr>
        <w:t>For leave to be granted, it must be shown that there is a serious or substantial question to be tried and a real dispute between the parties.  Leave will not be granted where the applicant does not have a genuine claim or where the claim would be futile.</w:t>
      </w:r>
    </w:p>
    <w:p w:rsidR="00F969AC" w:rsidRDefault="00BC4074" w:rsidP="00F969AC">
      <w:pPr>
        <w:spacing w:after="0" w:line="240" w:lineRule="auto"/>
        <w:ind w:left="2160" w:hanging="720"/>
        <w:jc w:val="both"/>
        <w:rPr>
          <w:rFonts w:ascii="Times New Roman" w:hAnsi="Times New Roman" w:cs="Times New Roman"/>
        </w:rPr>
      </w:pPr>
      <w:r w:rsidRPr="00F969AC">
        <w:rPr>
          <w:rFonts w:ascii="Times New Roman" w:hAnsi="Times New Roman" w:cs="Times New Roman"/>
        </w:rPr>
        <w:t>18.</w:t>
      </w:r>
      <w:r w:rsidRPr="00F969AC">
        <w:rPr>
          <w:rFonts w:ascii="Times New Roman" w:hAnsi="Times New Roman" w:cs="Times New Roman"/>
        </w:rPr>
        <w:tab/>
        <w:t>One factor of importance in deciding whether leave to proceed should be granted is whether the relevant corporation was insured against the liability in respect of which the plaintiff is suing (</w:t>
      </w:r>
      <w:r w:rsidRPr="00F969AC">
        <w:rPr>
          <w:rFonts w:ascii="Times New Roman" w:hAnsi="Times New Roman" w:cs="Times New Roman"/>
          <w:i/>
        </w:rPr>
        <w:t xml:space="preserve">Re Sydney Formworks Pty Ltd (In Liq) </w:t>
      </w:r>
      <w:r w:rsidRPr="00F969AC">
        <w:rPr>
          <w:rFonts w:ascii="Times New Roman" w:hAnsi="Times New Roman" w:cs="Times New Roman"/>
        </w:rPr>
        <w:t>[1965] NSWR 646 at 651; (1965) 82 WN (Pt 1) (NSW) 558 at 564 per McLelland CJ in Eq).”</w:t>
      </w:r>
    </w:p>
    <w:p w:rsidR="00315ED5" w:rsidRPr="00F969AC" w:rsidRDefault="00E35269" w:rsidP="00F969AC">
      <w:pPr>
        <w:spacing w:after="0" w:line="240" w:lineRule="auto"/>
        <w:ind w:left="2160" w:hanging="720"/>
        <w:jc w:val="both"/>
        <w:rPr>
          <w:rFonts w:ascii="Times New Roman" w:hAnsi="Times New Roman" w:cs="Times New Roman"/>
        </w:rPr>
      </w:pPr>
      <w:r w:rsidRPr="00F969AC">
        <w:rPr>
          <w:rFonts w:ascii="Times New Roman" w:hAnsi="Times New Roman" w:cs="Times New Roman"/>
        </w:rPr>
        <w:t xml:space="preserve"> </w:t>
      </w:r>
      <w:r w:rsidR="00582032" w:rsidRPr="00F969AC">
        <w:rPr>
          <w:rFonts w:ascii="Times New Roman" w:hAnsi="Times New Roman" w:cs="Times New Roman"/>
        </w:rPr>
        <w:t xml:space="preserve"> </w:t>
      </w:r>
      <w:r w:rsidR="00315ED5" w:rsidRPr="00F969AC">
        <w:rPr>
          <w:rFonts w:ascii="Times New Roman" w:hAnsi="Times New Roman" w:cs="Times New Roman"/>
        </w:rPr>
        <w:t xml:space="preserve"> </w:t>
      </w:r>
    </w:p>
    <w:p w:rsidR="00FE2252" w:rsidRPr="006E2CC6" w:rsidRDefault="00F969AC" w:rsidP="00F969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54F34" w:rsidRPr="006E2CC6">
        <w:rPr>
          <w:rFonts w:ascii="Times New Roman" w:hAnsi="Times New Roman" w:cs="Times New Roman"/>
          <w:sz w:val="24"/>
          <w:szCs w:val="24"/>
        </w:rPr>
        <w:t xml:space="preserve">I respectfully associate myself with and endorse the above principles as articulated in the cases cited above.  </w:t>
      </w:r>
      <w:r w:rsidR="00313B5A" w:rsidRPr="006E2CC6">
        <w:rPr>
          <w:rFonts w:ascii="Times New Roman" w:hAnsi="Times New Roman" w:cs="Times New Roman"/>
          <w:sz w:val="24"/>
          <w:szCs w:val="24"/>
        </w:rPr>
        <w:t>The idea is to strike an equitable balan</w:t>
      </w:r>
      <w:r w:rsidR="00954F34" w:rsidRPr="006E2CC6">
        <w:rPr>
          <w:rFonts w:ascii="Times New Roman" w:hAnsi="Times New Roman" w:cs="Times New Roman"/>
          <w:sz w:val="24"/>
          <w:szCs w:val="24"/>
        </w:rPr>
        <w:t xml:space="preserve">ce between the interests of the </w:t>
      </w:r>
      <w:r w:rsidR="00313B5A" w:rsidRPr="006E2CC6">
        <w:rPr>
          <w:rFonts w:ascii="Times New Roman" w:hAnsi="Times New Roman" w:cs="Times New Roman"/>
          <w:sz w:val="24"/>
          <w:szCs w:val="24"/>
        </w:rPr>
        <w:t xml:space="preserve">company under liquidation and those of the creditor </w:t>
      </w:r>
      <w:r w:rsidR="00954F34" w:rsidRPr="006E2CC6">
        <w:rPr>
          <w:rFonts w:ascii="Times New Roman" w:hAnsi="Times New Roman" w:cs="Times New Roman"/>
          <w:sz w:val="24"/>
          <w:szCs w:val="24"/>
        </w:rPr>
        <w:t xml:space="preserve">and other creditors </w:t>
      </w:r>
      <w:r w:rsidR="00313B5A" w:rsidRPr="006E2CC6">
        <w:rPr>
          <w:rFonts w:ascii="Times New Roman" w:hAnsi="Times New Roman" w:cs="Times New Roman"/>
          <w:sz w:val="24"/>
          <w:szCs w:val="24"/>
        </w:rPr>
        <w:t>bearing in mind that the purpose of judicial management is provide a moratorium f</w:t>
      </w:r>
      <w:r w:rsidR="00BD6A6B" w:rsidRPr="006E2CC6">
        <w:rPr>
          <w:rFonts w:ascii="Times New Roman" w:hAnsi="Times New Roman" w:cs="Times New Roman"/>
          <w:sz w:val="24"/>
          <w:szCs w:val="24"/>
        </w:rPr>
        <w:t>or the company</w:t>
      </w:r>
      <w:r w:rsidR="00313B5A" w:rsidRPr="006E2CC6">
        <w:rPr>
          <w:rFonts w:ascii="Times New Roman" w:hAnsi="Times New Roman" w:cs="Times New Roman"/>
          <w:sz w:val="24"/>
          <w:szCs w:val="24"/>
        </w:rPr>
        <w:t xml:space="preserve"> to enable it to meet its obligations so that it can become a successful concern</w:t>
      </w:r>
      <w:r w:rsidR="00BD6A6B" w:rsidRPr="006E2CC6">
        <w:rPr>
          <w:rFonts w:ascii="Times New Roman" w:hAnsi="Times New Roman" w:cs="Times New Roman"/>
          <w:sz w:val="24"/>
          <w:szCs w:val="24"/>
        </w:rPr>
        <w:t xml:space="preserve"> thereby obviating a company’s placement in liquidation if there is a reasonable probability that by proper management or by proper conservation of its resources it may be able to overcome its difficulties, see </w:t>
      </w:r>
      <w:r w:rsidR="00BD6A6B" w:rsidRPr="006E2CC6">
        <w:rPr>
          <w:rFonts w:ascii="Times New Roman" w:hAnsi="Times New Roman" w:cs="Times New Roman"/>
          <w:i/>
          <w:sz w:val="24"/>
          <w:szCs w:val="24"/>
        </w:rPr>
        <w:t xml:space="preserve">Le Roux Hotel Management (Pty) Ltd &amp; Anor </w:t>
      </w:r>
      <w:r w:rsidR="00BD6A6B" w:rsidRPr="006010EF">
        <w:rPr>
          <w:rFonts w:ascii="Times New Roman" w:hAnsi="Times New Roman" w:cs="Times New Roman"/>
          <w:sz w:val="24"/>
          <w:szCs w:val="24"/>
        </w:rPr>
        <w:t>v</w:t>
      </w:r>
      <w:r w:rsidR="00BD6A6B" w:rsidRPr="006E2CC6">
        <w:rPr>
          <w:rFonts w:ascii="Times New Roman" w:hAnsi="Times New Roman" w:cs="Times New Roman"/>
          <w:i/>
          <w:sz w:val="24"/>
          <w:szCs w:val="24"/>
        </w:rPr>
        <w:t xml:space="preserve"> E Rand (Pty) Ltd (FBC Fidelity Bank Ltd (Under Curatorship), Intervening) </w:t>
      </w:r>
      <w:r w:rsidR="00BD6A6B" w:rsidRPr="006E2CC6">
        <w:rPr>
          <w:rFonts w:ascii="Times New Roman" w:hAnsi="Times New Roman" w:cs="Times New Roman"/>
          <w:sz w:val="24"/>
          <w:szCs w:val="24"/>
        </w:rPr>
        <w:t>2001 (2) SA 727(C) at 738</w:t>
      </w:r>
      <w:r w:rsidR="00313B5A" w:rsidRPr="006E2CC6">
        <w:rPr>
          <w:rFonts w:ascii="Times New Roman" w:hAnsi="Times New Roman" w:cs="Times New Roman"/>
          <w:sz w:val="24"/>
          <w:szCs w:val="24"/>
        </w:rPr>
        <w:t>.</w:t>
      </w:r>
      <w:r w:rsidR="00BD6A6B" w:rsidRPr="006E2CC6">
        <w:rPr>
          <w:rFonts w:ascii="Times New Roman" w:hAnsi="Times New Roman" w:cs="Times New Roman"/>
          <w:sz w:val="24"/>
          <w:szCs w:val="24"/>
        </w:rPr>
        <w:t xml:space="preserve">  </w:t>
      </w:r>
      <w:r w:rsidR="00313B5A" w:rsidRPr="006E2CC6">
        <w:rPr>
          <w:rFonts w:ascii="Times New Roman" w:hAnsi="Times New Roman" w:cs="Times New Roman"/>
          <w:sz w:val="24"/>
          <w:szCs w:val="24"/>
        </w:rPr>
        <w:t xml:space="preserve">  </w:t>
      </w:r>
    </w:p>
    <w:p w:rsidR="00EF0115" w:rsidRPr="006E2CC6" w:rsidRDefault="00F969AC" w:rsidP="00F969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3B5A" w:rsidRPr="006E2CC6">
        <w:rPr>
          <w:rFonts w:ascii="Times New Roman" w:hAnsi="Times New Roman" w:cs="Times New Roman"/>
          <w:sz w:val="24"/>
          <w:szCs w:val="24"/>
        </w:rPr>
        <w:t>In the present case the second respondent has rejected the applicant’s claim.</w:t>
      </w:r>
      <w:r w:rsidR="00E4780C" w:rsidRPr="006E2CC6">
        <w:rPr>
          <w:rFonts w:ascii="Times New Roman" w:hAnsi="Times New Roman" w:cs="Times New Roman"/>
          <w:sz w:val="24"/>
          <w:szCs w:val="24"/>
        </w:rPr>
        <w:t xml:space="preserve">  On the face of it the applicant’s claim is easily verifiable by reference to the agreement of sale as the balance outstanding </w:t>
      </w:r>
      <w:r w:rsidR="00FE2252" w:rsidRPr="006E2CC6">
        <w:rPr>
          <w:rFonts w:ascii="Times New Roman" w:hAnsi="Times New Roman" w:cs="Times New Roman"/>
          <w:sz w:val="24"/>
          <w:szCs w:val="24"/>
        </w:rPr>
        <w:t xml:space="preserve">in respect of the sale is stated together with the applicant’s entitlement to recover possession of the equipment from the first respondent in the event of a breach.  However, the </w:t>
      </w:r>
      <w:r w:rsidR="00FE2252" w:rsidRPr="006E2CC6">
        <w:rPr>
          <w:rFonts w:ascii="Times New Roman" w:hAnsi="Times New Roman" w:cs="Times New Roman"/>
          <w:sz w:val="24"/>
          <w:szCs w:val="24"/>
        </w:rPr>
        <w:lastRenderedPageBreak/>
        <w:t>dispute has been complicated by the fact that the respondents claim that not all the agreed equipment was delivered and also that some of the delivered equipment was defective.  The respondents have not returned nor tendered to return any of the equipment which they claim to be defective.  These are matters which should be determined by a court of law in a trial.</w:t>
      </w:r>
      <w:r w:rsidR="00313B5A" w:rsidRPr="006E2CC6">
        <w:rPr>
          <w:rFonts w:ascii="Times New Roman" w:hAnsi="Times New Roman" w:cs="Times New Roman"/>
          <w:sz w:val="24"/>
          <w:szCs w:val="24"/>
        </w:rPr>
        <w:t xml:space="preserve">  The effect of that rejection is that the applicant does not benefit from</w:t>
      </w:r>
      <w:r w:rsidR="00E4780C" w:rsidRPr="006E2CC6">
        <w:rPr>
          <w:rFonts w:ascii="Times New Roman" w:hAnsi="Times New Roman" w:cs="Times New Roman"/>
          <w:sz w:val="24"/>
          <w:szCs w:val="24"/>
        </w:rPr>
        <w:t xml:space="preserve"> the judicial management. Yet it</w:t>
      </w:r>
      <w:r w:rsidR="00313B5A" w:rsidRPr="006E2CC6">
        <w:rPr>
          <w:rFonts w:ascii="Times New Roman" w:hAnsi="Times New Roman" w:cs="Times New Roman"/>
          <w:sz w:val="24"/>
          <w:szCs w:val="24"/>
        </w:rPr>
        <w:t xml:space="preserve"> has what on the face of it is a genuine claim which it must be given the opportunity to prove in court.  It would be an injustice to deny the applicant the right to institute proceedings while at the same time it is not benefitting from the placement of the first respondent under judicial manag</w:t>
      </w:r>
      <w:r w:rsidR="00EF0115" w:rsidRPr="006E2CC6">
        <w:rPr>
          <w:rFonts w:ascii="Times New Roman" w:hAnsi="Times New Roman" w:cs="Times New Roman"/>
          <w:sz w:val="24"/>
          <w:szCs w:val="24"/>
        </w:rPr>
        <w:t>ement.</w:t>
      </w:r>
      <w:r w:rsidR="002C6736" w:rsidRPr="006E2CC6">
        <w:rPr>
          <w:rFonts w:ascii="Times New Roman" w:hAnsi="Times New Roman" w:cs="Times New Roman"/>
          <w:sz w:val="24"/>
          <w:szCs w:val="24"/>
        </w:rPr>
        <w:t xml:space="preserve">  The avenue of seeking to recover the debt by lodgment of a claim through the judicial manager has been closed for the applicant by the rejection of its claim.  The balance of convenience lies in allowing the applicant to institute the action and proceeding with it to judgment.</w:t>
      </w:r>
      <w:r w:rsidR="00EF0115" w:rsidRPr="006E2CC6">
        <w:rPr>
          <w:rFonts w:ascii="Times New Roman" w:hAnsi="Times New Roman" w:cs="Times New Roman"/>
          <w:sz w:val="24"/>
          <w:szCs w:val="24"/>
        </w:rPr>
        <w:t xml:space="preserve">  </w:t>
      </w:r>
    </w:p>
    <w:p w:rsidR="00F969AC" w:rsidRDefault="00F969AC" w:rsidP="006010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F0115" w:rsidRPr="006E2CC6">
        <w:rPr>
          <w:rFonts w:ascii="Times New Roman" w:hAnsi="Times New Roman" w:cs="Times New Roman"/>
          <w:sz w:val="24"/>
          <w:szCs w:val="24"/>
        </w:rPr>
        <w:t xml:space="preserve">I find the attitude of the first and second respondents in contesting this application to be lacking </w:t>
      </w:r>
      <w:r w:rsidR="00EF0115" w:rsidRPr="006E2CC6">
        <w:rPr>
          <w:rFonts w:ascii="Times New Roman" w:hAnsi="Times New Roman" w:cs="Times New Roman"/>
          <w:i/>
          <w:sz w:val="24"/>
          <w:szCs w:val="24"/>
        </w:rPr>
        <w:t>bona fides</w:t>
      </w:r>
      <w:r w:rsidR="00EF0115" w:rsidRPr="006E2CC6">
        <w:rPr>
          <w:rFonts w:ascii="Times New Roman" w:hAnsi="Times New Roman" w:cs="Times New Roman"/>
          <w:sz w:val="24"/>
          <w:szCs w:val="24"/>
        </w:rPr>
        <w:t>.  The respondents through their legal practitioners were the first to suggest that the dispute between them and the applicant should be resolved through litigation.  In a letter dated 9</w:t>
      </w:r>
      <w:r w:rsidR="002C1F29" w:rsidRPr="006E2CC6">
        <w:rPr>
          <w:rFonts w:ascii="Times New Roman" w:hAnsi="Times New Roman" w:cs="Times New Roman"/>
          <w:sz w:val="24"/>
          <w:szCs w:val="24"/>
        </w:rPr>
        <w:t xml:space="preserve"> July 2018</w:t>
      </w:r>
      <w:r w:rsidR="00BD4D32" w:rsidRPr="006E2CC6">
        <w:rPr>
          <w:rFonts w:ascii="Times New Roman" w:hAnsi="Times New Roman" w:cs="Times New Roman"/>
          <w:sz w:val="24"/>
          <w:szCs w:val="24"/>
        </w:rPr>
        <w:t xml:space="preserve"> the legal practitioners stated as follows in the last paragraph of that letter: </w:t>
      </w:r>
      <w:r>
        <w:rPr>
          <w:rFonts w:ascii="Times New Roman" w:hAnsi="Times New Roman" w:cs="Times New Roman"/>
          <w:sz w:val="24"/>
          <w:szCs w:val="24"/>
        </w:rPr>
        <w:tab/>
      </w:r>
    </w:p>
    <w:p w:rsidR="00F969AC" w:rsidRDefault="00F969AC" w:rsidP="00F969AC">
      <w:pPr>
        <w:spacing w:after="0" w:line="240" w:lineRule="auto"/>
        <w:jc w:val="both"/>
        <w:rPr>
          <w:rFonts w:ascii="Times New Roman" w:hAnsi="Times New Roman" w:cs="Times New Roman"/>
          <w:sz w:val="24"/>
          <w:szCs w:val="24"/>
        </w:rPr>
      </w:pPr>
    </w:p>
    <w:p w:rsidR="00F969AC" w:rsidRDefault="00F969AC" w:rsidP="00F969AC">
      <w:pPr>
        <w:spacing w:after="0" w:line="240" w:lineRule="auto"/>
        <w:jc w:val="both"/>
        <w:rPr>
          <w:rFonts w:ascii="Times New Roman" w:hAnsi="Times New Roman" w:cs="Times New Roman"/>
        </w:rPr>
      </w:pPr>
      <w:r>
        <w:rPr>
          <w:rFonts w:ascii="Times New Roman" w:hAnsi="Times New Roman" w:cs="Times New Roman"/>
          <w:sz w:val="24"/>
          <w:szCs w:val="24"/>
        </w:rPr>
        <w:tab/>
      </w:r>
      <w:r w:rsidR="00BD4D32" w:rsidRPr="00F969AC">
        <w:rPr>
          <w:rFonts w:ascii="Times New Roman" w:hAnsi="Times New Roman" w:cs="Times New Roman"/>
        </w:rPr>
        <w:t xml:space="preserve">“Accordingly, we submit that the claimant’s legal remedy, if it so deems fit and proper, is </w:t>
      </w:r>
      <w:r w:rsidRPr="00F969AC">
        <w:rPr>
          <w:rFonts w:ascii="Times New Roman" w:hAnsi="Times New Roman" w:cs="Times New Roman"/>
        </w:rPr>
        <w:tab/>
      </w:r>
      <w:r w:rsidR="00BD4D32" w:rsidRPr="00F969AC">
        <w:rPr>
          <w:rFonts w:ascii="Times New Roman" w:hAnsi="Times New Roman" w:cs="Times New Roman"/>
        </w:rPr>
        <w:t xml:space="preserve">to pursue the same through High Court summons, which will allow the parties the </w:t>
      </w:r>
      <w:r w:rsidRPr="00F969AC">
        <w:rPr>
          <w:rFonts w:ascii="Times New Roman" w:hAnsi="Times New Roman" w:cs="Times New Roman"/>
        </w:rPr>
        <w:tab/>
      </w:r>
      <w:r w:rsidR="00BD4D32" w:rsidRPr="00F969AC">
        <w:rPr>
          <w:rFonts w:ascii="Times New Roman" w:hAnsi="Times New Roman" w:cs="Times New Roman"/>
        </w:rPr>
        <w:t xml:space="preserve">opportunity to ventilate their cases in support of their respective opposing positions on </w:t>
      </w:r>
      <w:r w:rsidRPr="00F969AC">
        <w:rPr>
          <w:rFonts w:ascii="Times New Roman" w:hAnsi="Times New Roman" w:cs="Times New Roman"/>
        </w:rPr>
        <w:tab/>
      </w:r>
      <w:r w:rsidR="00BD4D32" w:rsidRPr="00F969AC">
        <w:rPr>
          <w:rFonts w:ascii="Times New Roman" w:hAnsi="Times New Roman" w:cs="Times New Roman"/>
        </w:rPr>
        <w:t xml:space="preserve">the </w:t>
      </w:r>
      <w:r>
        <w:rPr>
          <w:rFonts w:ascii="Times New Roman" w:hAnsi="Times New Roman" w:cs="Times New Roman"/>
        </w:rPr>
        <w:tab/>
      </w:r>
      <w:r w:rsidR="00BD4D32" w:rsidRPr="00F969AC">
        <w:rPr>
          <w:rFonts w:ascii="Times New Roman" w:hAnsi="Times New Roman" w:cs="Times New Roman"/>
        </w:rPr>
        <w:t>matter.”</w:t>
      </w:r>
    </w:p>
    <w:p w:rsidR="00F969AC" w:rsidRPr="00F969AC" w:rsidRDefault="00F969AC" w:rsidP="00F969AC">
      <w:pPr>
        <w:spacing w:after="0" w:line="240" w:lineRule="auto"/>
        <w:jc w:val="both"/>
        <w:rPr>
          <w:rFonts w:ascii="Times New Roman" w:hAnsi="Times New Roman" w:cs="Times New Roman"/>
        </w:rPr>
      </w:pPr>
    </w:p>
    <w:p w:rsidR="007F5EBB" w:rsidRPr="006E2CC6" w:rsidRDefault="00F969AC" w:rsidP="006E2CC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D4D32" w:rsidRPr="006E2CC6">
        <w:rPr>
          <w:rFonts w:ascii="Times New Roman" w:hAnsi="Times New Roman" w:cs="Times New Roman"/>
          <w:sz w:val="24"/>
          <w:szCs w:val="24"/>
        </w:rPr>
        <w:t xml:space="preserve"> It is manifestly </w:t>
      </w:r>
      <w:r w:rsidR="00BD4D32" w:rsidRPr="006E2CC6">
        <w:rPr>
          <w:rFonts w:ascii="Times New Roman" w:hAnsi="Times New Roman" w:cs="Times New Roman"/>
          <w:i/>
          <w:sz w:val="24"/>
          <w:szCs w:val="24"/>
        </w:rPr>
        <w:t xml:space="preserve">mala fide </w:t>
      </w:r>
      <w:r w:rsidR="00BD4D32" w:rsidRPr="006E2CC6">
        <w:rPr>
          <w:rFonts w:ascii="Times New Roman" w:hAnsi="Times New Roman" w:cs="Times New Roman"/>
          <w:sz w:val="24"/>
          <w:szCs w:val="24"/>
        </w:rPr>
        <w:t xml:space="preserve">for the same legal practitioners to mount </w:t>
      </w:r>
      <w:r w:rsidR="002C6736" w:rsidRPr="006E2CC6">
        <w:rPr>
          <w:rFonts w:ascii="Times New Roman" w:hAnsi="Times New Roman" w:cs="Times New Roman"/>
          <w:sz w:val="24"/>
          <w:szCs w:val="24"/>
        </w:rPr>
        <w:t xml:space="preserve">a </w:t>
      </w:r>
      <w:r w:rsidR="00BD4D32" w:rsidRPr="006E2CC6">
        <w:rPr>
          <w:rFonts w:ascii="Times New Roman" w:hAnsi="Times New Roman" w:cs="Times New Roman"/>
          <w:sz w:val="24"/>
          <w:szCs w:val="24"/>
        </w:rPr>
        <w:t>strenuous opposition to the very process which they have proposed.</w:t>
      </w:r>
      <w:r w:rsidR="005D2869" w:rsidRPr="006E2CC6">
        <w:rPr>
          <w:rFonts w:ascii="Times New Roman" w:hAnsi="Times New Roman" w:cs="Times New Roman"/>
          <w:sz w:val="24"/>
          <w:szCs w:val="24"/>
        </w:rPr>
        <w:t xml:space="preserve">  The agreement in terms of which the goods were sold and delivered to the first respondent is in writing and is not disputed by the respondents.  It is also not disputed that they have not paid the balance of the purchase price of as per the agreement.  Their justification for not paying is what must be tested in a court of law.  There is no good ground for contesting this application while at the same time refusing to acknowledge liability to pay for the goods in terms of the agree</w:t>
      </w:r>
      <w:r w:rsidR="002C6736" w:rsidRPr="006E2CC6">
        <w:rPr>
          <w:rFonts w:ascii="Times New Roman" w:hAnsi="Times New Roman" w:cs="Times New Roman"/>
          <w:sz w:val="24"/>
          <w:szCs w:val="24"/>
        </w:rPr>
        <w:t xml:space="preserve">ment.  The respondents’ </w:t>
      </w:r>
      <w:r w:rsidR="002C6736" w:rsidRPr="006E2CC6">
        <w:rPr>
          <w:rFonts w:ascii="Times New Roman" w:hAnsi="Times New Roman" w:cs="Times New Roman"/>
          <w:i/>
          <w:sz w:val="24"/>
          <w:szCs w:val="24"/>
        </w:rPr>
        <w:t xml:space="preserve">mala fides </w:t>
      </w:r>
      <w:r w:rsidR="002C6736" w:rsidRPr="006E2CC6">
        <w:rPr>
          <w:rFonts w:ascii="Times New Roman" w:hAnsi="Times New Roman" w:cs="Times New Roman"/>
          <w:sz w:val="24"/>
          <w:szCs w:val="24"/>
        </w:rPr>
        <w:t>and the vexatiousness of the opposition justifies an award of costs on the attorney-cl</w:t>
      </w:r>
      <w:r w:rsidR="006F0D5F" w:rsidRPr="006E2CC6">
        <w:rPr>
          <w:rFonts w:ascii="Times New Roman" w:hAnsi="Times New Roman" w:cs="Times New Roman"/>
          <w:sz w:val="24"/>
          <w:szCs w:val="24"/>
        </w:rPr>
        <w:t xml:space="preserve">ient scale, see </w:t>
      </w:r>
      <w:r w:rsidR="006F0D5F" w:rsidRPr="006E2CC6">
        <w:rPr>
          <w:rFonts w:ascii="Times New Roman" w:hAnsi="Times New Roman" w:cs="Times New Roman"/>
          <w:i/>
          <w:sz w:val="24"/>
          <w:szCs w:val="24"/>
        </w:rPr>
        <w:t xml:space="preserve">Chisese v Garamukanwa </w:t>
      </w:r>
      <w:r w:rsidR="006F0D5F" w:rsidRPr="006E2CC6">
        <w:rPr>
          <w:rFonts w:ascii="Times New Roman" w:hAnsi="Times New Roman" w:cs="Times New Roman"/>
          <w:sz w:val="24"/>
          <w:szCs w:val="24"/>
        </w:rPr>
        <w:t xml:space="preserve">2002 (2) ZLR 392(S); </w:t>
      </w:r>
      <w:r w:rsidR="006F0D5F" w:rsidRPr="006E2CC6">
        <w:rPr>
          <w:rFonts w:ascii="Times New Roman" w:hAnsi="Times New Roman" w:cs="Times New Roman"/>
          <w:i/>
          <w:sz w:val="24"/>
          <w:szCs w:val="24"/>
        </w:rPr>
        <w:t xml:space="preserve">Fuyana </w:t>
      </w:r>
      <w:r w:rsidR="006F0D5F" w:rsidRPr="00084D79">
        <w:rPr>
          <w:rFonts w:ascii="Times New Roman" w:hAnsi="Times New Roman" w:cs="Times New Roman"/>
          <w:sz w:val="24"/>
          <w:szCs w:val="24"/>
        </w:rPr>
        <w:t>v</w:t>
      </w:r>
      <w:r w:rsidR="006F0D5F" w:rsidRPr="006E2CC6">
        <w:rPr>
          <w:rFonts w:ascii="Times New Roman" w:hAnsi="Times New Roman" w:cs="Times New Roman"/>
          <w:i/>
          <w:sz w:val="24"/>
          <w:szCs w:val="24"/>
        </w:rPr>
        <w:t xml:space="preserve"> Moyo &amp; Ors </w:t>
      </w:r>
      <w:r w:rsidR="006F0D5F" w:rsidRPr="006E2CC6">
        <w:rPr>
          <w:rFonts w:ascii="Times New Roman" w:hAnsi="Times New Roman" w:cs="Times New Roman"/>
          <w:sz w:val="24"/>
          <w:szCs w:val="24"/>
        </w:rPr>
        <w:t xml:space="preserve">2005 (1) ZL 302(H). </w:t>
      </w:r>
    </w:p>
    <w:p w:rsidR="00F969AC" w:rsidRDefault="00F969AC" w:rsidP="006E2CC6">
      <w:pPr>
        <w:jc w:val="both"/>
        <w:rPr>
          <w:rFonts w:ascii="Times New Roman" w:hAnsi="Times New Roman" w:cs="Times New Roman"/>
          <w:sz w:val="24"/>
          <w:szCs w:val="24"/>
        </w:rPr>
      </w:pPr>
      <w:r>
        <w:rPr>
          <w:rFonts w:ascii="Times New Roman" w:hAnsi="Times New Roman" w:cs="Times New Roman"/>
          <w:sz w:val="24"/>
          <w:szCs w:val="24"/>
        </w:rPr>
        <w:tab/>
      </w:r>
      <w:r w:rsidR="002C6736" w:rsidRPr="006E2CC6">
        <w:rPr>
          <w:rFonts w:ascii="Times New Roman" w:hAnsi="Times New Roman" w:cs="Times New Roman"/>
          <w:sz w:val="24"/>
          <w:szCs w:val="24"/>
        </w:rPr>
        <w:t>In the result,</w:t>
      </w:r>
    </w:p>
    <w:p w:rsidR="002C6736" w:rsidRPr="006E2CC6" w:rsidRDefault="002C6736" w:rsidP="006E2CC6">
      <w:pPr>
        <w:jc w:val="both"/>
        <w:rPr>
          <w:rFonts w:ascii="Times New Roman" w:hAnsi="Times New Roman" w:cs="Times New Roman"/>
          <w:sz w:val="24"/>
          <w:szCs w:val="24"/>
        </w:rPr>
      </w:pPr>
      <w:r w:rsidRPr="006E2CC6">
        <w:rPr>
          <w:rFonts w:ascii="Times New Roman" w:hAnsi="Times New Roman" w:cs="Times New Roman"/>
          <w:sz w:val="24"/>
          <w:szCs w:val="24"/>
        </w:rPr>
        <w:lastRenderedPageBreak/>
        <w:t xml:space="preserve"> IT IS ORDERED THAT:</w:t>
      </w:r>
    </w:p>
    <w:p w:rsidR="002C6736" w:rsidRPr="006E2CC6" w:rsidRDefault="00870570" w:rsidP="006E2CC6">
      <w:pPr>
        <w:pStyle w:val="ListParagraph"/>
        <w:numPr>
          <w:ilvl w:val="0"/>
          <w:numId w:val="3"/>
        </w:numPr>
        <w:jc w:val="both"/>
        <w:rPr>
          <w:rFonts w:ascii="Times New Roman" w:hAnsi="Times New Roman" w:cs="Times New Roman"/>
          <w:i/>
          <w:sz w:val="24"/>
          <w:szCs w:val="24"/>
        </w:rPr>
      </w:pPr>
      <w:r w:rsidRPr="006E2CC6">
        <w:rPr>
          <w:rFonts w:ascii="Times New Roman" w:hAnsi="Times New Roman" w:cs="Times New Roman"/>
          <w:sz w:val="24"/>
          <w:szCs w:val="24"/>
        </w:rPr>
        <w:t>The applicant be and is hereby granted leave to commence or institute proceedings against the first and second respondents and to proceed with such proceedings up to the judgment stage.</w:t>
      </w:r>
    </w:p>
    <w:p w:rsidR="00870570" w:rsidRPr="006E2CC6" w:rsidRDefault="00870570" w:rsidP="006E2CC6">
      <w:pPr>
        <w:pStyle w:val="ListParagraph"/>
        <w:numPr>
          <w:ilvl w:val="0"/>
          <w:numId w:val="3"/>
        </w:numPr>
        <w:jc w:val="both"/>
        <w:rPr>
          <w:rFonts w:ascii="Times New Roman" w:hAnsi="Times New Roman" w:cs="Times New Roman"/>
          <w:i/>
          <w:sz w:val="24"/>
          <w:szCs w:val="24"/>
        </w:rPr>
      </w:pPr>
      <w:r w:rsidRPr="006E2CC6">
        <w:rPr>
          <w:rFonts w:ascii="Times New Roman" w:hAnsi="Times New Roman" w:cs="Times New Roman"/>
          <w:sz w:val="24"/>
          <w:szCs w:val="24"/>
        </w:rPr>
        <w:t>The first and second respondents shall pay the costs of this application on the attorney-client scale.</w:t>
      </w:r>
    </w:p>
    <w:p w:rsidR="00006BCD" w:rsidRDefault="00006BCD" w:rsidP="006E2CC6">
      <w:pPr>
        <w:jc w:val="both"/>
        <w:rPr>
          <w:rFonts w:ascii="Times New Roman" w:hAnsi="Times New Roman" w:cs="Times New Roman"/>
          <w:i/>
          <w:sz w:val="24"/>
          <w:szCs w:val="24"/>
        </w:rPr>
      </w:pPr>
    </w:p>
    <w:p w:rsidR="001D092F" w:rsidRPr="006E2CC6" w:rsidRDefault="001D092F" w:rsidP="006E2CC6">
      <w:pPr>
        <w:jc w:val="both"/>
        <w:rPr>
          <w:rFonts w:ascii="Times New Roman" w:hAnsi="Times New Roman" w:cs="Times New Roman"/>
          <w:i/>
          <w:sz w:val="24"/>
          <w:szCs w:val="24"/>
        </w:rPr>
      </w:pPr>
    </w:p>
    <w:p w:rsidR="00006BCD" w:rsidRPr="006E2CC6" w:rsidRDefault="00006BCD" w:rsidP="00C44E62">
      <w:pPr>
        <w:spacing w:after="0"/>
        <w:jc w:val="both"/>
        <w:rPr>
          <w:rFonts w:ascii="Times New Roman" w:hAnsi="Times New Roman" w:cs="Times New Roman"/>
          <w:sz w:val="24"/>
          <w:szCs w:val="24"/>
        </w:rPr>
      </w:pPr>
      <w:r w:rsidRPr="006E2CC6">
        <w:rPr>
          <w:rFonts w:ascii="Times New Roman" w:hAnsi="Times New Roman" w:cs="Times New Roman"/>
          <w:i/>
          <w:sz w:val="24"/>
          <w:szCs w:val="24"/>
        </w:rPr>
        <w:t>Devittie, Rudolph &amp; Timba</w:t>
      </w:r>
      <w:r w:rsidRPr="006E2CC6">
        <w:rPr>
          <w:rFonts w:ascii="Times New Roman" w:hAnsi="Times New Roman" w:cs="Times New Roman"/>
          <w:sz w:val="24"/>
          <w:szCs w:val="24"/>
        </w:rPr>
        <w:t>, applicant’s legal practitioners</w:t>
      </w:r>
    </w:p>
    <w:p w:rsidR="00006BCD" w:rsidRPr="006E2CC6" w:rsidRDefault="00006BCD" w:rsidP="00C44E62">
      <w:pPr>
        <w:spacing w:after="0"/>
        <w:jc w:val="both"/>
        <w:rPr>
          <w:rFonts w:ascii="Times New Roman" w:hAnsi="Times New Roman" w:cs="Times New Roman"/>
          <w:sz w:val="24"/>
          <w:szCs w:val="24"/>
        </w:rPr>
      </w:pPr>
      <w:r w:rsidRPr="006E2CC6">
        <w:rPr>
          <w:rFonts w:ascii="Times New Roman" w:hAnsi="Times New Roman" w:cs="Times New Roman"/>
          <w:i/>
          <w:sz w:val="24"/>
          <w:szCs w:val="24"/>
        </w:rPr>
        <w:t>Gama &amp; Partners</w:t>
      </w:r>
      <w:r w:rsidRPr="006E2CC6">
        <w:rPr>
          <w:rFonts w:ascii="Times New Roman" w:hAnsi="Times New Roman" w:cs="Times New Roman"/>
          <w:sz w:val="24"/>
          <w:szCs w:val="24"/>
        </w:rPr>
        <w:t>, first and second respondents’ legal practitioners</w:t>
      </w:r>
    </w:p>
    <w:sectPr w:rsidR="00006BCD" w:rsidRPr="006E2C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2F" w:rsidRDefault="00494A2F" w:rsidP="006E2CC6">
      <w:pPr>
        <w:spacing w:after="0" w:line="240" w:lineRule="auto"/>
      </w:pPr>
      <w:r>
        <w:separator/>
      </w:r>
    </w:p>
  </w:endnote>
  <w:endnote w:type="continuationSeparator" w:id="0">
    <w:p w:rsidR="00494A2F" w:rsidRDefault="00494A2F" w:rsidP="006E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2F" w:rsidRDefault="00494A2F" w:rsidP="006E2CC6">
      <w:pPr>
        <w:spacing w:after="0" w:line="240" w:lineRule="auto"/>
      </w:pPr>
      <w:r>
        <w:separator/>
      </w:r>
    </w:p>
  </w:footnote>
  <w:footnote w:type="continuationSeparator" w:id="0">
    <w:p w:rsidR="00494A2F" w:rsidRDefault="00494A2F" w:rsidP="006E2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552459"/>
      <w:docPartObj>
        <w:docPartGallery w:val="Page Numbers (Top of Page)"/>
        <w:docPartUnique/>
      </w:docPartObj>
    </w:sdtPr>
    <w:sdtEndPr>
      <w:rPr>
        <w:noProof/>
      </w:rPr>
    </w:sdtEndPr>
    <w:sdtContent>
      <w:p w:rsidR="006E2CC6" w:rsidRDefault="006E2CC6">
        <w:pPr>
          <w:pStyle w:val="Header"/>
          <w:jc w:val="right"/>
          <w:rPr>
            <w:noProof/>
          </w:rPr>
        </w:pPr>
        <w:r>
          <w:fldChar w:fldCharType="begin"/>
        </w:r>
        <w:r>
          <w:instrText xml:space="preserve"> PAGE   \* MERGEFORMAT </w:instrText>
        </w:r>
        <w:r>
          <w:fldChar w:fldCharType="separate"/>
        </w:r>
        <w:r w:rsidR="00495B98">
          <w:rPr>
            <w:noProof/>
          </w:rPr>
          <w:t>1</w:t>
        </w:r>
        <w:r>
          <w:rPr>
            <w:noProof/>
          </w:rPr>
          <w:fldChar w:fldCharType="end"/>
        </w:r>
      </w:p>
      <w:p w:rsidR="006E2CC6" w:rsidRDefault="006E2CC6">
        <w:pPr>
          <w:pStyle w:val="Header"/>
          <w:jc w:val="right"/>
          <w:rPr>
            <w:noProof/>
          </w:rPr>
        </w:pPr>
        <w:r>
          <w:rPr>
            <w:noProof/>
          </w:rPr>
          <w:t>HH</w:t>
        </w:r>
        <w:r w:rsidR="00C713DD">
          <w:rPr>
            <w:noProof/>
          </w:rPr>
          <w:t xml:space="preserve"> 463-19</w:t>
        </w:r>
      </w:p>
      <w:p w:rsidR="006E2CC6" w:rsidRDefault="006E2CC6">
        <w:pPr>
          <w:pStyle w:val="Header"/>
          <w:jc w:val="right"/>
        </w:pPr>
        <w:r>
          <w:rPr>
            <w:noProof/>
          </w:rPr>
          <w:t>HH 11894/18</w:t>
        </w:r>
      </w:p>
    </w:sdtContent>
  </w:sdt>
  <w:p w:rsidR="006E2CC6" w:rsidRDefault="006E2C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10383"/>
    <w:multiLevelType w:val="hybridMultilevel"/>
    <w:tmpl w:val="30D243B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C364B"/>
    <w:multiLevelType w:val="hybridMultilevel"/>
    <w:tmpl w:val="CCB6F39E"/>
    <w:lvl w:ilvl="0" w:tplc="205CF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5228EA"/>
    <w:multiLevelType w:val="hybridMultilevel"/>
    <w:tmpl w:val="44D65D10"/>
    <w:lvl w:ilvl="0" w:tplc="1BFA8A18">
      <w:start w:val="1"/>
      <w:numFmt w:val="lowerLetter"/>
      <w:lvlText w:val="(%1)"/>
      <w:lvlJc w:val="left"/>
      <w:pPr>
        <w:ind w:left="3240" w:hanging="360"/>
      </w:pPr>
      <w:rPr>
        <w:rFonts w:hint="default"/>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BB"/>
    <w:rsid w:val="000060A9"/>
    <w:rsid w:val="00006BCD"/>
    <w:rsid w:val="00033B25"/>
    <w:rsid w:val="0006510A"/>
    <w:rsid w:val="00084D79"/>
    <w:rsid w:val="000E2486"/>
    <w:rsid w:val="001D092F"/>
    <w:rsid w:val="001D42ED"/>
    <w:rsid w:val="0025416E"/>
    <w:rsid w:val="002C1F29"/>
    <w:rsid w:val="002C6736"/>
    <w:rsid w:val="00313B5A"/>
    <w:rsid w:val="00315ED5"/>
    <w:rsid w:val="0037716A"/>
    <w:rsid w:val="00395D6D"/>
    <w:rsid w:val="003A3466"/>
    <w:rsid w:val="003D75D4"/>
    <w:rsid w:val="003E02A4"/>
    <w:rsid w:val="003E79F2"/>
    <w:rsid w:val="00401A6E"/>
    <w:rsid w:val="0044569A"/>
    <w:rsid w:val="00494A2F"/>
    <w:rsid w:val="00495B98"/>
    <w:rsid w:val="004B46CC"/>
    <w:rsid w:val="00534522"/>
    <w:rsid w:val="00582032"/>
    <w:rsid w:val="00586646"/>
    <w:rsid w:val="005C3E59"/>
    <w:rsid w:val="005D149A"/>
    <w:rsid w:val="005D2869"/>
    <w:rsid w:val="005D490A"/>
    <w:rsid w:val="006010EF"/>
    <w:rsid w:val="00670198"/>
    <w:rsid w:val="006E2CC6"/>
    <w:rsid w:val="006F0D5F"/>
    <w:rsid w:val="006F6524"/>
    <w:rsid w:val="00727887"/>
    <w:rsid w:val="0075005B"/>
    <w:rsid w:val="0079159E"/>
    <w:rsid w:val="007D75FF"/>
    <w:rsid w:val="007F5EBB"/>
    <w:rsid w:val="008516D2"/>
    <w:rsid w:val="00870570"/>
    <w:rsid w:val="008A4E56"/>
    <w:rsid w:val="009343F0"/>
    <w:rsid w:val="00954F34"/>
    <w:rsid w:val="009D7552"/>
    <w:rsid w:val="00A319E3"/>
    <w:rsid w:val="00A36794"/>
    <w:rsid w:val="00A7518B"/>
    <w:rsid w:val="00A95507"/>
    <w:rsid w:val="00AA14F0"/>
    <w:rsid w:val="00B02152"/>
    <w:rsid w:val="00B542F6"/>
    <w:rsid w:val="00B62F74"/>
    <w:rsid w:val="00B9741A"/>
    <w:rsid w:val="00BC4074"/>
    <w:rsid w:val="00BD4D32"/>
    <w:rsid w:val="00BD6A6B"/>
    <w:rsid w:val="00C02740"/>
    <w:rsid w:val="00C44E62"/>
    <w:rsid w:val="00C713DD"/>
    <w:rsid w:val="00C95133"/>
    <w:rsid w:val="00CF0451"/>
    <w:rsid w:val="00D051CD"/>
    <w:rsid w:val="00D37D69"/>
    <w:rsid w:val="00D72AD3"/>
    <w:rsid w:val="00DB4C50"/>
    <w:rsid w:val="00E17693"/>
    <w:rsid w:val="00E35269"/>
    <w:rsid w:val="00E4780C"/>
    <w:rsid w:val="00EC3A45"/>
    <w:rsid w:val="00EE71F6"/>
    <w:rsid w:val="00EF0115"/>
    <w:rsid w:val="00F0583F"/>
    <w:rsid w:val="00F50F74"/>
    <w:rsid w:val="00F969AC"/>
    <w:rsid w:val="00FE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1A679-C15D-44AA-841A-F68CA6D7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032"/>
    <w:pPr>
      <w:ind w:left="720"/>
      <w:contextualSpacing/>
    </w:pPr>
  </w:style>
  <w:style w:type="paragraph" w:styleId="Header">
    <w:name w:val="header"/>
    <w:basedOn w:val="Normal"/>
    <w:link w:val="HeaderChar"/>
    <w:uiPriority w:val="99"/>
    <w:unhideWhenUsed/>
    <w:rsid w:val="006E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CC6"/>
  </w:style>
  <w:style w:type="paragraph" w:styleId="Footer">
    <w:name w:val="footer"/>
    <w:basedOn w:val="Normal"/>
    <w:link w:val="FooterChar"/>
    <w:uiPriority w:val="99"/>
    <w:unhideWhenUsed/>
    <w:rsid w:val="006E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JSC</cp:lastModifiedBy>
  <cp:revision>2</cp:revision>
  <dcterms:created xsi:type="dcterms:W3CDTF">2019-07-08T06:40:00Z</dcterms:created>
  <dcterms:modified xsi:type="dcterms:W3CDTF">2019-07-08T06:40:00Z</dcterms:modified>
</cp:coreProperties>
</file>