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206" w:rsidRPr="004E3401" w:rsidRDefault="00764206">
      <w:pPr>
        <w:rPr>
          <w:rFonts w:ascii="Times New Roman" w:hAnsi="Times New Roman" w:cs="Times New Roman"/>
          <w:sz w:val="24"/>
          <w:szCs w:val="24"/>
        </w:rPr>
      </w:pPr>
      <w:bookmarkStart w:id="0" w:name="_GoBack"/>
      <w:bookmarkEnd w:id="0"/>
    </w:p>
    <w:p w:rsidR="00330749" w:rsidRPr="004E3401" w:rsidRDefault="00330749">
      <w:pPr>
        <w:rPr>
          <w:rFonts w:ascii="Times New Roman" w:hAnsi="Times New Roman" w:cs="Times New Roman"/>
          <w:sz w:val="24"/>
          <w:szCs w:val="24"/>
        </w:rPr>
      </w:pPr>
    </w:p>
    <w:p w:rsidR="00330749" w:rsidRPr="004E3401" w:rsidRDefault="008E5866" w:rsidP="002E2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w:t>
      </w:r>
      <w:r w:rsidR="00330749" w:rsidRPr="004E3401">
        <w:rPr>
          <w:rFonts w:ascii="Times New Roman" w:hAnsi="Times New Roman" w:cs="Times New Roman"/>
          <w:sz w:val="24"/>
          <w:szCs w:val="24"/>
        </w:rPr>
        <w:t xml:space="preserve"> (PVT) LTD</w:t>
      </w:r>
    </w:p>
    <w:p w:rsidR="00330749" w:rsidRPr="004E3401" w:rsidRDefault="00C935A6" w:rsidP="002E2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330749" w:rsidRPr="004E3401">
        <w:rPr>
          <w:rFonts w:ascii="Times New Roman" w:hAnsi="Times New Roman" w:cs="Times New Roman"/>
          <w:sz w:val="24"/>
          <w:szCs w:val="24"/>
        </w:rPr>
        <w:t>ersus</w:t>
      </w:r>
    </w:p>
    <w:p w:rsidR="00330749" w:rsidRPr="004E3401" w:rsidRDefault="00330749" w:rsidP="002E286B">
      <w:pPr>
        <w:spacing w:after="0" w:line="240" w:lineRule="auto"/>
        <w:jc w:val="both"/>
        <w:rPr>
          <w:rFonts w:ascii="Times New Roman" w:hAnsi="Times New Roman" w:cs="Times New Roman"/>
          <w:sz w:val="24"/>
          <w:szCs w:val="24"/>
        </w:rPr>
      </w:pPr>
      <w:r w:rsidRPr="004E3401">
        <w:rPr>
          <w:rFonts w:ascii="Times New Roman" w:hAnsi="Times New Roman" w:cs="Times New Roman"/>
          <w:sz w:val="24"/>
          <w:szCs w:val="24"/>
        </w:rPr>
        <w:t>ZIMBABWE REVENUE AUTHORITY</w:t>
      </w:r>
    </w:p>
    <w:p w:rsidR="00330749" w:rsidRDefault="00330749" w:rsidP="002C1EA2">
      <w:pPr>
        <w:jc w:val="both"/>
        <w:rPr>
          <w:rFonts w:ascii="Times New Roman" w:hAnsi="Times New Roman" w:cs="Times New Roman"/>
          <w:sz w:val="24"/>
          <w:szCs w:val="24"/>
        </w:rPr>
      </w:pPr>
    </w:p>
    <w:p w:rsidR="002E286B" w:rsidRPr="004E3401" w:rsidRDefault="002E286B" w:rsidP="002C1EA2">
      <w:pPr>
        <w:jc w:val="both"/>
        <w:rPr>
          <w:rFonts w:ascii="Times New Roman" w:hAnsi="Times New Roman" w:cs="Times New Roman"/>
          <w:sz w:val="24"/>
          <w:szCs w:val="24"/>
        </w:rPr>
      </w:pPr>
    </w:p>
    <w:p w:rsidR="00330749" w:rsidRPr="004E3401" w:rsidRDefault="00330749" w:rsidP="002E286B">
      <w:pPr>
        <w:spacing w:after="0" w:line="240" w:lineRule="auto"/>
        <w:jc w:val="both"/>
        <w:rPr>
          <w:rFonts w:ascii="Times New Roman" w:hAnsi="Times New Roman" w:cs="Times New Roman"/>
          <w:sz w:val="24"/>
          <w:szCs w:val="24"/>
        </w:rPr>
      </w:pPr>
      <w:r w:rsidRPr="004E3401">
        <w:rPr>
          <w:rFonts w:ascii="Times New Roman" w:hAnsi="Times New Roman" w:cs="Times New Roman"/>
          <w:sz w:val="24"/>
          <w:szCs w:val="24"/>
        </w:rPr>
        <w:t>SPECIAL COURT FOR INCOME TAX APPEALS</w:t>
      </w:r>
    </w:p>
    <w:p w:rsidR="00330749" w:rsidRPr="004E3401" w:rsidRDefault="00330749" w:rsidP="002E286B">
      <w:pPr>
        <w:spacing w:after="0" w:line="240" w:lineRule="auto"/>
        <w:jc w:val="both"/>
        <w:rPr>
          <w:rFonts w:ascii="Times New Roman" w:hAnsi="Times New Roman" w:cs="Times New Roman"/>
          <w:sz w:val="24"/>
          <w:szCs w:val="24"/>
        </w:rPr>
      </w:pPr>
      <w:r w:rsidRPr="004E3401">
        <w:rPr>
          <w:rFonts w:ascii="Times New Roman" w:hAnsi="Times New Roman" w:cs="Times New Roman"/>
          <w:sz w:val="24"/>
          <w:szCs w:val="24"/>
        </w:rPr>
        <w:t>KUDYA J</w:t>
      </w:r>
    </w:p>
    <w:p w:rsidR="00330749" w:rsidRPr="004E3401" w:rsidRDefault="002E286B" w:rsidP="002E286B">
      <w:pPr>
        <w:spacing w:after="0" w:line="240" w:lineRule="auto"/>
        <w:jc w:val="both"/>
        <w:rPr>
          <w:rFonts w:ascii="Times New Roman" w:hAnsi="Times New Roman" w:cs="Times New Roman"/>
          <w:sz w:val="24"/>
          <w:szCs w:val="24"/>
        </w:rPr>
      </w:pPr>
      <w:r w:rsidRPr="004E3401">
        <w:rPr>
          <w:rFonts w:ascii="Times New Roman" w:hAnsi="Times New Roman" w:cs="Times New Roman"/>
          <w:sz w:val="24"/>
          <w:szCs w:val="24"/>
        </w:rPr>
        <w:t>HARARE</w:t>
      </w:r>
      <w:r>
        <w:rPr>
          <w:rFonts w:ascii="Times New Roman" w:hAnsi="Times New Roman" w:cs="Times New Roman"/>
          <w:sz w:val="24"/>
          <w:szCs w:val="24"/>
        </w:rPr>
        <w:t>,</w:t>
      </w:r>
      <w:r w:rsidR="00330749" w:rsidRPr="004E3401">
        <w:rPr>
          <w:rFonts w:ascii="Times New Roman" w:hAnsi="Times New Roman" w:cs="Times New Roman"/>
          <w:sz w:val="24"/>
          <w:szCs w:val="24"/>
        </w:rPr>
        <w:t xml:space="preserve"> 6 March </w:t>
      </w:r>
      <w:r w:rsidR="00A07B11" w:rsidRPr="004E3401">
        <w:rPr>
          <w:rFonts w:ascii="Times New Roman" w:hAnsi="Times New Roman" w:cs="Times New Roman"/>
          <w:sz w:val="24"/>
          <w:szCs w:val="24"/>
        </w:rPr>
        <w:t xml:space="preserve">2018 and </w:t>
      </w:r>
      <w:r w:rsidR="00521F99">
        <w:rPr>
          <w:rFonts w:ascii="Times New Roman" w:hAnsi="Times New Roman" w:cs="Times New Roman"/>
          <w:sz w:val="24"/>
          <w:szCs w:val="24"/>
        </w:rPr>
        <w:t>13</w:t>
      </w:r>
      <w:r w:rsidR="00330749" w:rsidRPr="004E3401">
        <w:rPr>
          <w:rFonts w:ascii="Times New Roman" w:hAnsi="Times New Roman" w:cs="Times New Roman"/>
          <w:sz w:val="24"/>
          <w:szCs w:val="24"/>
        </w:rPr>
        <w:t xml:space="preserve"> February 2020</w:t>
      </w:r>
    </w:p>
    <w:p w:rsidR="00FA526F" w:rsidRDefault="00FA526F" w:rsidP="002C1EA2">
      <w:pPr>
        <w:spacing w:line="240" w:lineRule="auto"/>
        <w:jc w:val="both"/>
        <w:rPr>
          <w:rFonts w:ascii="Times New Roman" w:hAnsi="Times New Roman" w:cs="Times New Roman"/>
          <w:sz w:val="24"/>
          <w:szCs w:val="24"/>
        </w:rPr>
      </w:pPr>
    </w:p>
    <w:p w:rsidR="002E286B" w:rsidRPr="004E3401" w:rsidRDefault="002E286B" w:rsidP="002C1EA2">
      <w:pPr>
        <w:spacing w:line="240" w:lineRule="auto"/>
        <w:jc w:val="both"/>
        <w:rPr>
          <w:rFonts w:ascii="Times New Roman" w:hAnsi="Times New Roman" w:cs="Times New Roman"/>
          <w:sz w:val="24"/>
          <w:szCs w:val="24"/>
        </w:rPr>
      </w:pPr>
    </w:p>
    <w:p w:rsidR="00FA526F" w:rsidRPr="004E3401" w:rsidRDefault="00FA526F" w:rsidP="002C1EA2">
      <w:pPr>
        <w:spacing w:line="240" w:lineRule="auto"/>
        <w:jc w:val="both"/>
        <w:rPr>
          <w:rFonts w:ascii="Times New Roman" w:hAnsi="Times New Roman" w:cs="Times New Roman"/>
          <w:b/>
          <w:sz w:val="24"/>
          <w:szCs w:val="24"/>
        </w:rPr>
      </w:pPr>
      <w:r w:rsidRPr="004E3401">
        <w:rPr>
          <w:rFonts w:ascii="Times New Roman" w:hAnsi="Times New Roman" w:cs="Times New Roman"/>
          <w:b/>
          <w:sz w:val="24"/>
          <w:szCs w:val="24"/>
        </w:rPr>
        <w:t xml:space="preserve">Income Tax Appeal </w:t>
      </w:r>
    </w:p>
    <w:p w:rsidR="00FA526F" w:rsidRPr="004E3401" w:rsidRDefault="00FA526F" w:rsidP="002C1EA2">
      <w:pPr>
        <w:spacing w:line="240" w:lineRule="auto"/>
        <w:jc w:val="both"/>
        <w:rPr>
          <w:rFonts w:ascii="Times New Roman" w:hAnsi="Times New Roman" w:cs="Times New Roman"/>
          <w:b/>
          <w:sz w:val="24"/>
          <w:szCs w:val="24"/>
        </w:rPr>
      </w:pPr>
    </w:p>
    <w:p w:rsidR="00FA526F" w:rsidRPr="004E3401" w:rsidRDefault="00FA526F" w:rsidP="002E286B">
      <w:pPr>
        <w:spacing w:after="0" w:line="240" w:lineRule="auto"/>
        <w:jc w:val="both"/>
        <w:rPr>
          <w:rFonts w:ascii="Times New Roman" w:hAnsi="Times New Roman" w:cs="Times New Roman"/>
          <w:sz w:val="24"/>
          <w:szCs w:val="24"/>
        </w:rPr>
      </w:pPr>
      <w:r w:rsidRPr="004E3401">
        <w:rPr>
          <w:rFonts w:ascii="Times New Roman" w:hAnsi="Times New Roman" w:cs="Times New Roman"/>
          <w:i/>
          <w:sz w:val="24"/>
          <w:szCs w:val="24"/>
        </w:rPr>
        <w:t xml:space="preserve">D Tivadar, </w:t>
      </w:r>
      <w:r w:rsidRPr="004E3401">
        <w:rPr>
          <w:rFonts w:ascii="Times New Roman" w:hAnsi="Times New Roman" w:cs="Times New Roman"/>
          <w:sz w:val="24"/>
          <w:szCs w:val="24"/>
        </w:rPr>
        <w:t>for the appellant</w:t>
      </w:r>
    </w:p>
    <w:p w:rsidR="00FA526F" w:rsidRDefault="00174212" w:rsidP="002E286B">
      <w:pPr>
        <w:spacing w:after="0" w:line="240" w:lineRule="auto"/>
        <w:jc w:val="both"/>
        <w:rPr>
          <w:rFonts w:ascii="Times New Roman" w:hAnsi="Times New Roman" w:cs="Times New Roman"/>
          <w:sz w:val="24"/>
          <w:szCs w:val="24"/>
        </w:rPr>
      </w:pPr>
      <w:r w:rsidRPr="004E3401">
        <w:rPr>
          <w:rFonts w:ascii="Times New Roman" w:hAnsi="Times New Roman" w:cs="Times New Roman"/>
          <w:i/>
          <w:sz w:val="24"/>
          <w:szCs w:val="24"/>
        </w:rPr>
        <w:t xml:space="preserve">S Bhebhe </w:t>
      </w:r>
      <w:r w:rsidRPr="004E3401">
        <w:rPr>
          <w:rFonts w:ascii="Times New Roman" w:hAnsi="Times New Roman" w:cs="Times New Roman"/>
          <w:sz w:val="24"/>
          <w:szCs w:val="24"/>
        </w:rPr>
        <w:t>with</w:t>
      </w:r>
      <w:r w:rsidR="00FA526F" w:rsidRPr="004E3401">
        <w:rPr>
          <w:rFonts w:ascii="Times New Roman" w:hAnsi="Times New Roman" w:cs="Times New Roman"/>
          <w:i/>
          <w:sz w:val="24"/>
          <w:szCs w:val="24"/>
        </w:rPr>
        <w:t xml:space="preserve"> H Muromba</w:t>
      </w:r>
      <w:r w:rsidR="00FA526F" w:rsidRPr="004E3401">
        <w:rPr>
          <w:rFonts w:ascii="Times New Roman" w:hAnsi="Times New Roman" w:cs="Times New Roman"/>
          <w:sz w:val="24"/>
          <w:szCs w:val="24"/>
        </w:rPr>
        <w:t>, for the respondent</w:t>
      </w:r>
    </w:p>
    <w:p w:rsidR="002E286B" w:rsidRDefault="002E286B" w:rsidP="002E286B">
      <w:pPr>
        <w:spacing w:after="0" w:line="240" w:lineRule="auto"/>
        <w:jc w:val="both"/>
        <w:rPr>
          <w:rFonts w:ascii="Times New Roman" w:hAnsi="Times New Roman" w:cs="Times New Roman"/>
          <w:sz w:val="24"/>
          <w:szCs w:val="24"/>
        </w:rPr>
      </w:pPr>
    </w:p>
    <w:p w:rsidR="002E286B" w:rsidRPr="004E3401" w:rsidRDefault="002E286B" w:rsidP="002E286B">
      <w:pPr>
        <w:spacing w:after="0" w:line="240" w:lineRule="auto"/>
        <w:jc w:val="both"/>
        <w:rPr>
          <w:rFonts w:ascii="Times New Roman" w:hAnsi="Times New Roman" w:cs="Times New Roman"/>
          <w:sz w:val="24"/>
          <w:szCs w:val="24"/>
        </w:rPr>
      </w:pPr>
    </w:p>
    <w:p w:rsidR="003561F4" w:rsidRPr="004E3401" w:rsidRDefault="00FA526F" w:rsidP="002E286B">
      <w:pPr>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KUDYA J:</w:t>
      </w:r>
      <w:r w:rsidR="00C74969" w:rsidRPr="004E3401">
        <w:rPr>
          <w:rFonts w:ascii="Times New Roman" w:hAnsi="Times New Roman" w:cs="Times New Roman"/>
          <w:sz w:val="24"/>
          <w:szCs w:val="24"/>
        </w:rPr>
        <w:t xml:space="preserve"> The 10 issues raised in thi</w:t>
      </w:r>
      <w:r w:rsidR="00DB465A" w:rsidRPr="004E3401">
        <w:rPr>
          <w:rFonts w:ascii="Times New Roman" w:hAnsi="Times New Roman" w:cs="Times New Roman"/>
          <w:sz w:val="24"/>
          <w:szCs w:val="24"/>
        </w:rPr>
        <w:t xml:space="preserve">s appeal concern the treatment </w:t>
      </w:r>
      <w:r w:rsidR="00C74969" w:rsidRPr="004E3401">
        <w:rPr>
          <w:rFonts w:ascii="Times New Roman" w:hAnsi="Times New Roman" w:cs="Times New Roman"/>
          <w:sz w:val="24"/>
          <w:szCs w:val="24"/>
        </w:rPr>
        <w:t>the Commissioner accorded to claims for capital redemption allowances in respect of the 2011 and 2</w:t>
      </w:r>
      <w:r w:rsidR="00DB465A" w:rsidRPr="004E3401">
        <w:rPr>
          <w:rFonts w:ascii="Times New Roman" w:hAnsi="Times New Roman" w:cs="Times New Roman"/>
          <w:sz w:val="24"/>
          <w:szCs w:val="24"/>
        </w:rPr>
        <w:t>013 tax years, the apparently prescr</w:t>
      </w:r>
      <w:r w:rsidR="001634AC">
        <w:rPr>
          <w:rFonts w:ascii="Times New Roman" w:hAnsi="Times New Roman" w:cs="Times New Roman"/>
          <w:sz w:val="24"/>
          <w:szCs w:val="24"/>
        </w:rPr>
        <w:t>ibed 2009 income tax assessment</w:t>
      </w:r>
      <w:r w:rsidR="00DB465A" w:rsidRPr="004E3401">
        <w:rPr>
          <w:rFonts w:ascii="Times New Roman" w:hAnsi="Times New Roman" w:cs="Times New Roman"/>
          <w:sz w:val="24"/>
          <w:szCs w:val="24"/>
        </w:rPr>
        <w:t>, prepayments, deferred expenses, mana</w:t>
      </w:r>
      <w:r w:rsidR="001634AC">
        <w:rPr>
          <w:rFonts w:ascii="Times New Roman" w:hAnsi="Times New Roman" w:cs="Times New Roman"/>
          <w:sz w:val="24"/>
          <w:szCs w:val="24"/>
        </w:rPr>
        <w:t xml:space="preserve">gement fees, canteen meals, </w:t>
      </w:r>
      <w:r w:rsidR="00DB465A" w:rsidRPr="004E3401">
        <w:rPr>
          <w:rFonts w:ascii="Times New Roman" w:hAnsi="Times New Roman" w:cs="Times New Roman"/>
          <w:sz w:val="24"/>
          <w:szCs w:val="24"/>
        </w:rPr>
        <w:t xml:space="preserve">bad debts written off </w:t>
      </w:r>
      <w:r w:rsidR="002C1EA2" w:rsidRPr="004E3401">
        <w:rPr>
          <w:rFonts w:ascii="Times New Roman" w:hAnsi="Times New Roman" w:cs="Times New Roman"/>
          <w:sz w:val="24"/>
          <w:szCs w:val="24"/>
        </w:rPr>
        <w:t xml:space="preserve">in the 2009, 2010 and 2011 tax years, interest in the 2013 tax year and penalties. </w:t>
      </w:r>
    </w:p>
    <w:p w:rsidR="00F145DD" w:rsidRPr="004E3401" w:rsidRDefault="002D7A44" w:rsidP="002E286B">
      <w:pPr>
        <w:spacing w:after="0" w:line="360" w:lineRule="auto"/>
        <w:jc w:val="both"/>
        <w:rPr>
          <w:rFonts w:ascii="Times New Roman" w:hAnsi="Times New Roman" w:cs="Times New Roman"/>
          <w:sz w:val="24"/>
          <w:szCs w:val="24"/>
          <w:u w:val="single"/>
        </w:rPr>
      </w:pPr>
      <w:r w:rsidRPr="004E3401">
        <w:rPr>
          <w:rFonts w:ascii="Times New Roman" w:hAnsi="Times New Roman" w:cs="Times New Roman"/>
          <w:sz w:val="24"/>
          <w:szCs w:val="24"/>
          <w:u w:val="single"/>
        </w:rPr>
        <w:t>The background</w:t>
      </w:r>
    </w:p>
    <w:p w:rsidR="00013DD9" w:rsidRPr="004E3401" w:rsidRDefault="00AC6042" w:rsidP="002E28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22 September 2014, the respondent commenced</w:t>
      </w:r>
      <w:r w:rsidR="00F145DD" w:rsidRPr="004E3401">
        <w:rPr>
          <w:rFonts w:ascii="Times New Roman" w:hAnsi="Times New Roman" w:cs="Times New Roman"/>
          <w:sz w:val="24"/>
          <w:szCs w:val="24"/>
        </w:rPr>
        <w:t xml:space="preserve"> an income tax investigation on the appellan</w:t>
      </w:r>
      <w:r w:rsidR="0097797A">
        <w:rPr>
          <w:rFonts w:ascii="Times New Roman" w:hAnsi="Times New Roman" w:cs="Times New Roman"/>
          <w:sz w:val="24"/>
          <w:szCs w:val="24"/>
        </w:rPr>
        <w:t>t for the tax years 2009 to 2013</w:t>
      </w:r>
      <w:r w:rsidR="00F145DD" w:rsidRPr="004E3401">
        <w:rPr>
          <w:rFonts w:ascii="Times New Roman" w:hAnsi="Times New Roman" w:cs="Times New Roman"/>
          <w:sz w:val="24"/>
          <w:szCs w:val="24"/>
        </w:rPr>
        <w:t>.</w:t>
      </w:r>
      <w:r w:rsidR="00ED5645" w:rsidRPr="004E3401">
        <w:rPr>
          <w:rFonts w:ascii="Times New Roman" w:hAnsi="Times New Roman" w:cs="Times New Roman"/>
          <w:sz w:val="24"/>
          <w:szCs w:val="24"/>
        </w:rPr>
        <w:t xml:space="preserve"> The parties held meetings and exchanged communication </w:t>
      </w:r>
      <w:r w:rsidR="0097797A">
        <w:rPr>
          <w:rFonts w:ascii="Times New Roman" w:hAnsi="Times New Roman" w:cs="Times New Roman"/>
          <w:sz w:val="24"/>
          <w:szCs w:val="24"/>
        </w:rPr>
        <w:t xml:space="preserve">which culminated in the presentation of the respondent’s findings on </w:t>
      </w:r>
      <w:r w:rsidR="00ED5645" w:rsidRPr="004E3401">
        <w:rPr>
          <w:rFonts w:ascii="Times New Roman" w:hAnsi="Times New Roman" w:cs="Times New Roman"/>
          <w:sz w:val="24"/>
          <w:szCs w:val="24"/>
        </w:rPr>
        <w:t>2 November 2016</w:t>
      </w:r>
      <w:r w:rsidR="0078324A">
        <w:rPr>
          <w:rFonts w:ascii="Times New Roman" w:hAnsi="Times New Roman" w:cs="Times New Roman"/>
          <w:sz w:val="24"/>
          <w:szCs w:val="24"/>
        </w:rPr>
        <w:t>,</w:t>
      </w:r>
      <w:r w:rsidR="00ED5645" w:rsidRPr="004E3401">
        <w:rPr>
          <w:rFonts w:ascii="Times New Roman" w:hAnsi="Times New Roman" w:cs="Times New Roman"/>
          <w:sz w:val="24"/>
          <w:szCs w:val="24"/>
        </w:rPr>
        <w:t xml:space="preserve"> </w:t>
      </w:r>
      <w:r w:rsidR="0097797A">
        <w:rPr>
          <w:rFonts w:ascii="Times New Roman" w:hAnsi="Times New Roman" w:cs="Times New Roman"/>
          <w:sz w:val="24"/>
          <w:szCs w:val="24"/>
        </w:rPr>
        <w:t xml:space="preserve">and the issuance of the first set of amended assessments on 4 November 2016. </w:t>
      </w:r>
      <w:r w:rsidR="00280DA5" w:rsidRPr="004E3401">
        <w:rPr>
          <w:rFonts w:ascii="Times New Roman" w:hAnsi="Times New Roman" w:cs="Times New Roman"/>
          <w:sz w:val="24"/>
          <w:szCs w:val="24"/>
        </w:rPr>
        <w:t>On 12 December 2016</w:t>
      </w:r>
      <w:r w:rsidR="0078324A">
        <w:rPr>
          <w:rFonts w:ascii="Times New Roman" w:hAnsi="Times New Roman" w:cs="Times New Roman"/>
          <w:sz w:val="24"/>
          <w:szCs w:val="24"/>
        </w:rPr>
        <w:t>,</w:t>
      </w:r>
      <w:r w:rsidR="00280DA5" w:rsidRPr="004E3401">
        <w:rPr>
          <w:rFonts w:ascii="Times New Roman" w:hAnsi="Times New Roman" w:cs="Times New Roman"/>
          <w:sz w:val="24"/>
          <w:szCs w:val="24"/>
        </w:rPr>
        <w:t xml:space="preserve"> the</w:t>
      </w:r>
      <w:r w:rsidR="00ED5645" w:rsidRPr="004E3401">
        <w:rPr>
          <w:rFonts w:ascii="Times New Roman" w:hAnsi="Times New Roman" w:cs="Times New Roman"/>
          <w:sz w:val="24"/>
          <w:szCs w:val="24"/>
        </w:rPr>
        <w:t xml:space="preserve"> respondent issued further amended assessments</w:t>
      </w:r>
      <w:r w:rsidR="0097797A">
        <w:rPr>
          <w:rFonts w:ascii="Times New Roman" w:hAnsi="Times New Roman" w:cs="Times New Roman"/>
          <w:sz w:val="24"/>
          <w:szCs w:val="24"/>
        </w:rPr>
        <w:t xml:space="preserve"> numbers </w:t>
      </w:r>
      <w:r w:rsidR="0097797A" w:rsidRPr="004E3401">
        <w:rPr>
          <w:rFonts w:ascii="Times New Roman" w:hAnsi="Times New Roman" w:cs="Times New Roman"/>
          <w:sz w:val="24"/>
          <w:szCs w:val="24"/>
        </w:rPr>
        <w:t>8267, 8268, 8269, 8270 and 8271 in respect of each of these tax years</w:t>
      </w:r>
      <w:r w:rsidR="00ED5645" w:rsidRPr="004E3401">
        <w:rPr>
          <w:rFonts w:ascii="Times New Roman" w:hAnsi="Times New Roman" w:cs="Times New Roman"/>
          <w:sz w:val="24"/>
          <w:szCs w:val="24"/>
        </w:rPr>
        <w:t xml:space="preserve">. </w:t>
      </w:r>
      <w:r w:rsidR="00280DA5" w:rsidRPr="004E3401">
        <w:rPr>
          <w:rFonts w:ascii="Times New Roman" w:hAnsi="Times New Roman" w:cs="Times New Roman"/>
          <w:sz w:val="24"/>
          <w:szCs w:val="24"/>
        </w:rPr>
        <w:t xml:space="preserve">The respondent demanded </w:t>
      </w:r>
      <w:r w:rsidR="0078324A">
        <w:rPr>
          <w:rFonts w:ascii="Times New Roman" w:hAnsi="Times New Roman" w:cs="Times New Roman"/>
          <w:sz w:val="24"/>
          <w:szCs w:val="24"/>
        </w:rPr>
        <w:t>payment</w:t>
      </w:r>
      <w:r w:rsidR="00280DA5" w:rsidRPr="004E3401">
        <w:rPr>
          <w:rFonts w:ascii="Times New Roman" w:hAnsi="Times New Roman" w:cs="Times New Roman"/>
          <w:sz w:val="24"/>
          <w:szCs w:val="24"/>
        </w:rPr>
        <w:t xml:space="preserve"> of the cumulative sum of US$ 3 494 139.70 consisting of the principal sum of US$ 1 329 426.47</w:t>
      </w:r>
      <w:r w:rsidR="00123C02">
        <w:rPr>
          <w:rFonts w:ascii="Times New Roman" w:hAnsi="Times New Roman" w:cs="Times New Roman"/>
          <w:sz w:val="24"/>
          <w:szCs w:val="24"/>
        </w:rPr>
        <w:t xml:space="preserve"> </w:t>
      </w:r>
      <w:r w:rsidR="00280DA5" w:rsidRPr="004E3401">
        <w:rPr>
          <w:rFonts w:ascii="Times New Roman" w:hAnsi="Times New Roman" w:cs="Times New Roman"/>
          <w:sz w:val="24"/>
          <w:szCs w:val="24"/>
        </w:rPr>
        <w:t>and penalt</w:t>
      </w:r>
      <w:r w:rsidR="00BF0527" w:rsidRPr="004E3401">
        <w:rPr>
          <w:rFonts w:ascii="Times New Roman" w:hAnsi="Times New Roman" w:cs="Times New Roman"/>
          <w:sz w:val="24"/>
          <w:szCs w:val="24"/>
        </w:rPr>
        <w:t xml:space="preserve">ies of US$ 1 164 713.23. </w:t>
      </w:r>
      <w:r w:rsidR="003502F9" w:rsidRPr="004E3401">
        <w:rPr>
          <w:rFonts w:ascii="Times New Roman" w:hAnsi="Times New Roman" w:cs="Times New Roman"/>
          <w:sz w:val="24"/>
          <w:szCs w:val="24"/>
        </w:rPr>
        <w:t>On 6 January 2017</w:t>
      </w:r>
      <w:r w:rsidR="0078324A">
        <w:rPr>
          <w:rFonts w:ascii="Times New Roman" w:hAnsi="Times New Roman" w:cs="Times New Roman"/>
          <w:sz w:val="24"/>
          <w:szCs w:val="24"/>
        </w:rPr>
        <w:t>,</w:t>
      </w:r>
      <w:r w:rsidR="003502F9" w:rsidRPr="004E3401">
        <w:rPr>
          <w:rFonts w:ascii="Times New Roman" w:hAnsi="Times New Roman" w:cs="Times New Roman"/>
          <w:sz w:val="24"/>
          <w:szCs w:val="24"/>
        </w:rPr>
        <w:t xml:space="preserve"> the appellant objected to the amended assessments. </w:t>
      </w:r>
      <w:r w:rsidR="000D4C7D" w:rsidRPr="004E3401">
        <w:rPr>
          <w:rFonts w:ascii="Times New Roman" w:hAnsi="Times New Roman" w:cs="Times New Roman"/>
          <w:sz w:val="24"/>
          <w:szCs w:val="24"/>
        </w:rPr>
        <w:t>On 3 March 2017</w:t>
      </w:r>
      <w:r w:rsidR="0078324A">
        <w:rPr>
          <w:rFonts w:ascii="Times New Roman" w:hAnsi="Times New Roman" w:cs="Times New Roman"/>
          <w:sz w:val="24"/>
          <w:szCs w:val="24"/>
        </w:rPr>
        <w:t>,</w:t>
      </w:r>
      <w:r w:rsidR="000D4C7D" w:rsidRPr="004E3401">
        <w:rPr>
          <w:rFonts w:ascii="Times New Roman" w:hAnsi="Times New Roman" w:cs="Times New Roman"/>
          <w:sz w:val="24"/>
          <w:szCs w:val="24"/>
        </w:rPr>
        <w:t xml:space="preserve"> respondent delivered </w:t>
      </w:r>
      <w:r w:rsidR="0078324A">
        <w:rPr>
          <w:rFonts w:ascii="Times New Roman" w:hAnsi="Times New Roman" w:cs="Times New Roman"/>
          <w:sz w:val="24"/>
          <w:szCs w:val="24"/>
        </w:rPr>
        <w:t xml:space="preserve">his </w:t>
      </w:r>
      <w:r w:rsidR="000D4C7D" w:rsidRPr="004E3401">
        <w:rPr>
          <w:rFonts w:ascii="Times New Roman" w:hAnsi="Times New Roman" w:cs="Times New Roman"/>
          <w:sz w:val="24"/>
          <w:szCs w:val="24"/>
        </w:rPr>
        <w:t>determination to the appellan</w:t>
      </w:r>
      <w:r w:rsidR="00013DD9" w:rsidRPr="004E3401">
        <w:rPr>
          <w:rFonts w:ascii="Times New Roman" w:hAnsi="Times New Roman" w:cs="Times New Roman"/>
          <w:sz w:val="24"/>
          <w:szCs w:val="24"/>
        </w:rPr>
        <w:t>t</w:t>
      </w:r>
      <w:r w:rsidR="000D4C7D" w:rsidRPr="004E3401">
        <w:rPr>
          <w:rFonts w:ascii="Times New Roman" w:hAnsi="Times New Roman" w:cs="Times New Roman"/>
          <w:sz w:val="24"/>
          <w:szCs w:val="24"/>
        </w:rPr>
        <w:t>. On 17 March 2017</w:t>
      </w:r>
      <w:r w:rsidR="0078324A">
        <w:rPr>
          <w:rFonts w:ascii="Times New Roman" w:hAnsi="Times New Roman" w:cs="Times New Roman"/>
          <w:sz w:val="24"/>
          <w:szCs w:val="24"/>
        </w:rPr>
        <w:t>,</w:t>
      </w:r>
      <w:r w:rsidR="000D4C7D" w:rsidRPr="004E3401">
        <w:rPr>
          <w:rFonts w:ascii="Times New Roman" w:hAnsi="Times New Roman" w:cs="Times New Roman"/>
          <w:sz w:val="24"/>
          <w:szCs w:val="24"/>
        </w:rPr>
        <w:t xml:space="preserve"> appellant filed </w:t>
      </w:r>
      <w:r w:rsidR="0078324A">
        <w:rPr>
          <w:rFonts w:ascii="Times New Roman" w:hAnsi="Times New Roman" w:cs="Times New Roman"/>
          <w:sz w:val="24"/>
          <w:szCs w:val="24"/>
        </w:rPr>
        <w:t xml:space="preserve">its </w:t>
      </w:r>
      <w:r w:rsidR="000D4C7D" w:rsidRPr="004E3401">
        <w:rPr>
          <w:rFonts w:ascii="Times New Roman" w:hAnsi="Times New Roman" w:cs="Times New Roman"/>
          <w:sz w:val="24"/>
          <w:szCs w:val="24"/>
        </w:rPr>
        <w:t xml:space="preserve">notice of </w:t>
      </w:r>
      <w:r w:rsidR="00013DD9" w:rsidRPr="004E3401">
        <w:rPr>
          <w:rFonts w:ascii="Times New Roman" w:hAnsi="Times New Roman" w:cs="Times New Roman"/>
          <w:sz w:val="24"/>
          <w:szCs w:val="24"/>
        </w:rPr>
        <w:t>appeal against all the objections that had been disallowed.</w:t>
      </w:r>
      <w:r w:rsidR="00123C02">
        <w:rPr>
          <w:rFonts w:ascii="Times New Roman" w:hAnsi="Times New Roman" w:cs="Times New Roman"/>
          <w:sz w:val="24"/>
          <w:szCs w:val="24"/>
        </w:rPr>
        <w:t xml:space="preserve"> </w:t>
      </w:r>
      <w:r w:rsidR="00D26B63" w:rsidRPr="004E3401">
        <w:rPr>
          <w:rFonts w:ascii="Times New Roman" w:hAnsi="Times New Roman" w:cs="Times New Roman"/>
          <w:sz w:val="24"/>
          <w:szCs w:val="24"/>
        </w:rPr>
        <w:t>The appellant’s case was filed on 16 May 2017</w:t>
      </w:r>
      <w:r w:rsidR="00394990">
        <w:rPr>
          <w:rFonts w:ascii="Times New Roman" w:hAnsi="Times New Roman" w:cs="Times New Roman"/>
          <w:sz w:val="24"/>
          <w:szCs w:val="24"/>
        </w:rPr>
        <w:t>,</w:t>
      </w:r>
      <w:r w:rsidR="00D26B63" w:rsidRPr="004E3401">
        <w:rPr>
          <w:rFonts w:ascii="Times New Roman" w:hAnsi="Times New Roman" w:cs="Times New Roman"/>
          <w:sz w:val="24"/>
          <w:szCs w:val="24"/>
        </w:rPr>
        <w:t xml:space="preserve"> while that of the </w:t>
      </w:r>
      <w:r w:rsidR="00D26B63" w:rsidRPr="004E3401">
        <w:rPr>
          <w:rFonts w:ascii="Times New Roman" w:hAnsi="Times New Roman" w:cs="Times New Roman"/>
          <w:sz w:val="24"/>
          <w:szCs w:val="24"/>
        </w:rPr>
        <w:lastRenderedPageBreak/>
        <w:t xml:space="preserve">Commissioner was filed on 6 August 2017. Thereafter, a pre-trial hearing at which the issues for determination on appeal were agreed was held on 7 November 2017. </w:t>
      </w:r>
    </w:p>
    <w:p w:rsidR="005E1A0E" w:rsidRPr="004E3401" w:rsidRDefault="005E1A0E" w:rsidP="002E286B">
      <w:pPr>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At the appeal hearing, the appellant </w:t>
      </w:r>
      <w:r w:rsidR="00D64066">
        <w:rPr>
          <w:rFonts w:ascii="Times New Roman" w:hAnsi="Times New Roman" w:cs="Times New Roman"/>
          <w:sz w:val="24"/>
          <w:szCs w:val="24"/>
        </w:rPr>
        <w:t xml:space="preserve">abandoned the issue on interest and two claims relating to bad debts. It </w:t>
      </w:r>
      <w:r w:rsidRPr="004E3401">
        <w:rPr>
          <w:rFonts w:ascii="Times New Roman" w:hAnsi="Times New Roman" w:cs="Times New Roman"/>
          <w:sz w:val="24"/>
          <w:szCs w:val="24"/>
        </w:rPr>
        <w:t>called the evidence of its management accountant and produced the 33 paged exhibit 1. The respondent did not call any oral evidence but relied on the pleadings filed of record.</w:t>
      </w:r>
    </w:p>
    <w:p w:rsidR="00257670" w:rsidRPr="004E3401" w:rsidRDefault="00257670" w:rsidP="002E286B">
      <w:pPr>
        <w:spacing w:after="0" w:line="360" w:lineRule="auto"/>
        <w:jc w:val="both"/>
        <w:rPr>
          <w:rFonts w:ascii="Times New Roman" w:hAnsi="Times New Roman" w:cs="Times New Roman"/>
          <w:sz w:val="24"/>
          <w:szCs w:val="24"/>
          <w:u w:val="single"/>
        </w:rPr>
      </w:pPr>
      <w:r w:rsidRPr="004E3401">
        <w:rPr>
          <w:rFonts w:ascii="Times New Roman" w:hAnsi="Times New Roman" w:cs="Times New Roman"/>
          <w:sz w:val="24"/>
          <w:szCs w:val="24"/>
          <w:u w:val="single"/>
        </w:rPr>
        <w:t>The facts</w:t>
      </w:r>
    </w:p>
    <w:p w:rsidR="00280DA5" w:rsidRPr="004E3401" w:rsidRDefault="00257670" w:rsidP="002E286B">
      <w:pPr>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The appellant comprises of a mining division and a manufacturing division</w:t>
      </w:r>
      <w:r w:rsidR="009A1C03" w:rsidRPr="004E3401">
        <w:rPr>
          <w:rFonts w:ascii="Times New Roman" w:hAnsi="Times New Roman" w:cs="Times New Roman"/>
          <w:sz w:val="24"/>
          <w:szCs w:val="24"/>
        </w:rPr>
        <w:t xml:space="preserve"> located on different locations</w:t>
      </w:r>
      <w:r w:rsidR="00D64066">
        <w:rPr>
          <w:rFonts w:ascii="Times New Roman" w:hAnsi="Times New Roman" w:cs="Times New Roman"/>
          <w:sz w:val="24"/>
          <w:szCs w:val="24"/>
        </w:rPr>
        <w:t xml:space="preserve"> that are some 9kms apart</w:t>
      </w:r>
      <w:r w:rsidRPr="004E3401">
        <w:rPr>
          <w:rFonts w:ascii="Times New Roman" w:hAnsi="Times New Roman" w:cs="Times New Roman"/>
          <w:sz w:val="24"/>
          <w:szCs w:val="24"/>
        </w:rPr>
        <w:t>. The mining division extracts limestone</w:t>
      </w:r>
      <w:r w:rsidR="00FC2369">
        <w:rPr>
          <w:rFonts w:ascii="Times New Roman" w:hAnsi="Times New Roman" w:cs="Times New Roman"/>
          <w:sz w:val="24"/>
          <w:szCs w:val="24"/>
        </w:rPr>
        <w:t>,</w:t>
      </w:r>
      <w:r w:rsidRPr="004E3401">
        <w:rPr>
          <w:rFonts w:ascii="Times New Roman" w:hAnsi="Times New Roman" w:cs="Times New Roman"/>
          <w:sz w:val="24"/>
          <w:szCs w:val="24"/>
        </w:rPr>
        <w:t xml:space="preserve"> which </w:t>
      </w:r>
      <w:r w:rsidR="00D64066">
        <w:rPr>
          <w:rFonts w:ascii="Times New Roman" w:hAnsi="Times New Roman" w:cs="Times New Roman"/>
          <w:sz w:val="24"/>
          <w:szCs w:val="24"/>
        </w:rPr>
        <w:t>is</w:t>
      </w:r>
      <w:r w:rsidR="00FC2369">
        <w:rPr>
          <w:rFonts w:ascii="Times New Roman" w:hAnsi="Times New Roman" w:cs="Times New Roman"/>
          <w:sz w:val="24"/>
          <w:szCs w:val="24"/>
        </w:rPr>
        <w:t xml:space="preserve"> </w:t>
      </w:r>
      <w:r w:rsidR="00D64066">
        <w:rPr>
          <w:rFonts w:ascii="Times New Roman" w:hAnsi="Times New Roman" w:cs="Times New Roman"/>
          <w:sz w:val="24"/>
          <w:szCs w:val="24"/>
        </w:rPr>
        <w:t>beneficiated</w:t>
      </w:r>
      <w:r w:rsidRPr="004E3401">
        <w:rPr>
          <w:rFonts w:ascii="Times New Roman" w:hAnsi="Times New Roman" w:cs="Times New Roman"/>
          <w:sz w:val="24"/>
          <w:szCs w:val="24"/>
        </w:rPr>
        <w:t xml:space="preserve"> and used to make cement in the manufacturing division. </w:t>
      </w:r>
      <w:r w:rsidR="004604C7" w:rsidRPr="004E3401">
        <w:rPr>
          <w:rFonts w:ascii="Times New Roman" w:hAnsi="Times New Roman" w:cs="Times New Roman"/>
          <w:sz w:val="24"/>
          <w:szCs w:val="24"/>
        </w:rPr>
        <w:t xml:space="preserve">The specific facts pertaining to each issue will be set </w:t>
      </w:r>
      <w:r w:rsidR="005B18C5">
        <w:rPr>
          <w:rFonts w:ascii="Times New Roman" w:hAnsi="Times New Roman" w:cs="Times New Roman"/>
          <w:sz w:val="24"/>
          <w:szCs w:val="24"/>
        </w:rPr>
        <w:t>out in the determination of</w:t>
      </w:r>
      <w:r w:rsidR="00D64066">
        <w:rPr>
          <w:rFonts w:ascii="Times New Roman" w:hAnsi="Times New Roman" w:cs="Times New Roman"/>
          <w:sz w:val="24"/>
          <w:szCs w:val="24"/>
        </w:rPr>
        <w:t xml:space="preserve"> such</w:t>
      </w:r>
      <w:r w:rsidR="004604C7" w:rsidRPr="004E3401">
        <w:rPr>
          <w:rFonts w:ascii="Times New Roman" w:hAnsi="Times New Roman" w:cs="Times New Roman"/>
          <w:sz w:val="24"/>
          <w:szCs w:val="24"/>
        </w:rPr>
        <w:t xml:space="preserve"> issue.</w:t>
      </w:r>
    </w:p>
    <w:p w:rsidR="007051F5" w:rsidRPr="004E3401" w:rsidRDefault="007051F5" w:rsidP="002E286B">
      <w:pPr>
        <w:spacing w:after="0" w:line="360" w:lineRule="auto"/>
        <w:jc w:val="both"/>
        <w:rPr>
          <w:rFonts w:ascii="Times New Roman" w:hAnsi="Times New Roman" w:cs="Times New Roman"/>
          <w:sz w:val="24"/>
          <w:szCs w:val="24"/>
          <w:u w:val="single"/>
        </w:rPr>
      </w:pPr>
      <w:r w:rsidRPr="004E3401">
        <w:rPr>
          <w:rFonts w:ascii="Times New Roman" w:hAnsi="Times New Roman" w:cs="Times New Roman"/>
          <w:sz w:val="24"/>
          <w:szCs w:val="24"/>
          <w:u w:val="single"/>
        </w:rPr>
        <w:t>The issues</w:t>
      </w:r>
    </w:p>
    <w:p w:rsidR="007051F5" w:rsidRPr="004E3401" w:rsidRDefault="007051F5" w:rsidP="002E286B">
      <w:pPr>
        <w:spacing w:after="0" w:line="360" w:lineRule="auto"/>
        <w:jc w:val="both"/>
        <w:rPr>
          <w:rFonts w:ascii="Times New Roman" w:hAnsi="Times New Roman" w:cs="Times New Roman"/>
          <w:sz w:val="24"/>
          <w:szCs w:val="24"/>
        </w:rPr>
      </w:pPr>
      <w:r w:rsidRPr="004E3401">
        <w:rPr>
          <w:rFonts w:ascii="Times New Roman" w:hAnsi="Times New Roman" w:cs="Times New Roman"/>
          <w:sz w:val="24"/>
          <w:szCs w:val="24"/>
        </w:rPr>
        <w:tab/>
        <w:t>The following issues were referred for determination at the pre-trial hearing held on 7 November 2017.</w:t>
      </w:r>
    </w:p>
    <w:p w:rsidR="007051F5" w:rsidRPr="004E3401" w:rsidRDefault="007051F5" w:rsidP="00861658">
      <w:pPr>
        <w:pStyle w:val="ListParagraph"/>
        <w:numPr>
          <w:ilvl w:val="0"/>
          <w:numId w:val="1"/>
        </w:numPr>
        <w:spacing w:line="360" w:lineRule="auto"/>
        <w:jc w:val="both"/>
        <w:rPr>
          <w:rFonts w:ascii="Times New Roman" w:hAnsi="Times New Roman" w:cs="Times New Roman"/>
          <w:sz w:val="24"/>
          <w:szCs w:val="24"/>
        </w:rPr>
      </w:pPr>
      <w:r w:rsidRPr="004E3401">
        <w:rPr>
          <w:rFonts w:ascii="Times New Roman" w:hAnsi="Times New Roman" w:cs="Times New Roman"/>
          <w:sz w:val="24"/>
          <w:szCs w:val="24"/>
        </w:rPr>
        <w:t xml:space="preserve">Whether the appellant derived income from the mining operations admittedly carried out by it and whether it was entitled to claim allowances in terms of s 15 (2) (f) (i) as read with the Fifth Schedule of the Income Tax Act of US$258 214 in the 2011 tax year and US$90 000 in the 2013 tax year? </w:t>
      </w:r>
    </w:p>
    <w:p w:rsidR="007051F5" w:rsidRPr="004E3401" w:rsidRDefault="007051F5" w:rsidP="00861658">
      <w:pPr>
        <w:pStyle w:val="ListParagraph"/>
        <w:numPr>
          <w:ilvl w:val="0"/>
          <w:numId w:val="1"/>
        </w:numPr>
        <w:spacing w:line="360" w:lineRule="auto"/>
        <w:jc w:val="both"/>
        <w:rPr>
          <w:rFonts w:ascii="Times New Roman" w:hAnsi="Times New Roman" w:cs="Times New Roman"/>
          <w:sz w:val="24"/>
          <w:szCs w:val="24"/>
        </w:rPr>
      </w:pPr>
      <w:r w:rsidRPr="004E3401">
        <w:rPr>
          <w:rFonts w:ascii="Times New Roman" w:hAnsi="Times New Roman" w:cs="Times New Roman"/>
          <w:sz w:val="24"/>
          <w:szCs w:val="24"/>
        </w:rPr>
        <w:t>Whether there was any “fraud, misrepresentation or wilful non-disclosure of facts” on the part of the appellant entitling the respondent to issue an additional assessment in respect of the 2009 tax year?</w:t>
      </w:r>
    </w:p>
    <w:p w:rsidR="00D1567D" w:rsidRDefault="007051F5" w:rsidP="00861658">
      <w:pPr>
        <w:pStyle w:val="ListParagraph"/>
        <w:numPr>
          <w:ilvl w:val="0"/>
          <w:numId w:val="1"/>
        </w:numPr>
        <w:spacing w:line="360" w:lineRule="auto"/>
        <w:jc w:val="both"/>
        <w:rPr>
          <w:rFonts w:ascii="Times New Roman" w:hAnsi="Times New Roman" w:cs="Times New Roman"/>
          <w:sz w:val="24"/>
          <w:szCs w:val="24"/>
        </w:rPr>
      </w:pPr>
      <w:r w:rsidRPr="00D1567D">
        <w:rPr>
          <w:rFonts w:ascii="Times New Roman" w:hAnsi="Times New Roman" w:cs="Times New Roman"/>
          <w:sz w:val="24"/>
          <w:szCs w:val="24"/>
        </w:rPr>
        <w:t>Whether prepaid expenses of a revenue nature are deductible in the tax year in which they are incurred</w:t>
      </w:r>
      <w:r w:rsidR="00D1567D">
        <w:rPr>
          <w:rFonts w:ascii="Times New Roman" w:hAnsi="Times New Roman" w:cs="Times New Roman"/>
          <w:sz w:val="24"/>
          <w:szCs w:val="24"/>
        </w:rPr>
        <w:t>?</w:t>
      </w:r>
    </w:p>
    <w:p w:rsidR="007051F5" w:rsidRPr="00D1567D" w:rsidRDefault="007051F5" w:rsidP="00861658">
      <w:pPr>
        <w:pStyle w:val="ListParagraph"/>
        <w:numPr>
          <w:ilvl w:val="0"/>
          <w:numId w:val="1"/>
        </w:numPr>
        <w:spacing w:line="360" w:lineRule="auto"/>
        <w:jc w:val="both"/>
        <w:rPr>
          <w:rFonts w:ascii="Times New Roman" w:hAnsi="Times New Roman" w:cs="Times New Roman"/>
          <w:sz w:val="24"/>
          <w:szCs w:val="24"/>
        </w:rPr>
      </w:pPr>
      <w:r w:rsidRPr="00D1567D">
        <w:rPr>
          <w:rFonts w:ascii="Times New Roman" w:hAnsi="Times New Roman" w:cs="Times New Roman"/>
          <w:sz w:val="24"/>
          <w:szCs w:val="24"/>
        </w:rPr>
        <w:t>Whether:</w:t>
      </w:r>
    </w:p>
    <w:p w:rsidR="007051F5" w:rsidRPr="004E3401" w:rsidRDefault="00D1567D" w:rsidP="00861658">
      <w:pPr>
        <w:pStyle w:val="ListParagraph"/>
        <w:numPr>
          <w:ilvl w:val="0"/>
          <w:numId w:val="2"/>
        </w:numPr>
        <w:spacing w:line="360" w:lineRule="auto"/>
        <w:jc w:val="both"/>
        <w:rPr>
          <w:rFonts w:ascii="Times New Roman" w:hAnsi="Times New Roman" w:cs="Times New Roman"/>
          <w:sz w:val="24"/>
          <w:szCs w:val="24"/>
        </w:rPr>
      </w:pPr>
      <w:r w:rsidRPr="004E3401">
        <w:rPr>
          <w:rFonts w:ascii="Times New Roman" w:hAnsi="Times New Roman" w:cs="Times New Roman"/>
          <w:sz w:val="24"/>
          <w:szCs w:val="24"/>
        </w:rPr>
        <w:t>The</w:t>
      </w:r>
      <w:r w:rsidR="007051F5" w:rsidRPr="004E3401">
        <w:rPr>
          <w:rFonts w:ascii="Times New Roman" w:hAnsi="Times New Roman" w:cs="Times New Roman"/>
          <w:sz w:val="24"/>
          <w:szCs w:val="24"/>
        </w:rPr>
        <w:t xml:space="preserve"> quarry stripping expenses incurred in the 2012 tax year were of a capital or revenue nature and deductible in that tax year? </w:t>
      </w:r>
    </w:p>
    <w:p w:rsidR="007051F5" w:rsidRPr="004E3401" w:rsidRDefault="00D1567D" w:rsidP="00861658">
      <w:pPr>
        <w:pStyle w:val="ListParagraph"/>
        <w:numPr>
          <w:ilvl w:val="0"/>
          <w:numId w:val="2"/>
        </w:numPr>
        <w:spacing w:line="360" w:lineRule="auto"/>
        <w:jc w:val="both"/>
        <w:rPr>
          <w:rFonts w:ascii="Times New Roman" w:hAnsi="Times New Roman" w:cs="Times New Roman"/>
          <w:sz w:val="24"/>
          <w:szCs w:val="24"/>
        </w:rPr>
      </w:pPr>
      <w:r w:rsidRPr="004E3401">
        <w:rPr>
          <w:rFonts w:ascii="Times New Roman" w:hAnsi="Times New Roman" w:cs="Times New Roman"/>
          <w:sz w:val="24"/>
          <w:szCs w:val="24"/>
        </w:rPr>
        <w:t>The</w:t>
      </w:r>
      <w:r w:rsidR="007051F5" w:rsidRPr="004E3401">
        <w:rPr>
          <w:rFonts w:ascii="Times New Roman" w:hAnsi="Times New Roman" w:cs="Times New Roman"/>
          <w:sz w:val="24"/>
          <w:szCs w:val="24"/>
        </w:rPr>
        <w:t xml:space="preserve"> </w:t>
      </w:r>
      <w:r w:rsidRPr="004E3401">
        <w:rPr>
          <w:rFonts w:ascii="Times New Roman" w:hAnsi="Times New Roman" w:cs="Times New Roman"/>
          <w:sz w:val="24"/>
          <w:szCs w:val="24"/>
        </w:rPr>
        <w:t>treatment of</w:t>
      </w:r>
      <w:r w:rsidR="007051F5" w:rsidRPr="004E3401">
        <w:rPr>
          <w:rFonts w:ascii="Times New Roman" w:hAnsi="Times New Roman" w:cs="Times New Roman"/>
          <w:sz w:val="24"/>
          <w:szCs w:val="24"/>
        </w:rPr>
        <w:t xml:space="preserve"> this issue by the respondent in the additional assessment resulted in double taxation of the same income?</w:t>
      </w:r>
    </w:p>
    <w:p w:rsidR="007051F5" w:rsidRPr="004E3401" w:rsidRDefault="007051F5" w:rsidP="00861658">
      <w:pPr>
        <w:pStyle w:val="ListParagraph"/>
        <w:numPr>
          <w:ilvl w:val="0"/>
          <w:numId w:val="1"/>
        </w:numPr>
        <w:spacing w:line="360" w:lineRule="auto"/>
        <w:jc w:val="both"/>
        <w:rPr>
          <w:rFonts w:ascii="Times New Roman" w:hAnsi="Times New Roman" w:cs="Times New Roman"/>
          <w:sz w:val="24"/>
          <w:szCs w:val="24"/>
        </w:rPr>
      </w:pPr>
      <w:r w:rsidRPr="004E3401">
        <w:rPr>
          <w:rFonts w:ascii="Times New Roman" w:hAnsi="Times New Roman" w:cs="Times New Roman"/>
          <w:sz w:val="24"/>
          <w:szCs w:val="24"/>
        </w:rPr>
        <w:t>Whether the claim for managem</w:t>
      </w:r>
      <w:r w:rsidR="00D1567D">
        <w:rPr>
          <w:rFonts w:ascii="Times New Roman" w:hAnsi="Times New Roman" w:cs="Times New Roman"/>
          <w:sz w:val="24"/>
          <w:szCs w:val="24"/>
        </w:rPr>
        <w:t>ent fees was appropriate</w:t>
      </w:r>
      <w:r w:rsidRPr="004E3401">
        <w:rPr>
          <w:rFonts w:ascii="Times New Roman" w:hAnsi="Times New Roman" w:cs="Times New Roman"/>
          <w:sz w:val="24"/>
          <w:szCs w:val="24"/>
        </w:rPr>
        <w:t>?</w:t>
      </w:r>
    </w:p>
    <w:p w:rsidR="007051F5" w:rsidRPr="004E3401" w:rsidRDefault="007051F5" w:rsidP="00861658">
      <w:pPr>
        <w:pStyle w:val="ListParagraph"/>
        <w:numPr>
          <w:ilvl w:val="0"/>
          <w:numId w:val="1"/>
        </w:numPr>
        <w:spacing w:line="360" w:lineRule="auto"/>
        <w:jc w:val="both"/>
        <w:rPr>
          <w:rFonts w:ascii="Times New Roman" w:hAnsi="Times New Roman" w:cs="Times New Roman"/>
          <w:sz w:val="24"/>
          <w:szCs w:val="24"/>
        </w:rPr>
      </w:pPr>
      <w:r w:rsidRPr="004E3401">
        <w:rPr>
          <w:rFonts w:ascii="Times New Roman" w:hAnsi="Times New Roman" w:cs="Times New Roman"/>
          <w:sz w:val="24"/>
          <w:szCs w:val="24"/>
        </w:rPr>
        <w:t>Whether the appellant was entitled to claim the cost of provision of canteen meals as a deductible expense or whether it was to be regarded as “entertainment”?</w:t>
      </w:r>
    </w:p>
    <w:p w:rsidR="007051F5" w:rsidRPr="004E3401" w:rsidRDefault="007051F5" w:rsidP="00861658">
      <w:pPr>
        <w:pStyle w:val="ListParagraph"/>
        <w:numPr>
          <w:ilvl w:val="0"/>
          <w:numId w:val="1"/>
        </w:numPr>
        <w:spacing w:line="360" w:lineRule="auto"/>
        <w:jc w:val="both"/>
        <w:rPr>
          <w:rFonts w:ascii="Times New Roman" w:hAnsi="Times New Roman" w:cs="Times New Roman"/>
          <w:sz w:val="24"/>
          <w:szCs w:val="24"/>
        </w:rPr>
      </w:pPr>
      <w:r w:rsidRPr="004E3401">
        <w:rPr>
          <w:rFonts w:ascii="Times New Roman" w:hAnsi="Times New Roman" w:cs="Times New Roman"/>
          <w:sz w:val="24"/>
          <w:szCs w:val="24"/>
        </w:rPr>
        <w:t xml:space="preserve">Whether the amounts written of in 2009 of US$ 19 861, 2010 of US$291.76 and 2012 of US$102 628.14 constituted bad debts? </w:t>
      </w:r>
    </w:p>
    <w:p w:rsidR="00F71F5C" w:rsidRPr="004E3401" w:rsidRDefault="007051F5" w:rsidP="00861658">
      <w:pPr>
        <w:pStyle w:val="ListParagraph"/>
        <w:numPr>
          <w:ilvl w:val="0"/>
          <w:numId w:val="1"/>
        </w:numPr>
        <w:spacing w:line="360" w:lineRule="auto"/>
        <w:jc w:val="both"/>
        <w:rPr>
          <w:rFonts w:ascii="Times New Roman" w:hAnsi="Times New Roman" w:cs="Times New Roman"/>
          <w:sz w:val="24"/>
          <w:szCs w:val="24"/>
        </w:rPr>
      </w:pPr>
      <w:r w:rsidRPr="004E3401">
        <w:rPr>
          <w:rFonts w:ascii="Times New Roman" w:hAnsi="Times New Roman" w:cs="Times New Roman"/>
          <w:sz w:val="24"/>
          <w:szCs w:val="24"/>
        </w:rPr>
        <w:lastRenderedPageBreak/>
        <w:t>Whether interest is, in principle, payable in respect of any established tax liability for the 2013 tax year?</w:t>
      </w:r>
    </w:p>
    <w:p w:rsidR="007051F5" w:rsidRPr="00DD54D5" w:rsidRDefault="007051F5" w:rsidP="00861658">
      <w:pPr>
        <w:pStyle w:val="ListParagraph"/>
        <w:numPr>
          <w:ilvl w:val="0"/>
          <w:numId w:val="1"/>
        </w:numPr>
        <w:spacing w:line="360" w:lineRule="auto"/>
        <w:jc w:val="both"/>
        <w:rPr>
          <w:rFonts w:ascii="Times New Roman" w:hAnsi="Times New Roman" w:cs="Times New Roman"/>
          <w:sz w:val="24"/>
          <w:szCs w:val="24"/>
        </w:rPr>
      </w:pPr>
      <w:r w:rsidRPr="00DD54D5">
        <w:rPr>
          <w:rFonts w:ascii="Times New Roman" w:hAnsi="Times New Roman" w:cs="Times New Roman"/>
          <w:sz w:val="24"/>
          <w:szCs w:val="24"/>
        </w:rPr>
        <w:t xml:space="preserve">What measure of penalty, if any, should be imposed? </w:t>
      </w:r>
    </w:p>
    <w:p w:rsidR="00D26B63" w:rsidRPr="004E3401" w:rsidRDefault="009A07AF" w:rsidP="002E286B">
      <w:pPr>
        <w:spacing w:after="0" w:line="360" w:lineRule="auto"/>
        <w:jc w:val="both"/>
        <w:rPr>
          <w:rFonts w:ascii="Times New Roman" w:hAnsi="Times New Roman" w:cs="Times New Roman"/>
          <w:sz w:val="24"/>
          <w:szCs w:val="24"/>
          <w:u w:val="single"/>
        </w:rPr>
      </w:pPr>
      <w:r w:rsidRPr="004E3401">
        <w:rPr>
          <w:rFonts w:ascii="Times New Roman" w:hAnsi="Times New Roman" w:cs="Times New Roman"/>
          <w:sz w:val="24"/>
          <w:szCs w:val="24"/>
          <w:u w:val="single"/>
        </w:rPr>
        <w:t>Resolution of the issues</w:t>
      </w:r>
    </w:p>
    <w:p w:rsidR="009A07AF" w:rsidRPr="004E3401" w:rsidRDefault="009A07AF" w:rsidP="002E286B">
      <w:pPr>
        <w:spacing w:after="0" w:line="360" w:lineRule="auto"/>
        <w:jc w:val="both"/>
        <w:rPr>
          <w:rFonts w:ascii="Times New Roman" w:hAnsi="Times New Roman" w:cs="Times New Roman"/>
          <w:i/>
          <w:sz w:val="24"/>
          <w:szCs w:val="24"/>
        </w:rPr>
      </w:pPr>
      <w:r w:rsidRPr="004E3401">
        <w:rPr>
          <w:rFonts w:ascii="Times New Roman" w:hAnsi="Times New Roman" w:cs="Times New Roman"/>
          <w:i/>
          <w:sz w:val="24"/>
          <w:szCs w:val="24"/>
        </w:rPr>
        <w:t xml:space="preserve">Whether the appellant derived income from the mining operations admittedly carried out by it and whether it was entitled to claim allowances in terms of s 15 (2) (f) (i) as read with the Fifth Schedule of the Income Tax Act of US$258 214 in the 2011 tax year and US$90 000 in the 2013 tax year? </w:t>
      </w:r>
    </w:p>
    <w:p w:rsidR="00536C10" w:rsidRDefault="00AF270A" w:rsidP="002E286B">
      <w:pPr>
        <w:autoSpaceDE w:val="0"/>
        <w:autoSpaceDN w:val="0"/>
        <w:adjustRightInd w:val="0"/>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It was common cause that the appellant claimed capital redemption allowances under the provisions of s 15 (2) (f) (i) as read with the Fifth Schedule to the Income Tax Act</w:t>
      </w:r>
      <w:r w:rsidR="00C742FE" w:rsidRPr="004E3401">
        <w:rPr>
          <w:rFonts w:ascii="Times New Roman" w:hAnsi="Times New Roman" w:cs="Times New Roman"/>
          <w:sz w:val="24"/>
          <w:szCs w:val="24"/>
        </w:rPr>
        <w:t>, which apply to mining operations</w:t>
      </w:r>
      <w:r w:rsidRPr="004E3401">
        <w:rPr>
          <w:rFonts w:ascii="Times New Roman" w:hAnsi="Times New Roman" w:cs="Times New Roman"/>
          <w:sz w:val="24"/>
          <w:szCs w:val="24"/>
        </w:rPr>
        <w:t xml:space="preserve">. </w:t>
      </w:r>
      <w:r w:rsidR="00A52229" w:rsidRPr="004E3401">
        <w:rPr>
          <w:rFonts w:ascii="Times New Roman" w:hAnsi="Times New Roman" w:cs="Times New Roman"/>
          <w:sz w:val="24"/>
          <w:szCs w:val="24"/>
        </w:rPr>
        <w:t>In terms of para 4 (2) of the Fifth Schedule to the Income Tax Act</w:t>
      </w:r>
      <w:r w:rsidR="005828CB" w:rsidRPr="004E3401">
        <w:rPr>
          <w:rFonts w:ascii="Times New Roman" w:hAnsi="Times New Roman" w:cs="Times New Roman"/>
          <w:sz w:val="24"/>
          <w:szCs w:val="24"/>
        </w:rPr>
        <w:t xml:space="preserve"> any person who carries out mining operations in a mine is permitted to claim all the capital expenditure incurred in that tax year</w:t>
      </w:r>
      <w:r w:rsidR="00CA6AD6" w:rsidRPr="004E3401">
        <w:rPr>
          <w:rFonts w:ascii="Times New Roman" w:hAnsi="Times New Roman" w:cs="Times New Roman"/>
          <w:sz w:val="24"/>
          <w:szCs w:val="24"/>
        </w:rPr>
        <w:t xml:space="preserve"> from income derived from the </w:t>
      </w:r>
      <w:r w:rsidR="0060310F" w:rsidRPr="004E3401">
        <w:rPr>
          <w:rFonts w:ascii="Times New Roman" w:hAnsi="Times New Roman" w:cs="Times New Roman"/>
          <w:sz w:val="24"/>
          <w:szCs w:val="24"/>
        </w:rPr>
        <w:t>“</w:t>
      </w:r>
      <w:r w:rsidR="00CA6AD6" w:rsidRPr="004E3401">
        <w:rPr>
          <w:rFonts w:ascii="Times New Roman" w:hAnsi="Times New Roman" w:cs="Times New Roman"/>
          <w:sz w:val="24"/>
          <w:szCs w:val="24"/>
        </w:rPr>
        <w:t>carrying on of mining operations in a mine of which such company is the owner</w:t>
      </w:r>
      <w:r w:rsidR="0060310F" w:rsidRPr="004E3401">
        <w:rPr>
          <w:rFonts w:ascii="Times New Roman" w:hAnsi="Times New Roman" w:cs="Times New Roman"/>
          <w:sz w:val="24"/>
          <w:szCs w:val="24"/>
        </w:rPr>
        <w:t>”</w:t>
      </w:r>
      <w:r w:rsidR="005828CB" w:rsidRPr="004E3401">
        <w:rPr>
          <w:rFonts w:ascii="Times New Roman" w:hAnsi="Times New Roman" w:cs="Times New Roman"/>
          <w:sz w:val="24"/>
          <w:szCs w:val="24"/>
        </w:rPr>
        <w:t>.</w:t>
      </w:r>
      <w:r w:rsidR="00E30852" w:rsidRPr="004E3401">
        <w:rPr>
          <w:rFonts w:ascii="Times New Roman" w:hAnsi="Times New Roman" w:cs="Times New Roman"/>
          <w:sz w:val="24"/>
          <w:szCs w:val="24"/>
        </w:rPr>
        <w:t xml:space="preserve"> In terms of para 4 (5) such an election binds the mining operator in regards to all claims in subsequent tax years. </w:t>
      </w:r>
      <w:r w:rsidR="005828CB" w:rsidRPr="004E3401">
        <w:rPr>
          <w:rFonts w:ascii="Times New Roman" w:hAnsi="Times New Roman" w:cs="Times New Roman"/>
          <w:sz w:val="24"/>
          <w:szCs w:val="24"/>
        </w:rPr>
        <w:t xml:space="preserve"> </w:t>
      </w:r>
      <w:r w:rsidR="00C77D97" w:rsidRPr="004E3401">
        <w:rPr>
          <w:rFonts w:ascii="Times New Roman" w:hAnsi="Times New Roman" w:cs="Times New Roman"/>
          <w:sz w:val="24"/>
          <w:szCs w:val="24"/>
        </w:rPr>
        <w:t>A</w:t>
      </w:r>
      <w:r w:rsidR="00EF0135">
        <w:rPr>
          <w:rFonts w:ascii="Times New Roman" w:hAnsi="Times New Roman" w:cs="Times New Roman"/>
          <w:sz w:val="24"/>
          <w:szCs w:val="24"/>
        </w:rPr>
        <w:t>gain,</w:t>
      </w:r>
      <w:r w:rsidR="00C77D97" w:rsidRPr="004E3401">
        <w:rPr>
          <w:rFonts w:ascii="Times New Roman" w:hAnsi="Times New Roman" w:cs="Times New Roman"/>
          <w:sz w:val="24"/>
          <w:szCs w:val="24"/>
        </w:rPr>
        <w:t xml:space="preserve"> s 15 (2)</w:t>
      </w:r>
      <w:r w:rsidR="00EF0135">
        <w:rPr>
          <w:rFonts w:ascii="Times New Roman" w:hAnsi="Times New Roman" w:cs="Times New Roman"/>
          <w:sz w:val="24"/>
          <w:szCs w:val="24"/>
        </w:rPr>
        <w:t xml:space="preserve"> (f) (i)</w:t>
      </w:r>
      <w:r w:rsidR="00C77D97" w:rsidRPr="004E3401">
        <w:rPr>
          <w:rFonts w:ascii="Times New Roman" w:hAnsi="Times New Roman" w:cs="Times New Roman"/>
          <w:sz w:val="24"/>
          <w:szCs w:val="24"/>
        </w:rPr>
        <w:t xml:space="preserve"> of the Act provides that the capital allowances made in terms thereof are in place </w:t>
      </w:r>
      <w:r w:rsidR="002F5486" w:rsidRPr="004E3401">
        <w:rPr>
          <w:rFonts w:ascii="Times New Roman" w:hAnsi="Times New Roman" w:cs="Times New Roman"/>
          <w:sz w:val="24"/>
          <w:szCs w:val="24"/>
        </w:rPr>
        <w:t xml:space="preserve">of </w:t>
      </w:r>
      <w:r w:rsidR="00C77D97" w:rsidRPr="004E3401">
        <w:rPr>
          <w:rFonts w:ascii="Times New Roman" w:hAnsi="Times New Roman" w:cs="Times New Roman"/>
          <w:sz w:val="24"/>
          <w:szCs w:val="24"/>
        </w:rPr>
        <w:t xml:space="preserve">the allowances and deductions allowable, </w:t>
      </w:r>
      <w:r w:rsidR="00C77D97" w:rsidRPr="004E3401">
        <w:rPr>
          <w:rFonts w:ascii="Times New Roman" w:hAnsi="Times New Roman" w:cs="Times New Roman"/>
          <w:i/>
          <w:sz w:val="24"/>
          <w:szCs w:val="24"/>
        </w:rPr>
        <w:t>inter alia</w:t>
      </w:r>
      <w:r w:rsidR="002F5486" w:rsidRPr="004E3401">
        <w:rPr>
          <w:rFonts w:ascii="Times New Roman" w:hAnsi="Times New Roman" w:cs="Times New Roman"/>
          <w:i/>
          <w:sz w:val="24"/>
          <w:szCs w:val="24"/>
        </w:rPr>
        <w:t>,</w:t>
      </w:r>
      <w:r w:rsidR="00C77D97" w:rsidRPr="004E3401">
        <w:rPr>
          <w:rFonts w:ascii="Times New Roman" w:hAnsi="Times New Roman" w:cs="Times New Roman"/>
          <w:sz w:val="24"/>
          <w:szCs w:val="24"/>
        </w:rPr>
        <w:t xml:space="preserve"> in para 15 (2) (c)</w:t>
      </w:r>
      <w:r w:rsidR="002F5486" w:rsidRPr="004E3401">
        <w:rPr>
          <w:rFonts w:ascii="Times New Roman" w:hAnsi="Times New Roman" w:cs="Times New Roman"/>
          <w:sz w:val="24"/>
          <w:szCs w:val="24"/>
        </w:rPr>
        <w:t xml:space="preserve">, which </w:t>
      </w:r>
      <w:r w:rsidR="00E96F01" w:rsidRPr="004E3401">
        <w:rPr>
          <w:rFonts w:ascii="Times New Roman" w:hAnsi="Times New Roman" w:cs="Times New Roman"/>
          <w:sz w:val="24"/>
          <w:szCs w:val="24"/>
        </w:rPr>
        <w:t>are in respect of “articles, implements, machinery and utensils belonging to and used by the taxpayer for the purposes of his trade provided in the Fourth Schedule</w:t>
      </w:r>
      <w:r w:rsidR="00A75A9E" w:rsidRPr="004E3401">
        <w:rPr>
          <w:rFonts w:ascii="Times New Roman" w:hAnsi="Times New Roman" w:cs="Times New Roman"/>
          <w:sz w:val="24"/>
          <w:szCs w:val="24"/>
        </w:rPr>
        <w:t>”.</w:t>
      </w:r>
      <w:r w:rsidR="00C77D97" w:rsidRPr="004E3401">
        <w:rPr>
          <w:rFonts w:ascii="Times New Roman" w:hAnsi="Times New Roman" w:cs="Times New Roman"/>
          <w:sz w:val="24"/>
          <w:szCs w:val="24"/>
        </w:rPr>
        <w:t xml:space="preserve"> </w:t>
      </w:r>
    </w:p>
    <w:p w:rsidR="00C2262B" w:rsidRPr="004E3401" w:rsidRDefault="009B2A2F" w:rsidP="00536C10">
      <w:pPr>
        <w:autoSpaceDE w:val="0"/>
        <w:autoSpaceDN w:val="0"/>
        <w:adjustRightInd w:val="0"/>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Subpara (ii) of s 15 (2) (f) applies to miners and excludes from its purview expenditure for which deduction is allowable under the general deduction formula. </w:t>
      </w:r>
      <w:r w:rsidR="00C2262B" w:rsidRPr="004E3401">
        <w:rPr>
          <w:rFonts w:ascii="Times New Roman" w:hAnsi="Times New Roman" w:cs="Times New Roman"/>
          <w:sz w:val="24"/>
          <w:szCs w:val="24"/>
        </w:rPr>
        <w:t>A miner is defined therein as “any person who at the time the expenditure was incurred was owner, tributor or option holder of a mining location or the holder of a prospecting licence issued or an exclusive prospecting licence order granted in terms of the Mines and Mineral Act”.</w:t>
      </w:r>
    </w:p>
    <w:p w:rsidR="00CA2570" w:rsidRPr="004E3401" w:rsidRDefault="00C2262B" w:rsidP="00861658">
      <w:pPr>
        <w:autoSpaceDE w:val="0"/>
        <w:autoSpaceDN w:val="0"/>
        <w:adjustRightInd w:val="0"/>
        <w:spacing w:after="0" w:line="360" w:lineRule="auto"/>
        <w:jc w:val="both"/>
        <w:rPr>
          <w:rFonts w:ascii="Times New Roman" w:hAnsi="Times New Roman" w:cs="Times New Roman"/>
          <w:sz w:val="24"/>
          <w:szCs w:val="24"/>
        </w:rPr>
      </w:pPr>
      <w:r w:rsidRPr="004E3401">
        <w:rPr>
          <w:rFonts w:ascii="Times New Roman" w:hAnsi="Times New Roman" w:cs="Times New Roman"/>
          <w:sz w:val="24"/>
          <w:szCs w:val="24"/>
        </w:rPr>
        <w:t xml:space="preserve"> </w:t>
      </w:r>
      <w:r w:rsidR="00545A61">
        <w:rPr>
          <w:rFonts w:ascii="Times New Roman" w:hAnsi="Times New Roman" w:cs="Times New Roman"/>
          <w:sz w:val="24"/>
          <w:szCs w:val="24"/>
        </w:rPr>
        <w:tab/>
      </w:r>
      <w:r w:rsidR="009B2A2F" w:rsidRPr="004E3401">
        <w:rPr>
          <w:rFonts w:ascii="Times New Roman" w:hAnsi="Times New Roman" w:cs="Times New Roman"/>
          <w:sz w:val="24"/>
          <w:szCs w:val="24"/>
        </w:rPr>
        <w:t>The expenditure covered for a miner is any expenditure, which is proved to the satisfaction of the Commissioner</w:t>
      </w:r>
      <w:r w:rsidR="00516481" w:rsidRPr="004E3401">
        <w:rPr>
          <w:rFonts w:ascii="Times New Roman" w:hAnsi="Times New Roman" w:cs="Times New Roman"/>
          <w:sz w:val="24"/>
          <w:szCs w:val="24"/>
        </w:rPr>
        <w:t xml:space="preserve"> to have been incurred in the year of assessment by the taxpayer on “surveys, boreholes, trenches, pits and other prospecting and exploratory works undertaken for the purpose of acquiring rights to mine minerals in Zimbabwe or incurred on a mining location in Zimbabwe, together with other expenditure (other than expenditure referred to in the definition of capital expenditure in para 1 (a) of the Fifth Schedule), which in the opinion of the Commissioner is incidental to the listed activities.</w:t>
      </w:r>
      <w:r w:rsidR="00AA518D" w:rsidRPr="004E3401">
        <w:rPr>
          <w:rFonts w:ascii="Times New Roman" w:hAnsi="Times New Roman" w:cs="Times New Roman"/>
          <w:sz w:val="24"/>
          <w:szCs w:val="24"/>
        </w:rPr>
        <w:t xml:space="preserve"> The </w:t>
      </w:r>
      <w:r w:rsidR="00E94437" w:rsidRPr="004E3401">
        <w:rPr>
          <w:rFonts w:ascii="Times New Roman" w:hAnsi="Times New Roman" w:cs="Times New Roman"/>
          <w:sz w:val="24"/>
          <w:szCs w:val="24"/>
        </w:rPr>
        <w:t>expenditure listed</w:t>
      </w:r>
      <w:r w:rsidR="00AA518D" w:rsidRPr="004E3401">
        <w:rPr>
          <w:rFonts w:ascii="Times New Roman" w:hAnsi="Times New Roman" w:cs="Times New Roman"/>
          <w:sz w:val="24"/>
          <w:szCs w:val="24"/>
        </w:rPr>
        <w:t xml:space="preserve"> in para 1 (a) of the Fifth Schedule </w:t>
      </w:r>
      <w:r w:rsidR="00E94437" w:rsidRPr="004E3401">
        <w:rPr>
          <w:rFonts w:ascii="Times New Roman" w:hAnsi="Times New Roman" w:cs="Times New Roman"/>
          <w:sz w:val="24"/>
          <w:szCs w:val="24"/>
        </w:rPr>
        <w:t>relates to buildings, works or equipment, shaft sinking and</w:t>
      </w:r>
      <w:r w:rsidR="00B10968" w:rsidRPr="004E3401">
        <w:rPr>
          <w:rFonts w:ascii="Times New Roman" w:hAnsi="Times New Roman" w:cs="Times New Roman"/>
          <w:sz w:val="24"/>
          <w:szCs w:val="24"/>
        </w:rPr>
        <w:t xml:space="preserve"> </w:t>
      </w:r>
      <w:r w:rsidR="00B10968" w:rsidRPr="004E3401">
        <w:rPr>
          <w:rFonts w:ascii="Times New Roman" w:hAnsi="Times New Roman" w:cs="Times New Roman"/>
          <w:sz w:val="24"/>
          <w:szCs w:val="24"/>
        </w:rPr>
        <w:lastRenderedPageBreak/>
        <w:t xml:space="preserve">expenditure  incurred before the commencement of production or </w:t>
      </w:r>
      <w:r w:rsidR="00CA2570" w:rsidRPr="004E3401">
        <w:rPr>
          <w:rFonts w:ascii="Times New Roman" w:hAnsi="Times New Roman" w:cs="Times New Roman"/>
          <w:sz w:val="24"/>
          <w:szCs w:val="24"/>
        </w:rPr>
        <w:t xml:space="preserve">during any period of non-production on preliminary surveys, boreholes, development, general administration and management  and interest payable on loans used for mining purposes. </w:t>
      </w:r>
      <w:r w:rsidR="000872F3" w:rsidRPr="004E3401">
        <w:rPr>
          <w:rFonts w:ascii="Times New Roman" w:hAnsi="Times New Roman" w:cs="Times New Roman"/>
          <w:sz w:val="24"/>
          <w:szCs w:val="24"/>
        </w:rPr>
        <w:t>The proviso to subpar</w:t>
      </w:r>
      <w:r w:rsidR="009879E6">
        <w:rPr>
          <w:rFonts w:ascii="Times New Roman" w:hAnsi="Times New Roman" w:cs="Times New Roman"/>
          <w:sz w:val="24"/>
          <w:szCs w:val="24"/>
        </w:rPr>
        <w:t>a</w:t>
      </w:r>
      <w:r w:rsidR="000872F3" w:rsidRPr="004E3401">
        <w:rPr>
          <w:rFonts w:ascii="Times New Roman" w:hAnsi="Times New Roman" w:cs="Times New Roman"/>
          <w:sz w:val="24"/>
          <w:szCs w:val="24"/>
        </w:rPr>
        <w:t xml:space="preserve"> (ii) hereof, accords the taxpayer the right to deduct all the expenditure in the year of assessment in which it is incurred or carry it forward for deduction against income from mining operations in subsequent tax years. </w:t>
      </w:r>
    </w:p>
    <w:p w:rsidR="000028CE" w:rsidRPr="004E3401" w:rsidRDefault="000028CE" w:rsidP="00545A61">
      <w:pPr>
        <w:autoSpaceDE w:val="0"/>
        <w:autoSpaceDN w:val="0"/>
        <w:adjustRightInd w:val="0"/>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The method of computing capital redemption allowances by a mining owner is provided in para 2 of the Fifth Schedule to the Act</w:t>
      </w:r>
      <w:r w:rsidR="00395191" w:rsidRPr="004E3401">
        <w:rPr>
          <w:rFonts w:ascii="Times New Roman" w:hAnsi="Times New Roman" w:cs="Times New Roman"/>
          <w:sz w:val="24"/>
          <w:szCs w:val="24"/>
        </w:rPr>
        <w:t>, which is made subject to para 4</w:t>
      </w:r>
      <w:r w:rsidRPr="004E3401">
        <w:rPr>
          <w:rFonts w:ascii="Times New Roman" w:hAnsi="Times New Roman" w:cs="Times New Roman"/>
          <w:sz w:val="24"/>
          <w:szCs w:val="24"/>
        </w:rPr>
        <w:t xml:space="preserve">. </w:t>
      </w:r>
      <w:r w:rsidR="00395191" w:rsidRPr="004E3401">
        <w:rPr>
          <w:rFonts w:ascii="Times New Roman" w:hAnsi="Times New Roman" w:cs="Times New Roman"/>
          <w:sz w:val="24"/>
          <w:szCs w:val="24"/>
        </w:rPr>
        <w:t>In terms of para 2, t</w:t>
      </w:r>
      <w:r w:rsidRPr="004E3401">
        <w:rPr>
          <w:rFonts w:ascii="Times New Roman" w:hAnsi="Times New Roman" w:cs="Times New Roman"/>
          <w:sz w:val="24"/>
          <w:szCs w:val="24"/>
        </w:rPr>
        <w:t>he owner estimates to the satisfaction of the Commissioner</w:t>
      </w:r>
      <w:r w:rsidR="007871DC">
        <w:rPr>
          <w:rFonts w:ascii="Times New Roman" w:hAnsi="Times New Roman" w:cs="Times New Roman"/>
          <w:sz w:val="24"/>
          <w:szCs w:val="24"/>
        </w:rPr>
        <w:t>,</w:t>
      </w:r>
      <w:r w:rsidRPr="004E3401">
        <w:rPr>
          <w:rFonts w:ascii="Times New Roman" w:hAnsi="Times New Roman" w:cs="Times New Roman"/>
          <w:sz w:val="24"/>
          <w:szCs w:val="24"/>
        </w:rPr>
        <w:t xml:space="preserve"> the estimated life of the mine and divides the expenditure over such a period and </w:t>
      </w:r>
      <w:r w:rsidR="00395191" w:rsidRPr="004E3401">
        <w:rPr>
          <w:rFonts w:ascii="Times New Roman" w:hAnsi="Times New Roman" w:cs="Times New Roman"/>
          <w:sz w:val="24"/>
          <w:szCs w:val="24"/>
        </w:rPr>
        <w:t xml:space="preserve">then </w:t>
      </w:r>
      <w:r w:rsidRPr="004E3401">
        <w:rPr>
          <w:rFonts w:ascii="Times New Roman" w:hAnsi="Times New Roman" w:cs="Times New Roman"/>
          <w:sz w:val="24"/>
          <w:szCs w:val="24"/>
        </w:rPr>
        <w:t xml:space="preserve">claims the resultant figure in each year of assessment as a capital redemption allowance.  </w:t>
      </w:r>
      <w:r w:rsidR="00395191" w:rsidRPr="004E3401">
        <w:rPr>
          <w:rFonts w:ascii="Times New Roman" w:hAnsi="Times New Roman" w:cs="Times New Roman"/>
          <w:sz w:val="24"/>
          <w:szCs w:val="24"/>
        </w:rPr>
        <w:t>However, in terms of para 4 (2) of the same Schedule he can elect to claim all the capit</w:t>
      </w:r>
      <w:r w:rsidR="00844B42">
        <w:rPr>
          <w:rFonts w:ascii="Times New Roman" w:hAnsi="Times New Roman" w:cs="Times New Roman"/>
          <w:sz w:val="24"/>
          <w:szCs w:val="24"/>
        </w:rPr>
        <w:t>al expenditure in one tax year.</w:t>
      </w:r>
    </w:p>
    <w:p w:rsidR="006E459E" w:rsidRPr="004E3401" w:rsidRDefault="006E459E" w:rsidP="002E286B">
      <w:pPr>
        <w:autoSpaceDE w:val="0"/>
        <w:autoSpaceDN w:val="0"/>
        <w:adjustRightInd w:val="0"/>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In the amended assessments,</w:t>
      </w:r>
      <w:r w:rsidR="00293317" w:rsidRPr="004E3401">
        <w:rPr>
          <w:rFonts w:ascii="Times New Roman" w:hAnsi="Times New Roman" w:cs="Times New Roman"/>
          <w:sz w:val="24"/>
          <w:szCs w:val="24"/>
        </w:rPr>
        <w:t xml:space="preserve"> the Commissioner disallowed the application </w:t>
      </w:r>
      <w:r w:rsidR="00081B29" w:rsidRPr="004E3401">
        <w:rPr>
          <w:rFonts w:ascii="Times New Roman" w:hAnsi="Times New Roman" w:cs="Times New Roman"/>
          <w:sz w:val="24"/>
          <w:szCs w:val="24"/>
        </w:rPr>
        <w:t>of s</w:t>
      </w:r>
      <w:r w:rsidRPr="004E3401">
        <w:rPr>
          <w:rFonts w:ascii="Times New Roman" w:hAnsi="Times New Roman" w:cs="Times New Roman"/>
          <w:sz w:val="24"/>
          <w:szCs w:val="24"/>
        </w:rPr>
        <w:t xml:space="preserve"> 15 (2) (f) (i)</w:t>
      </w:r>
      <w:r w:rsidR="00293317" w:rsidRPr="004E3401">
        <w:rPr>
          <w:rFonts w:ascii="Times New Roman" w:hAnsi="Times New Roman" w:cs="Times New Roman"/>
          <w:sz w:val="24"/>
          <w:szCs w:val="24"/>
        </w:rPr>
        <w:t xml:space="preserve"> as read with the Fifth Schedule in preference to</w:t>
      </w:r>
      <w:r w:rsidRPr="004E3401">
        <w:rPr>
          <w:rFonts w:ascii="Times New Roman" w:hAnsi="Times New Roman" w:cs="Times New Roman"/>
          <w:sz w:val="24"/>
          <w:szCs w:val="24"/>
        </w:rPr>
        <w:t xml:space="preserve"> s 15 (2) (c) as read with the Fourth Schedule to the</w:t>
      </w:r>
      <w:r w:rsidR="00293317" w:rsidRPr="004E3401">
        <w:rPr>
          <w:rFonts w:ascii="Times New Roman" w:hAnsi="Times New Roman" w:cs="Times New Roman"/>
          <w:sz w:val="24"/>
          <w:szCs w:val="24"/>
        </w:rPr>
        <w:t xml:space="preserve"> Income Tax</w:t>
      </w:r>
      <w:r w:rsidRPr="004E3401">
        <w:rPr>
          <w:rFonts w:ascii="Times New Roman" w:hAnsi="Times New Roman" w:cs="Times New Roman"/>
          <w:sz w:val="24"/>
          <w:szCs w:val="24"/>
        </w:rPr>
        <w:t xml:space="preserve"> </w:t>
      </w:r>
      <w:r w:rsidR="00293317" w:rsidRPr="004E3401">
        <w:rPr>
          <w:rFonts w:ascii="Times New Roman" w:hAnsi="Times New Roman" w:cs="Times New Roman"/>
          <w:sz w:val="24"/>
          <w:szCs w:val="24"/>
        </w:rPr>
        <w:t>Act</w:t>
      </w:r>
      <w:r w:rsidR="00081B29" w:rsidRPr="004E3401">
        <w:rPr>
          <w:rFonts w:ascii="Times New Roman" w:hAnsi="Times New Roman" w:cs="Times New Roman"/>
          <w:sz w:val="24"/>
          <w:szCs w:val="24"/>
        </w:rPr>
        <w:t xml:space="preserve"> and added back to income the sum of US$258 214 in the 2011 tax year and US$90 000 to the 2013 tax year. </w:t>
      </w:r>
      <w:r w:rsidR="00AE6752" w:rsidRPr="004E3401">
        <w:rPr>
          <w:rFonts w:ascii="Times New Roman" w:hAnsi="Times New Roman" w:cs="Times New Roman"/>
          <w:sz w:val="24"/>
          <w:szCs w:val="24"/>
        </w:rPr>
        <w:t xml:space="preserve">The subpara favoured by the respondent deals with </w:t>
      </w:r>
      <w:r w:rsidR="00BC2C89" w:rsidRPr="004E3401">
        <w:rPr>
          <w:rFonts w:ascii="Times New Roman" w:hAnsi="Times New Roman" w:cs="Times New Roman"/>
          <w:sz w:val="24"/>
          <w:szCs w:val="24"/>
        </w:rPr>
        <w:t>special initial allowances</w:t>
      </w:r>
      <w:r w:rsidR="00AE6752" w:rsidRPr="004E3401">
        <w:rPr>
          <w:rFonts w:ascii="Times New Roman" w:hAnsi="Times New Roman" w:cs="Times New Roman"/>
          <w:sz w:val="24"/>
          <w:szCs w:val="24"/>
        </w:rPr>
        <w:t xml:space="preserve"> in respect of </w:t>
      </w:r>
      <w:r w:rsidR="008C30A2">
        <w:rPr>
          <w:rFonts w:ascii="Times New Roman" w:hAnsi="Times New Roman" w:cs="Times New Roman"/>
          <w:i/>
          <w:sz w:val="24"/>
          <w:szCs w:val="24"/>
        </w:rPr>
        <w:t xml:space="preserve">inter alia </w:t>
      </w:r>
      <w:r w:rsidR="006E0B65" w:rsidRPr="004E3401">
        <w:rPr>
          <w:rFonts w:ascii="Times New Roman" w:hAnsi="Times New Roman" w:cs="Times New Roman"/>
          <w:sz w:val="24"/>
          <w:szCs w:val="24"/>
        </w:rPr>
        <w:t>articles, implements and utensils belonging to and used by the taxpayer for the purposes of his trade</w:t>
      </w:r>
      <w:r w:rsidR="008872E8" w:rsidRPr="004E3401">
        <w:rPr>
          <w:rFonts w:ascii="Times New Roman" w:hAnsi="Times New Roman" w:cs="Times New Roman"/>
          <w:sz w:val="24"/>
          <w:szCs w:val="24"/>
        </w:rPr>
        <w:t>, which are provided in the Fourth Schedule.</w:t>
      </w:r>
      <w:r w:rsidR="00592244" w:rsidRPr="004E3401">
        <w:rPr>
          <w:rFonts w:ascii="Times New Roman" w:hAnsi="Times New Roman" w:cs="Times New Roman"/>
          <w:sz w:val="24"/>
          <w:szCs w:val="24"/>
        </w:rPr>
        <w:t xml:space="preserve"> In terms of para </w:t>
      </w:r>
      <w:r w:rsidR="00C54A1C" w:rsidRPr="004E3401">
        <w:rPr>
          <w:rFonts w:ascii="Times New Roman" w:hAnsi="Times New Roman" w:cs="Times New Roman"/>
          <w:sz w:val="24"/>
          <w:szCs w:val="24"/>
        </w:rPr>
        <w:t xml:space="preserve">2 </w:t>
      </w:r>
      <w:r w:rsidR="005A1962">
        <w:rPr>
          <w:rFonts w:ascii="Times New Roman" w:hAnsi="Times New Roman" w:cs="Times New Roman"/>
          <w:sz w:val="24"/>
          <w:szCs w:val="24"/>
        </w:rPr>
        <w:t xml:space="preserve">of the Fourth Schedule </w:t>
      </w:r>
      <w:r w:rsidR="00C54A1C" w:rsidRPr="004E3401">
        <w:rPr>
          <w:rFonts w:ascii="Times New Roman" w:hAnsi="Times New Roman" w:cs="Times New Roman"/>
          <w:sz w:val="24"/>
          <w:szCs w:val="24"/>
        </w:rPr>
        <w:t>the tax</w:t>
      </w:r>
      <w:r w:rsidR="008C30A2">
        <w:rPr>
          <w:rFonts w:ascii="Times New Roman" w:hAnsi="Times New Roman" w:cs="Times New Roman"/>
          <w:sz w:val="24"/>
          <w:szCs w:val="24"/>
        </w:rPr>
        <w:t>payer</w:t>
      </w:r>
      <w:r w:rsidR="00C54A1C" w:rsidRPr="004E3401">
        <w:rPr>
          <w:rFonts w:ascii="Times New Roman" w:hAnsi="Times New Roman" w:cs="Times New Roman"/>
          <w:sz w:val="24"/>
          <w:szCs w:val="24"/>
        </w:rPr>
        <w:t xml:space="preserve"> may make a binding election to deduct expenditure incurred in the use of articles, implements and machinery in the tax year in which they are so used</w:t>
      </w:r>
      <w:r w:rsidR="006D45E5" w:rsidRPr="004E3401">
        <w:rPr>
          <w:rFonts w:ascii="Times New Roman" w:hAnsi="Times New Roman" w:cs="Times New Roman"/>
          <w:sz w:val="24"/>
          <w:szCs w:val="24"/>
        </w:rPr>
        <w:t xml:space="preserve"> </w:t>
      </w:r>
      <w:r w:rsidR="004B2B04" w:rsidRPr="004E3401">
        <w:rPr>
          <w:rFonts w:ascii="Times New Roman" w:hAnsi="Times New Roman" w:cs="Times New Roman"/>
          <w:sz w:val="24"/>
          <w:szCs w:val="24"/>
        </w:rPr>
        <w:t xml:space="preserve">or the following year, only </w:t>
      </w:r>
      <w:r w:rsidR="00A22315" w:rsidRPr="004E3401">
        <w:rPr>
          <w:rFonts w:ascii="Times New Roman" w:hAnsi="Times New Roman" w:cs="Times New Roman"/>
          <w:sz w:val="24"/>
          <w:szCs w:val="24"/>
        </w:rPr>
        <w:t>if the Commissioner decide</w:t>
      </w:r>
      <w:r w:rsidR="008C30A2">
        <w:rPr>
          <w:rFonts w:ascii="Times New Roman" w:hAnsi="Times New Roman" w:cs="Times New Roman"/>
          <w:sz w:val="24"/>
          <w:szCs w:val="24"/>
        </w:rPr>
        <w:t>s</w:t>
      </w:r>
      <w:r w:rsidR="00A22315" w:rsidRPr="004E3401">
        <w:rPr>
          <w:rFonts w:ascii="Times New Roman" w:hAnsi="Times New Roman" w:cs="Times New Roman"/>
          <w:sz w:val="24"/>
          <w:szCs w:val="24"/>
        </w:rPr>
        <w:t xml:space="preserve"> that they were wholly</w:t>
      </w:r>
      <w:r w:rsidR="00E04C16" w:rsidRPr="004E3401">
        <w:rPr>
          <w:rFonts w:ascii="Times New Roman" w:hAnsi="Times New Roman" w:cs="Times New Roman"/>
          <w:sz w:val="24"/>
          <w:szCs w:val="24"/>
        </w:rPr>
        <w:t xml:space="preserve"> or almost </w:t>
      </w:r>
      <w:r w:rsidR="005A1962" w:rsidRPr="004E3401">
        <w:rPr>
          <w:rFonts w:ascii="Times New Roman" w:hAnsi="Times New Roman" w:cs="Times New Roman"/>
          <w:sz w:val="24"/>
          <w:szCs w:val="24"/>
        </w:rPr>
        <w:t>wholly purchased</w:t>
      </w:r>
      <w:r w:rsidR="008C30A2">
        <w:rPr>
          <w:rFonts w:ascii="Times New Roman" w:hAnsi="Times New Roman" w:cs="Times New Roman"/>
          <w:sz w:val="24"/>
          <w:szCs w:val="24"/>
        </w:rPr>
        <w:t xml:space="preserve"> for use in his trade.</w:t>
      </w:r>
    </w:p>
    <w:p w:rsidR="00E81055" w:rsidRDefault="00314168" w:rsidP="00E81055">
      <w:pPr>
        <w:autoSpaceDE w:val="0"/>
        <w:autoSpaceDN w:val="0"/>
        <w:adjustRightInd w:val="0"/>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The respondent </w:t>
      </w:r>
      <w:r w:rsidR="005A1962">
        <w:rPr>
          <w:rFonts w:ascii="Times New Roman" w:hAnsi="Times New Roman" w:cs="Times New Roman"/>
          <w:sz w:val="24"/>
          <w:szCs w:val="24"/>
        </w:rPr>
        <w:t>changed</w:t>
      </w:r>
      <w:r w:rsidRPr="004E3401">
        <w:rPr>
          <w:rFonts w:ascii="Times New Roman" w:hAnsi="Times New Roman" w:cs="Times New Roman"/>
          <w:sz w:val="24"/>
          <w:szCs w:val="24"/>
        </w:rPr>
        <w:t xml:space="preserve"> the Taxing Act Schedule of claim for three reasons. The first was that the appellant was not a miner. The second was that it did not earn income from mining activities and the last was that it did not </w:t>
      </w:r>
      <w:r w:rsidR="001E75C4">
        <w:rPr>
          <w:rFonts w:ascii="Times New Roman" w:hAnsi="Times New Roman" w:cs="Times New Roman"/>
          <w:sz w:val="24"/>
          <w:szCs w:val="24"/>
        </w:rPr>
        <w:t>derive any income from</w:t>
      </w:r>
      <w:r w:rsidRPr="004E3401">
        <w:rPr>
          <w:rFonts w:ascii="Times New Roman" w:hAnsi="Times New Roman" w:cs="Times New Roman"/>
          <w:sz w:val="24"/>
          <w:szCs w:val="24"/>
        </w:rPr>
        <w:t xml:space="preserve"> mining activities.  The appellant disputed all the three grounds in question. The onus rested on the appellant to establish </w:t>
      </w:r>
      <w:r w:rsidR="006E512F" w:rsidRPr="004E3401">
        <w:rPr>
          <w:rFonts w:ascii="Times New Roman" w:hAnsi="Times New Roman" w:cs="Times New Roman"/>
          <w:sz w:val="24"/>
          <w:szCs w:val="24"/>
        </w:rPr>
        <w:t>by cogent and credible facts</w:t>
      </w:r>
      <w:r w:rsidR="00D93DED">
        <w:rPr>
          <w:rFonts w:ascii="Times New Roman" w:hAnsi="Times New Roman" w:cs="Times New Roman"/>
          <w:sz w:val="24"/>
          <w:szCs w:val="24"/>
        </w:rPr>
        <w:t>,</w:t>
      </w:r>
      <w:r w:rsidR="006E512F" w:rsidRPr="004E3401">
        <w:rPr>
          <w:rFonts w:ascii="Times New Roman" w:hAnsi="Times New Roman" w:cs="Times New Roman"/>
          <w:sz w:val="24"/>
          <w:szCs w:val="24"/>
        </w:rPr>
        <w:t xml:space="preserve"> </w:t>
      </w:r>
      <w:r w:rsidRPr="004E3401">
        <w:rPr>
          <w:rFonts w:ascii="Times New Roman" w:hAnsi="Times New Roman" w:cs="Times New Roman"/>
          <w:sz w:val="24"/>
          <w:szCs w:val="24"/>
        </w:rPr>
        <w:t xml:space="preserve">that it was a miner, which </w:t>
      </w:r>
      <w:r w:rsidR="004843B4" w:rsidRPr="004E3401">
        <w:rPr>
          <w:rFonts w:ascii="Times New Roman" w:hAnsi="Times New Roman" w:cs="Times New Roman"/>
          <w:sz w:val="24"/>
          <w:szCs w:val="24"/>
        </w:rPr>
        <w:t xml:space="preserve">earned or </w:t>
      </w:r>
      <w:r w:rsidRPr="004E3401">
        <w:rPr>
          <w:rFonts w:ascii="Times New Roman" w:hAnsi="Times New Roman" w:cs="Times New Roman"/>
          <w:sz w:val="24"/>
          <w:szCs w:val="24"/>
        </w:rPr>
        <w:t xml:space="preserve">derived corresponding income from the </w:t>
      </w:r>
      <w:r w:rsidR="004843B4" w:rsidRPr="004E3401">
        <w:rPr>
          <w:rFonts w:ascii="Times New Roman" w:hAnsi="Times New Roman" w:cs="Times New Roman"/>
          <w:sz w:val="24"/>
          <w:szCs w:val="24"/>
        </w:rPr>
        <w:t xml:space="preserve">quarry. </w:t>
      </w:r>
      <w:r w:rsidR="000F095F" w:rsidRPr="004E3401">
        <w:rPr>
          <w:rFonts w:ascii="Times New Roman" w:hAnsi="Times New Roman" w:cs="Times New Roman"/>
          <w:sz w:val="24"/>
          <w:szCs w:val="24"/>
        </w:rPr>
        <w:t>The appellant established that the quarry operation was separate and distinct from the manufacturing one by geographic location, personnel, costing, regulatory licences and approvals. I am</w:t>
      </w:r>
      <w:r w:rsidR="005A1962">
        <w:rPr>
          <w:rFonts w:ascii="Times New Roman" w:hAnsi="Times New Roman" w:cs="Times New Roman"/>
          <w:sz w:val="24"/>
          <w:szCs w:val="24"/>
        </w:rPr>
        <w:t xml:space="preserve"> satisfied that the quarry held</w:t>
      </w:r>
      <w:r w:rsidR="000F095F" w:rsidRPr="004E3401">
        <w:rPr>
          <w:rFonts w:ascii="Times New Roman" w:hAnsi="Times New Roman" w:cs="Times New Roman"/>
          <w:sz w:val="24"/>
          <w:szCs w:val="24"/>
        </w:rPr>
        <w:t xml:space="preserve"> mining claims, which are periodically inspected and licences for the storage and use of explosives at the quarry. </w:t>
      </w:r>
      <w:r w:rsidR="00F4345F" w:rsidRPr="004E3401">
        <w:rPr>
          <w:rFonts w:ascii="Times New Roman" w:hAnsi="Times New Roman" w:cs="Times New Roman"/>
          <w:sz w:val="24"/>
          <w:szCs w:val="24"/>
        </w:rPr>
        <w:t xml:space="preserve">It was common cause that the quarry was owned by the appellant and that limestone was extracted therefrom. In terms of </w:t>
      </w:r>
      <w:r w:rsidR="001E75C4">
        <w:rPr>
          <w:rFonts w:ascii="Times New Roman" w:hAnsi="Times New Roman" w:cs="Times New Roman"/>
          <w:sz w:val="24"/>
          <w:szCs w:val="24"/>
        </w:rPr>
        <w:t>the s 2, the definition section</w:t>
      </w:r>
      <w:r w:rsidR="00F4345F" w:rsidRPr="004E3401">
        <w:rPr>
          <w:rFonts w:ascii="Times New Roman" w:hAnsi="Times New Roman" w:cs="Times New Roman"/>
          <w:sz w:val="24"/>
          <w:szCs w:val="24"/>
        </w:rPr>
        <w:t xml:space="preserve"> of the Income Tax Act</w:t>
      </w:r>
      <w:r w:rsidR="001E75C4">
        <w:rPr>
          <w:rFonts w:ascii="Times New Roman" w:hAnsi="Times New Roman" w:cs="Times New Roman"/>
          <w:sz w:val="24"/>
          <w:szCs w:val="24"/>
        </w:rPr>
        <w:t>,</w:t>
      </w:r>
      <w:r w:rsidR="00F4345F" w:rsidRPr="004E3401">
        <w:rPr>
          <w:rFonts w:ascii="Times New Roman" w:hAnsi="Times New Roman" w:cs="Times New Roman"/>
          <w:sz w:val="24"/>
          <w:szCs w:val="24"/>
        </w:rPr>
        <w:t xml:space="preserve"> limestone, though </w:t>
      </w:r>
      <w:r w:rsidR="00F4345F" w:rsidRPr="004E3401">
        <w:rPr>
          <w:rFonts w:ascii="Times New Roman" w:hAnsi="Times New Roman" w:cs="Times New Roman"/>
          <w:sz w:val="24"/>
          <w:szCs w:val="24"/>
        </w:rPr>
        <w:lastRenderedPageBreak/>
        <w:t>categorised as a stone, is recognised as a mineral</w:t>
      </w:r>
      <w:r w:rsidR="00F4345F" w:rsidRPr="004E3401">
        <w:rPr>
          <w:rStyle w:val="FootnoteReference"/>
          <w:rFonts w:ascii="Times New Roman" w:hAnsi="Times New Roman" w:cs="Times New Roman"/>
          <w:sz w:val="24"/>
          <w:szCs w:val="24"/>
        </w:rPr>
        <w:footnoteReference w:id="1"/>
      </w:r>
      <w:r w:rsidR="00D065DD" w:rsidRPr="004E3401">
        <w:rPr>
          <w:rFonts w:ascii="Times New Roman" w:hAnsi="Times New Roman" w:cs="Times New Roman"/>
          <w:sz w:val="24"/>
          <w:szCs w:val="24"/>
        </w:rPr>
        <w:t>.</w:t>
      </w:r>
      <w:r w:rsidR="00BE2425" w:rsidRPr="004E3401">
        <w:rPr>
          <w:rFonts w:ascii="Times New Roman" w:hAnsi="Times New Roman" w:cs="Times New Roman"/>
          <w:sz w:val="24"/>
          <w:szCs w:val="24"/>
        </w:rPr>
        <w:t xml:space="preserve"> The operations conducted by the appellant at the quarry constituted a mining operation, defined in the same section by reference to the recovery of a mineral from the earth. There is no doubt in my mind that the activities conducted by the appellant were mining operations. </w:t>
      </w:r>
      <w:r w:rsidR="00B412E1">
        <w:rPr>
          <w:rFonts w:ascii="Times New Roman" w:hAnsi="Times New Roman" w:cs="Times New Roman"/>
          <w:sz w:val="24"/>
          <w:szCs w:val="24"/>
        </w:rPr>
        <w:t xml:space="preserve"> </w:t>
      </w:r>
    </w:p>
    <w:p w:rsidR="00F10B6D" w:rsidRDefault="00BE2425" w:rsidP="00E81055">
      <w:pPr>
        <w:autoSpaceDE w:val="0"/>
        <w:autoSpaceDN w:val="0"/>
        <w:adjustRightInd w:val="0"/>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The </w:t>
      </w:r>
      <w:r w:rsidR="008862AF">
        <w:rPr>
          <w:rFonts w:ascii="Times New Roman" w:hAnsi="Times New Roman" w:cs="Times New Roman"/>
          <w:sz w:val="24"/>
          <w:szCs w:val="24"/>
        </w:rPr>
        <w:t>dispute between the parties on appeal revolve</w:t>
      </w:r>
      <w:r w:rsidR="00B51255">
        <w:rPr>
          <w:rFonts w:ascii="Times New Roman" w:hAnsi="Times New Roman" w:cs="Times New Roman"/>
          <w:sz w:val="24"/>
          <w:szCs w:val="24"/>
        </w:rPr>
        <w:t>d upon the application</w:t>
      </w:r>
      <w:r w:rsidR="008862AF">
        <w:rPr>
          <w:rFonts w:ascii="Times New Roman" w:hAnsi="Times New Roman" w:cs="Times New Roman"/>
          <w:sz w:val="24"/>
          <w:szCs w:val="24"/>
        </w:rPr>
        <w:t xml:space="preserve"> of the words “in respect of income from mining operations” prescribed in</w:t>
      </w:r>
      <w:r w:rsidRPr="004E3401">
        <w:rPr>
          <w:rFonts w:ascii="Times New Roman" w:hAnsi="Times New Roman" w:cs="Times New Roman"/>
          <w:sz w:val="24"/>
          <w:szCs w:val="24"/>
        </w:rPr>
        <w:t xml:space="preserve"> s 15 (2) (f)</w:t>
      </w:r>
      <w:r w:rsidR="008862AF">
        <w:rPr>
          <w:rFonts w:ascii="Times New Roman" w:hAnsi="Times New Roman" w:cs="Times New Roman"/>
          <w:sz w:val="24"/>
          <w:szCs w:val="24"/>
        </w:rPr>
        <w:t xml:space="preserve"> (i)</w:t>
      </w:r>
      <w:r w:rsidRPr="004E3401">
        <w:rPr>
          <w:rFonts w:ascii="Times New Roman" w:hAnsi="Times New Roman" w:cs="Times New Roman"/>
          <w:sz w:val="24"/>
          <w:szCs w:val="24"/>
        </w:rPr>
        <w:t xml:space="preserve"> </w:t>
      </w:r>
      <w:r w:rsidR="008862AF">
        <w:rPr>
          <w:rFonts w:ascii="Times New Roman" w:hAnsi="Times New Roman" w:cs="Times New Roman"/>
          <w:sz w:val="24"/>
          <w:szCs w:val="24"/>
        </w:rPr>
        <w:t>of the Act</w:t>
      </w:r>
      <w:r w:rsidR="00B51255">
        <w:rPr>
          <w:rFonts w:ascii="Times New Roman" w:hAnsi="Times New Roman" w:cs="Times New Roman"/>
          <w:sz w:val="24"/>
          <w:szCs w:val="24"/>
        </w:rPr>
        <w:t xml:space="preserve"> to the mining operation carried out by the appellant</w:t>
      </w:r>
      <w:r w:rsidR="008862AF">
        <w:rPr>
          <w:rFonts w:ascii="Times New Roman" w:hAnsi="Times New Roman" w:cs="Times New Roman"/>
          <w:sz w:val="24"/>
          <w:szCs w:val="24"/>
        </w:rPr>
        <w:t xml:space="preserve">.  </w:t>
      </w:r>
      <w:r w:rsidR="00593362">
        <w:rPr>
          <w:rFonts w:ascii="Times New Roman" w:hAnsi="Times New Roman" w:cs="Times New Roman"/>
          <w:sz w:val="24"/>
          <w:szCs w:val="24"/>
        </w:rPr>
        <w:t xml:space="preserve">I agree with the Mr </w:t>
      </w:r>
      <w:r w:rsidR="00593362" w:rsidRPr="00593362">
        <w:rPr>
          <w:rFonts w:ascii="Times New Roman" w:hAnsi="Times New Roman" w:cs="Times New Roman"/>
          <w:i/>
          <w:sz w:val="24"/>
          <w:szCs w:val="24"/>
        </w:rPr>
        <w:t>Bhebhe</w:t>
      </w:r>
      <w:r w:rsidR="00593362">
        <w:rPr>
          <w:rFonts w:ascii="Times New Roman" w:hAnsi="Times New Roman" w:cs="Times New Roman"/>
          <w:sz w:val="24"/>
          <w:szCs w:val="24"/>
        </w:rPr>
        <w:t>, for the respondent</w:t>
      </w:r>
      <w:r w:rsidR="00391CB9" w:rsidRPr="004E3401">
        <w:rPr>
          <w:rFonts w:ascii="Times New Roman" w:hAnsi="Times New Roman" w:cs="Times New Roman"/>
          <w:sz w:val="24"/>
          <w:szCs w:val="24"/>
        </w:rPr>
        <w:t xml:space="preserve"> that the appellant did not earn any income directly from the limestone unearthed from the ground. Rather</w:t>
      </w:r>
      <w:r w:rsidR="008862AF">
        <w:rPr>
          <w:rFonts w:ascii="Times New Roman" w:hAnsi="Times New Roman" w:cs="Times New Roman"/>
          <w:sz w:val="24"/>
          <w:szCs w:val="24"/>
        </w:rPr>
        <w:t>,</w:t>
      </w:r>
      <w:r w:rsidR="00391CB9" w:rsidRPr="004E3401">
        <w:rPr>
          <w:rFonts w:ascii="Times New Roman" w:hAnsi="Times New Roman" w:cs="Times New Roman"/>
          <w:sz w:val="24"/>
          <w:szCs w:val="24"/>
        </w:rPr>
        <w:t xml:space="preserve"> it utilised the mineral together with other raw materials to manufacture cement and its related products from which it earned income. </w:t>
      </w:r>
      <w:r w:rsidR="00D142AD" w:rsidRPr="004E3401">
        <w:rPr>
          <w:rFonts w:ascii="Times New Roman" w:hAnsi="Times New Roman" w:cs="Times New Roman"/>
          <w:sz w:val="24"/>
          <w:szCs w:val="24"/>
        </w:rPr>
        <w:t>The appellant’</w:t>
      </w:r>
      <w:r w:rsidR="006E125F" w:rsidRPr="004E3401">
        <w:rPr>
          <w:rFonts w:ascii="Times New Roman" w:hAnsi="Times New Roman" w:cs="Times New Roman"/>
          <w:sz w:val="24"/>
          <w:szCs w:val="24"/>
        </w:rPr>
        <w:t>s answer to this difficulty</w:t>
      </w:r>
      <w:r w:rsidR="00D142AD" w:rsidRPr="004E3401">
        <w:rPr>
          <w:rFonts w:ascii="Times New Roman" w:hAnsi="Times New Roman" w:cs="Times New Roman"/>
          <w:sz w:val="24"/>
          <w:szCs w:val="24"/>
        </w:rPr>
        <w:t xml:space="preserve"> </w:t>
      </w:r>
      <w:r w:rsidR="007726A3">
        <w:rPr>
          <w:rFonts w:ascii="Times New Roman" w:hAnsi="Times New Roman" w:cs="Times New Roman"/>
          <w:sz w:val="24"/>
          <w:szCs w:val="24"/>
        </w:rPr>
        <w:t>was</w:t>
      </w:r>
      <w:r w:rsidR="00D142AD" w:rsidRPr="004E3401">
        <w:rPr>
          <w:rFonts w:ascii="Times New Roman" w:hAnsi="Times New Roman" w:cs="Times New Roman"/>
          <w:sz w:val="24"/>
          <w:szCs w:val="24"/>
        </w:rPr>
        <w:t xml:space="preserve"> </w:t>
      </w:r>
      <w:r w:rsidR="007726A3">
        <w:rPr>
          <w:rFonts w:ascii="Times New Roman" w:hAnsi="Times New Roman" w:cs="Times New Roman"/>
          <w:sz w:val="24"/>
          <w:szCs w:val="24"/>
        </w:rPr>
        <w:t xml:space="preserve">to </w:t>
      </w:r>
      <w:r w:rsidR="00B51255">
        <w:rPr>
          <w:rFonts w:ascii="Times New Roman" w:hAnsi="Times New Roman" w:cs="Times New Roman"/>
          <w:sz w:val="24"/>
          <w:szCs w:val="24"/>
        </w:rPr>
        <w:t>approbate the</w:t>
      </w:r>
      <w:r w:rsidR="00B51255" w:rsidRPr="004E3401">
        <w:rPr>
          <w:rFonts w:ascii="Times New Roman" w:hAnsi="Times New Roman" w:cs="Times New Roman"/>
          <w:sz w:val="24"/>
          <w:szCs w:val="24"/>
        </w:rPr>
        <w:t xml:space="preserve"> “vertically integrated enterprise” </w:t>
      </w:r>
      <w:r w:rsidR="007726A3">
        <w:rPr>
          <w:rFonts w:ascii="Times New Roman" w:hAnsi="Times New Roman" w:cs="Times New Roman"/>
          <w:sz w:val="24"/>
          <w:szCs w:val="24"/>
        </w:rPr>
        <w:t xml:space="preserve">position and </w:t>
      </w:r>
      <w:r w:rsidR="00B51255">
        <w:rPr>
          <w:rFonts w:ascii="Times New Roman" w:hAnsi="Times New Roman" w:cs="Times New Roman"/>
          <w:sz w:val="24"/>
          <w:szCs w:val="24"/>
        </w:rPr>
        <w:t xml:space="preserve">reprobate the </w:t>
      </w:r>
      <w:r w:rsidR="00B51255" w:rsidRPr="004E3401">
        <w:rPr>
          <w:rFonts w:ascii="Times New Roman" w:hAnsi="Times New Roman" w:cs="Times New Roman"/>
          <w:sz w:val="24"/>
          <w:szCs w:val="24"/>
        </w:rPr>
        <w:t xml:space="preserve">separate and distinct </w:t>
      </w:r>
      <w:r w:rsidR="007726A3">
        <w:rPr>
          <w:rFonts w:ascii="Times New Roman" w:hAnsi="Times New Roman" w:cs="Times New Roman"/>
          <w:sz w:val="24"/>
          <w:szCs w:val="24"/>
        </w:rPr>
        <w:t xml:space="preserve">stance. </w:t>
      </w:r>
      <w:r w:rsidR="0006703A" w:rsidRPr="004E3401">
        <w:rPr>
          <w:rFonts w:ascii="Times New Roman" w:hAnsi="Times New Roman" w:cs="Times New Roman"/>
          <w:sz w:val="24"/>
          <w:szCs w:val="24"/>
        </w:rPr>
        <w:t xml:space="preserve">The new approach adopted by the appellant constituted an implicit </w:t>
      </w:r>
      <w:r w:rsidR="00CB6EE0" w:rsidRPr="004E3401">
        <w:rPr>
          <w:rFonts w:ascii="Times New Roman" w:hAnsi="Times New Roman" w:cs="Times New Roman"/>
          <w:sz w:val="24"/>
          <w:szCs w:val="24"/>
        </w:rPr>
        <w:t>acknowledgement that its predominant business activities were the manufacture and sale of cement and allied products.</w:t>
      </w:r>
    </w:p>
    <w:p w:rsidR="0019215E" w:rsidRPr="004E3401" w:rsidRDefault="00CB6EE0" w:rsidP="009F02D1">
      <w:pPr>
        <w:autoSpaceDE w:val="0"/>
        <w:autoSpaceDN w:val="0"/>
        <w:adjustRightInd w:val="0"/>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 </w:t>
      </w:r>
      <w:r w:rsidR="00B51255">
        <w:rPr>
          <w:rFonts w:ascii="Times New Roman" w:hAnsi="Times New Roman" w:cs="Times New Roman"/>
          <w:sz w:val="24"/>
          <w:szCs w:val="24"/>
        </w:rPr>
        <w:t xml:space="preserve">The contention advanced by Mr </w:t>
      </w:r>
      <w:r w:rsidR="00B51255" w:rsidRPr="002E286B">
        <w:rPr>
          <w:rFonts w:ascii="Times New Roman" w:hAnsi="Times New Roman" w:cs="Times New Roman"/>
          <w:i/>
          <w:sz w:val="24"/>
          <w:szCs w:val="24"/>
        </w:rPr>
        <w:t>Tivadar,</w:t>
      </w:r>
      <w:r w:rsidR="00B51255">
        <w:rPr>
          <w:rFonts w:ascii="Times New Roman" w:hAnsi="Times New Roman" w:cs="Times New Roman"/>
          <w:sz w:val="24"/>
          <w:szCs w:val="24"/>
        </w:rPr>
        <w:t xml:space="preserve"> for the appellant  </w:t>
      </w:r>
      <w:r w:rsidR="00F47E2C" w:rsidRPr="004E3401">
        <w:rPr>
          <w:rFonts w:ascii="Times New Roman" w:hAnsi="Times New Roman" w:cs="Times New Roman"/>
          <w:sz w:val="24"/>
          <w:szCs w:val="24"/>
        </w:rPr>
        <w:t xml:space="preserve">that the accrual of income for the appellant commenced with mining operations was given short shrift in </w:t>
      </w:r>
      <w:r w:rsidR="00F47E2C" w:rsidRPr="008B4D2C">
        <w:rPr>
          <w:rFonts w:ascii="Times New Roman" w:hAnsi="Times New Roman" w:cs="Times New Roman"/>
          <w:i/>
          <w:sz w:val="24"/>
          <w:szCs w:val="24"/>
        </w:rPr>
        <w:t xml:space="preserve">Secretary for Inland Revenue </w:t>
      </w:r>
      <w:r w:rsidR="00F47E2C" w:rsidRPr="002E286B">
        <w:rPr>
          <w:rFonts w:ascii="Times New Roman" w:hAnsi="Times New Roman" w:cs="Times New Roman"/>
          <w:sz w:val="24"/>
          <w:szCs w:val="24"/>
        </w:rPr>
        <w:t xml:space="preserve">v </w:t>
      </w:r>
      <w:r w:rsidR="00F47E2C" w:rsidRPr="008B4D2C">
        <w:rPr>
          <w:rFonts w:ascii="Times New Roman" w:hAnsi="Times New Roman" w:cs="Times New Roman"/>
          <w:i/>
          <w:sz w:val="24"/>
          <w:szCs w:val="24"/>
        </w:rPr>
        <w:t>Cape Lime Company, Ltd</w:t>
      </w:r>
      <w:r w:rsidR="00F47E2C" w:rsidRPr="004E3401">
        <w:rPr>
          <w:rFonts w:ascii="Times New Roman" w:hAnsi="Times New Roman" w:cs="Times New Roman"/>
          <w:sz w:val="24"/>
          <w:szCs w:val="24"/>
        </w:rPr>
        <w:t xml:space="preserve"> 1967 (4) SA  226, (A),29 SATC 131 (A). In that case the lime manufacturing taxpayer </w:t>
      </w:r>
      <w:r w:rsidR="00633B3D" w:rsidRPr="004E3401">
        <w:rPr>
          <w:rFonts w:ascii="Times New Roman" w:hAnsi="Times New Roman" w:cs="Times New Roman"/>
          <w:sz w:val="24"/>
          <w:szCs w:val="24"/>
        </w:rPr>
        <w:t>removed overburden to reach the limestone rock. It blasted the rock and crushed it in the quarry into smaller sizes. The li</w:t>
      </w:r>
      <w:r w:rsidR="008B4D2C">
        <w:rPr>
          <w:rFonts w:ascii="Times New Roman" w:hAnsi="Times New Roman" w:cs="Times New Roman"/>
          <w:sz w:val="24"/>
          <w:szCs w:val="24"/>
        </w:rPr>
        <w:t>mestone was carried in two</w:t>
      </w:r>
      <w:r w:rsidR="00633B3D" w:rsidRPr="004E3401">
        <w:rPr>
          <w:rFonts w:ascii="Times New Roman" w:hAnsi="Times New Roman" w:cs="Times New Roman"/>
          <w:sz w:val="24"/>
          <w:szCs w:val="24"/>
        </w:rPr>
        <w:t xml:space="preserve"> </w:t>
      </w:r>
      <w:r w:rsidR="008B4D2C" w:rsidRPr="004E3401">
        <w:rPr>
          <w:rFonts w:ascii="Times New Roman" w:hAnsi="Times New Roman" w:cs="Times New Roman"/>
          <w:sz w:val="24"/>
          <w:szCs w:val="24"/>
        </w:rPr>
        <w:t>Lorries</w:t>
      </w:r>
      <w:r w:rsidR="00633B3D" w:rsidRPr="004E3401">
        <w:rPr>
          <w:rFonts w:ascii="Times New Roman" w:hAnsi="Times New Roman" w:cs="Times New Roman"/>
          <w:sz w:val="24"/>
          <w:szCs w:val="24"/>
        </w:rPr>
        <w:t xml:space="preserve"> </w:t>
      </w:r>
      <w:r w:rsidR="008B4D2C">
        <w:rPr>
          <w:rFonts w:ascii="Times New Roman" w:hAnsi="Times New Roman" w:cs="Times New Roman"/>
          <w:sz w:val="24"/>
          <w:szCs w:val="24"/>
        </w:rPr>
        <w:t xml:space="preserve">that it had purchased for that purpose </w:t>
      </w:r>
      <w:r w:rsidR="00633B3D" w:rsidRPr="004E3401">
        <w:rPr>
          <w:rFonts w:ascii="Times New Roman" w:hAnsi="Times New Roman" w:cs="Times New Roman"/>
          <w:sz w:val="24"/>
          <w:szCs w:val="24"/>
        </w:rPr>
        <w:t xml:space="preserve">to its lime manufacturing factory, some 4kms </w:t>
      </w:r>
      <w:r w:rsidR="008B4D2C">
        <w:rPr>
          <w:rFonts w:ascii="Times New Roman" w:hAnsi="Times New Roman" w:cs="Times New Roman"/>
          <w:sz w:val="24"/>
          <w:szCs w:val="24"/>
        </w:rPr>
        <w:t xml:space="preserve">away </w:t>
      </w:r>
      <w:r w:rsidR="00633B3D" w:rsidRPr="004E3401">
        <w:rPr>
          <w:rFonts w:ascii="Times New Roman" w:hAnsi="Times New Roman" w:cs="Times New Roman"/>
          <w:sz w:val="24"/>
          <w:szCs w:val="24"/>
        </w:rPr>
        <w:t xml:space="preserve">from the quarry, where it was further crushed and fed into the kiln to manufacture agricultural lime. The issue for determination concerned the identification of the point </w:t>
      </w:r>
      <w:r w:rsidR="008B4D2C">
        <w:rPr>
          <w:rFonts w:ascii="Times New Roman" w:hAnsi="Times New Roman" w:cs="Times New Roman"/>
          <w:sz w:val="24"/>
          <w:szCs w:val="24"/>
        </w:rPr>
        <w:t>at which the manufacturing</w:t>
      </w:r>
      <w:r w:rsidR="00633B3D" w:rsidRPr="004E3401">
        <w:rPr>
          <w:rFonts w:ascii="Times New Roman" w:hAnsi="Times New Roman" w:cs="Times New Roman"/>
          <w:sz w:val="24"/>
          <w:szCs w:val="24"/>
        </w:rPr>
        <w:t xml:space="preserve"> of lime commenced. </w:t>
      </w:r>
      <w:r w:rsidR="001D46EE" w:rsidRPr="004E3401">
        <w:rPr>
          <w:rFonts w:ascii="Times New Roman" w:hAnsi="Times New Roman" w:cs="Times New Roman"/>
          <w:sz w:val="24"/>
          <w:szCs w:val="24"/>
        </w:rPr>
        <w:t xml:space="preserve">The taxpayer sought the deduction of capital allowances for the </w:t>
      </w:r>
      <w:r w:rsidR="008B4D2C" w:rsidRPr="004E3401">
        <w:rPr>
          <w:rFonts w:ascii="Times New Roman" w:hAnsi="Times New Roman" w:cs="Times New Roman"/>
          <w:sz w:val="24"/>
          <w:szCs w:val="24"/>
        </w:rPr>
        <w:t>Lorries</w:t>
      </w:r>
      <w:r w:rsidR="001D46EE" w:rsidRPr="004E3401">
        <w:rPr>
          <w:rFonts w:ascii="Times New Roman" w:hAnsi="Times New Roman" w:cs="Times New Roman"/>
          <w:sz w:val="24"/>
          <w:szCs w:val="24"/>
        </w:rPr>
        <w:t xml:space="preserve"> on the ground that they had been used for the purposes of its trade and directly in the process of the manufacture of lime. The taxman had disallowed the deduction </w:t>
      </w:r>
      <w:r w:rsidR="00C834DE" w:rsidRPr="004E3401">
        <w:rPr>
          <w:rFonts w:ascii="Times New Roman" w:hAnsi="Times New Roman" w:cs="Times New Roman"/>
          <w:sz w:val="24"/>
          <w:szCs w:val="24"/>
        </w:rPr>
        <w:t xml:space="preserve">on the basis that the </w:t>
      </w:r>
      <w:r w:rsidR="0019215E" w:rsidRPr="004E3401">
        <w:rPr>
          <w:rFonts w:ascii="Times New Roman" w:hAnsi="Times New Roman" w:cs="Times New Roman"/>
          <w:sz w:val="24"/>
          <w:szCs w:val="24"/>
        </w:rPr>
        <w:t xml:space="preserve">cartage of the limestone by the </w:t>
      </w:r>
      <w:r w:rsidR="008B4D2C" w:rsidRPr="004E3401">
        <w:rPr>
          <w:rFonts w:ascii="Times New Roman" w:hAnsi="Times New Roman" w:cs="Times New Roman"/>
          <w:sz w:val="24"/>
          <w:szCs w:val="24"/>
        </w:rPr>
        <w:t>Lorries</w:t>
      </w:r>
      <w:r w:rsidR="0019215E" w:rsidRPr="004E3401">
        <w:rPr>
          <w:rFonts w:ascii="Times New Roman" w:hAnsi="Times New Roman" w:cs="Times New Roman"/>
          <w:sz w:val="24"/>
          <w:szCs w:val="24"/>
        </w:rPr>
        <w:t xml:space="preserve"> did not constitute the direct use in the process of manufacture envisaged by the relevant section of the South African Income Tax Act. T</w:t>
      </w:r>
      <w:r w:rsidR="001D46EE" w:rsidRPr="004E3401">
        <w:rPr>
          <w:rFonts w:ascii="Times New Roman" w:hAnsi="Times New Roman" w:cs="Times New Roman"/>
          <w:sz w:val="24"/>
          <w:szCs w:val="24"/>
        </w:rPr>
        <w:t>he taxpayer’s contenti</w:t>
      </w:r>
      <w:r w:rsidR="008B4D2C">
        <w:rPr>
          <w:rFonts w:ascii="Times New Roman" w:hAnsi="Times New Roman" w:cs="Times New Roman"/>
          <w:sz w:val="24"/>
          <w:szCs w:val="24"/>
        </w:rPr>
        <w:t>on was upheld on appeal by</w:t>
      </w:r>
      <w:r w:rsidR="001D46EE" w:rsidRPr="004E3401">
        <w:rPr>
          <w:rFonts w:ascii="Times New Roman" w:hAnsi="Times New Roman" w:cs="Times New Roman"/>
          <w:sz w:val="24"/>
          <w:szCs w:val="24"/>
        </w:rPr>
        <w:t xml:space="preserve"> the Special Court. T</w:t>
      </w:r>
      <w:r w:rsidR="00C82CC9" w:rsidRPr="004E3401">
        <w:rPr>
          <w:rFonts w:ascii="Times New Roman" w:hAnsi="Times New Roman" w:cs="Times New Roman"/>
          <w:sz w:val="24"/>
          <w:szCs w:val="24"/>
        </w:rPr>
        <w:t>he appeal by the taxman to the Appellant D</w:t>
      </w:r>
      <w:r w:rsidR="001D46EE" w:rsidRPr="004E3401">
        <w:rPr>
          <w:rFonts w:ascii="Times New Roman" w:hAnsi="Times New Roman" w:cs="Times New Roman"/>
          <w:sz w:val="24"/>
          <w:szCs w:val="24"/>
        </w:rPr>
        <w:t>ivision was dismissed</w:t>
      </w:r>
      <w:r w:rsidR="00810B95">
        <w:rPr>
          <w:rFonts w:ascii="Times New Roman" w:hAnsi="Times New Roman" w:cs="Times New Roman"/>
          <w:sz w:val="24"/>
          <w:szCs w:val="24"/>
        </w:rPr>
        <w:t xml:space="preserve"> on the ground that</w:t>
      </w:r>
      <w:r w:rsidR="008465A5" w:rsidRPr="004E3401">
        <w:rPr>
          <w:rFonts w:ascii="Times New Roman" w:hAnsi="Times New Roman" w:cs="Times New Roman"/>
          <w:sz w:val="24"/>
          <w:szCs w:val="24"/>
        </w:rPr>
        <w:t xml:space="preserve"> the process </w:t>
      </w:r>
      <w:r w:rsidR="008465A5" w:rsidRPr="004E3401">
        <w:rPr>
          <w:rFonts w:ascii="Times New Roman" w:hAnsi="Times New Roman" w:cs="Times New Roman"/>
          <w:sz w:val="24"/>
          <w:szCs w:val="24"/>
        </w:rPr>
        <w:lastRenderedPageBreak/>
        <w:t>of manufacturing commenced at the quarry, with the blasting of the extracted limestone on the floor of the quarry</w:t>
      </w:r>
      <w:r w:rsidR="00F72672" w:rsidRPr="004E3401">
        <w:rPr>
          <w:rFonts w:ascii="Times New Roman" w:hAnsi="Times New Roman" w:cs="Times New Roman"/>
          <w:sz w:val="24"/>
          <w:szCs w:val="24"/>
        </w:rPr>
        <w:t xml:space="preserve"> </w:t>
      </w:r>
      <w:r w:rsidR="00225EF7" w:rsidRPr="004E3401">
        <w:rPr>
          <w:rFonts w:ascii="Times New Roman" w:hAnsi="Times New Roman" w:cs="Times New Roman"/>
          <w:sz w:val="24"/>
          <w:szCs w:val="24"/>
        </w:rPr>
        <w:t>and not from the quarry face such that</w:t>
      </w:r>
      <w:r w:rsidR="00F72672" w:rsidRPr="004E3401">
        <w:rPr>
          <w:rFonts w:ascii="Times New Roman" w:hAnsi="Times New Roman" w:cs="Times New Roman"/>
          <w:sz w:val="24"/>
          <w:szCs w:val="24"/>
        </w:rPr>
        <w:t xml:space="preserve"> the transportation of the fragmented stone from the quarry to the kiln constituted direct use of the lorries in the process of manufacture</w:t>
      </w:r>
      <w:r w:rsidR="00BD5574" w:rsidRPr="004E3401">
        <w:rPr>
          <w:rFonts w:ascii="Times New Roman" w:hAnsi="Times New Roman" w:cs="Times New Roman"/>
          <w:sz w:val="24"/>
          <w:szCs w:val="24"/>
        </w:rPr>
        <w:t xml:space="preserve"> </w:t>
      </w:r>
      <w:r w:rsidR="00225EF7" w:rsidRPr="004E3401">
        <w:rPr>
          <w:rFonts w:ascii="Times New Roman" w:hAnsi="Times New Roman" w:cs="Times New Roman"/>
          <w:sz w:val="24"/>
          <w:szCs w:val="24"/>
        </w:rPr>
        <w:t>from</w:t>
      </w:r>
      <w:r w:rsidR="00BD5574" w:rsidRPr="004E3401">
        <w:rPr>
          <w:rFonts w:ascii="Times New Roman" w:hAnsi="Times New Roman" w:cs="Times New Roman"/>
          <w:sz w:val="24"/>
          <w:szCs w:val="24"/>
        </w:rPr>
        <w:t xml:space="preserve"> which the </w:t>
      </w:r>
      <w:r w:rsidR="000039F5" w:rsidRPr="004E3401">
        <w:rPr>
          <w:rFonts w:ascii="Times New Roman" w:hAnsi="Times New Roman" w:cs="Times New Roman"/>
          <w:sz w:val="24"/>
          <w:szCs w:val="24"/>
        </w:rPr>
        <w:t>capital allowances were</w:t>
      </w:r>
      <w:r w:rsidR="00BD5574" w:rsidRPr="004E3401">
        <w:rPr>
          <w:rFonts w:ascii="Times New Roman" w:hAnsi="Times New Roman" w:cs="Times New Roman"/>
          <w:sz w:val="24"/>
          <w:szCs w:val="24"/>
        </w:rPr>
        <w:t xml:space="preserve"> deductible. </w:t>
      </w:r>
      <w:r w:rsidR="008465A5" w:rsidRPr="004E3401">
        <w:rPr>
          <w:rFonts w:ascii="Times New Roman" w:hAnsi="Times New Roman" w:cs="Times New Roman"/>
          <w:sz w:val="24"/>
          <w:szCs w:val="24"/>
        </w:rPr>
        <w:t xml:space="preserve"> </w:t>
      </w:r>
      <w:r w:rsidR="001D46EE" w:rsidRPr="004E3401">
        <w:rPr>
          <w:rFonts w:ascii="Times New Roman" w:hAnsi="Times New Roman" w:cs="Times New Roman"/>
          <w:sz w:val="24"/>
          <w:szCs w:val="24"/>
        </w:rPr>
        <w:t xml:space="preserve"> </w:t>
      </w:r>
      <w:r w:rsidR="0019215E" w:rsidRPr="004E3401">
        <w:rPr>
          <w:rFonts w:ascii="Times New Roman" w:hAnsi="Times New Roman" w:cs="Times New Roman"/>
          <w:sz w:val="24"/>
          <w:szCs w:val="24"/>
        </w:rPr>
        <w:t>At page 142</w:t>
      </w:r>
      <w:r w:rsidR="00056B99" w:rsidRPr="004E3401">
        <w:rPr>
          <w:rFonts w:ascii="Times New Roman" w:hAnsi="Times New Roman" w:cs="Times New Roman"/>
          <w:sz w:val="24"/>
          <w:szCs w:val="24"/>
        </w:rPr>
        <w:t>-143</w:t>
      </w:r>
      <w:r w:rsidR="0019215E" w:rsidRPr="004E3401">
        <w:rPr>
          <w:rFonts w:ascii="Times New Roman" w:hAnsi="Times New Roman" w:cs="Times New Roman"/>
          <w:sz w:val="24"/>
          <w:szCs w:val="24"/>
        </w:rPr>
        <w:t xml:space="preserve"> SMIT AJA stated that:</w:t>
      </w:r>
    </w:p>
    <w:p w:rsidR="000451C4" w:rsidRPr="002E286B" w:rsidRDefault="0019215E" w:rsidP="000451C4">
      <w:pPr>
        <w:autoSpaceDE w:val="0"/>
        <w:autoSpaceDN w:val="0"/>
        <w:adjustRightInd w:val="0"/>
        <w:spacing w:after="0" w:line="240" w:lineRule="auto"/>
        <w:ind w:left="720"/>
        <w:jc w:val="both"/>
        <w:rPr>
          <w:rFonts w:ascii="Times New Roman" w:hAnsi="Times New Roman" w:cs="Times New Roman"/>
        </w:rPr>
      </w:pPr>
      <w:r w:rsidRPr="002E286B">
        <w:rPr>
          <w:rFonts w:ascii="Times New Roman" w:hAnsi="Times New Roman" w:cs="Times New Roman"/>
        </w:rPr>
        <w:t>“</w:t>
      </w:r>
      <w:r w:rsidR="000451C4" w:rsidRPr="002E286B">
        <w:rPr>
          <w:rFonts w:ascii="Times New Roman" w:hAnsi="Times New Roman" w:cs="Times New Roman"/>
        </w:rPr>
        <w:t xml:space="preserve">The Special Court’s findings, although described as a factual finding, that the process (of manufacture) begins with the extraction of limestone from the quarry is, in my view, actually an inference of law from the facts the correctness of which this Court can consider and decide on the facts as found. </w:t>
      </w:r>
      <w:r w:rsidR="00056B99" w:rsidRPr="002E286B">
        <w:rPr>
          <w:rFonts w:ascii="Times New Roman" w:hAnsi="Times New Roman" w:cs="Times New Roman"/>
        </w:rPr>
        <w:t xml:space="preserve">Raw material, in this case the limestone, is necessary for the process of manufacturing of hydrated lime, </w:t>
      </w:r>
      <w:r w:rsidR="00056B99" w:rsidRPr="002E286B">
        <w:rPr>
          <w:rFonts w:ascii="Times New Roman" w:hAnsi="Times New Roman" w:cs="Times New Roman"/>
          <w:u w:val="single"/>
        </w:rPr>
        <w:t>but I do not think that it can be said that the process of manufacture already begins when the raw material is extracted from the rock. This operation is too remote to form part of the process</w:t>
      </w:r>
      <w:r w:rsidR="00056B99" w:rsidRPr="002E286B">
        <w:rPr>
          <w:rFonts w:ascii="Times New Roman" w:hAnsi="Times New Roman" w:cs="Times New Roman"/>
        </w:rPr>
        <w:t xml:space="preserve">. One must distinguish </w:t>
      </w:r>
      <w:r w:rsidR="00063D84" w:rsidRPr="002E286B">
        <w:rPr>
          <w:rFonts w:ascii="Times New Roman" w:hAnsi="Times New Roman" w:cs="Times New Roman"/>
        </w:rPr>
        <w:t>between the acts performed in</w:t>
      </w:r>
      <w:r w:rsidR="00056B99" w:rsidRPr="002E286B">
        <w:rPr>
          <w:rFonts w:ascii="Times New Roman" w:hAnsi="Times New Roman" w:cs="Times New Roman"/>
        </w:rPr>
        <w:t xml:space="preserve"> acquiring the raw material for the process of manufacture and those which commence the process.  But breaking down the limestone on the floor of the quarry is different……..</w:t>
      </w:r>
      <w:r w:rsidR="00932A52" w:rsidRPr="002E286B">
        <w:rPr>
          <w:rFonts w:ascii="Times New Roman" w:hAnsi="Times New Roman" w:cs="Times New Roman"/>
        </w:rPr>
        <w:t>it is at this stage of the operations that I think the process of manufacture begins.</w:t>
      </w:r>
      <w:r w:rsidR="00B72000" w:rsidRPr="002E286B">
        <w:rPr>
          <w:rFonts w:ascii="Times New Roman" w:hAnsi="Times New Roman" w:cs="Times New Roman"/>
        </w:rPr>
        <w:t xml:space="preserve"> It is necessary to get pieces of stone 1 ½ inches to 4 inches in size for the calcination process which takes place in the kilns. For this process the quarried limestone is broken up into smaller pieces first at the quarry and then in the crushers at the plant. If instead of breaking up the stone by blasting on </w:t>
      </w:r>
      <w:r w:rsidR="002404BF" w:rsidRPr="002E286B">
        <w:rPr>
          <w:rFonts w:ascii="Times New Roman" w:hAnsi="Times New Roman" w:cs="Times New Roman"/>
        </w:rPr>
        <w:t>the</w:t>
      </w:r>
      <w:r w:rsidR="00B72000" w:rsidRPr="002E286B">
        <w:rPr>
          <w:rFonts w:ascii="Times New Roman" w:hAnsi="Times New Roman" w:cs="Times New Roman"/>
        </w:rPr>
        <w:t xml:space="preserve"> floor of the quarry the extracted stone was broke</w:t>
      </w:r>
      <w:r w:rsidR="00125DB6" w:rsidRPr="002E286B">
        <w:rPr>
          <w:rFonts w:ascii="Times New Roman" w:hAnsi="Times New Roman" w:cs="Times New Roman"/>
        </w:rPr>
        <w:t>n</w:t>
      </w:r>
      <w:r w:rsidR="00B72000" w:rsidRPr="002E286B">
        <w:rPr>
          <w:rFonts w:ascii="Times New Roman" w:hAnsi="Times New Roman" w:cs="Times New Roman"/>
        </w:rPr>
        <w:t xml:space="preserve"> up in coarser crushers at the </w:t>
      </w:r>
      <w:r w:rsidR="002404BF" w:rsidRPr="002E286B">
        <w:rPr>
          <w:rFonts w:ascii="Times New Roman" w:hAnsi="Times New Roman" w:cs="Times New Roman"/>
        </w:rPr>
        <w:t>(</w:t>
      </w:r>
      <w:r w:rsidR="00B72000" w:rsidRPr="002E286B">
        <w:rPr>
          <w:rFonts w:ascii="Times New Roman" w:hAnsi="Times New Roman" w:cs="Times New Roman"/>
        </w:rPr>
        <w:t>kiln</w:t>
      </w:r>
      <w:r w:rsidR="002404BF" w:rsidRPr="002E286B">
        <w:rPr>
          <w:rFonts w:ascii="Times New Roman" w:hAnsi="Times New Roman" w:cs="Times New Roman"/>
        </w:rPr>
        <w:t>)</w:t>
      </w:r>
      <w:r w:rsidR="00B72000" w:rsidRPr="002E286B">
        <w:rPr>
          <w:rFonts w:ascii="Times New Roman" w:hAnsi="Times New Roman" w:cs="Times New Roman"/>
        </w:rPr>
        <w:t xml:space="preserve"> that </w:t>
      </w:r>
      <w:r w:rsidR="008465A5" w:rsidRPr="002E286B">
        <w:rPr>
          <w:rFonts w:ascii="Times New Roman" w:hAnsi="Times New Roman" w:cs="Times New Roman"/>
        </w:rPr>
        <w:t>operation could</w:t>
      </w:r>
      <w:r w:rsidR="00B72000" w:rsidRPr="002E286B">
        <w:rPr>
          <w:rFonts w:ascii="Times New Roman" w:hAnsi="Times New Roman" w:cs="Times New Roman"/>
        </w:rPr>
        <w:t xml:space="preserve"> not be said to be not part of the process when it is conceded that the operation of the crushers</w:t>
      </w:r>
      <w:r w:rsidR="002404BF" w:rsidRPr="002E286B">
        <w:rPr>
          <w:rFonts w:ascii="Times New Roman" w:hAnsi="Times New Roman" w:cs="Times New Roman"/>
        </w:rPr>
        <w:t xml:space="preserve"> at the </w:t>
      </w:r>
      <w:r w:rsidR="00B72000" w:rsidRPr="002E286B">
        <w:rPr>
          <w:rFonts w:ascii="Times New Roman" w:hAnsi="Times New Roman" w:cs="Times New Roman"/>
        </w:rPr>
        <w:t>plant</w:t>
      </w:r>
      <w:r w:rsidR="002404BF" w:rsidRPr="002E286B">
        <w:rPr>
          <w:rFonts w:ascii="Times New Roman" w:hAnsi="Times New Roman" w:cs="Times New Roman"/>
        </w:rPr>
        <w:t xml:space="preserve"> is part of the process, which it obviously is.</w:t>
      </w:r>
      <w:r w:rsidR="00932A52" w:rsidRPr="002E286B">
        <w:rPr>
          <w:rFonts w:ascii="Times New Roman" w:hAnsi="Times New Roman" w:cs="Times New Roman"/>
        </w:rPr>
        <w:t>”</w:t>
      </w:r>
      <w:r w:rsidR="00F07491" w:rsidRPr="002E286B">
        <w:rPr>
          <w:rFonts w:ascii="Times New Roman" w:hAnsi="Times New Roman" w:cs="Times New Roman"/>
        </w:rPr>
        <w:t xml:space="preserve"> (Underlining mine for emphasis)</w:t>
      </w:r>
    </w:p>
    <w:p w:rsidR="00C63456" w:rsidRDefault="00C63456" w:rsidP="009A63FD">
      <w:pPr>
        <w:autoSpaceDE w:val="0"/>
        <w:autoSpaceDN w:val="0"/>
        <w:adjustRightInd w:val="0"/>
        <w:spacing w:after="0" w:line="240" w:lineRule="auto"/>
        <w:ind w:firstLine="720"/>
        <w:jc w:val="both"/>
        <w:rPr>
          <w:rFonts w:ascii="Times New Roman" w:hAnsi="Times New Roman" w:cs="Times New Roman"/>
          <w:sz w:val="24"/>
          <w:szCs w:val="24"/>
        </w:rPr>
      </w:pPr>
    </w:p>
    <w:p w:rsidR="00427951" w:rsidRPr="004E3401" w:rsidRDefault="009A63FD" w:rsidP="00CA6DD8">
      <w:pPr>
        <w:autoSpaceDE w:val="0"/>
        <w:autoSpaceDN w:val="0"/>
        <w:adjustRightInd w:val="0"/>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Notwithstanding that STEYN </w:t>
      </w:r>
      <w:r w:rsidR="00427951" w:rsidRPr="004E3401">
        <w:rPr>
          <w:rFonts w:ascii="Times New Roman" w:hAnsi="Times New Roman" w:cs="Times New Roman"/>
          <w:sz w:val="24"/>
          <w:szCs w:val="24"/>
        </w:rPr>
        <w:t>CJ with</w:t>
      </w:r>
      <w:r w:rsidRPr="004E3401">
        <w:rPr>
          <w:rFonts w:ascii="Times New Roman" w:hAnsi="Times New Roman" w:cs="Times New Roman"/>
          <w:sz w:val="24"/>
          <w:szCs w:val="24"/>
        </w:rPr>
        <w:t xml:space="preserve"> whom BOT</w:t>
      </w:r>
      <w:r w:rsidR="009F4179" w:rsidRPr="004E3401">
        <w:rPr>
          <w:rFonts w:ascii="Times New Roman" w:hAnsi="Times New Roman" w:cs="Times New Roman"/>
          <w:sz w:val="24"/>
          <w:szCs w:val="24"/>
        </w:rPr>
        <w:t>H</w:t>
      </w:r>
      <w:r w:rsidRPr="004E3401">
        <w:rPr>
          <w:rFonts w:ascii="Times New Roman" w:hAnsi="Times New Roman" w:cs="Times New Roman"/>
          <w:sz w:val="24"/>
          <w:szCs w:val="24"/>
        </w:rPr>
        <w:t xml:space="preserve">A JA concurred, would have upheld the appeal, all the 5 learned judges who heard this appeal unanimously held that the process of manufacturing lime did not commence with the blasting of limestone from the quarry face. </w:t>
      </w:r>
      <w:r w:rsidR="00427951" w:rsidRPr="004E3401">
        <w:rPr>
          <w:rFonts w:ascii="Times New Roman" w:hAnsi="Times New Roman" w:cs="Times New Roman"/>
          <w:sz w:val="24"/>
          <w:szCs w:val="24"/>
        </w:rPr>
        <w:t xml:space="preserve">This aspect </w:t>
      </w:r>
      <w:r w:rsidR="003E4193" w:rsidRPr="004E3401">
        <w:rPr>
          <w:rFonts w:ascii="Times New Roman" w:hAnsi="Times New Roman" w:cs="Times New Roman"/>
          <w:sz w:val="24"/>
          <w:szCs w:val="24"/>
        </w:rPr>
        <w:t xml:space="preserve">was confirmed by </w:t>
      </w:r>
      <w:r w:rsidR="001E6137" w:rsidRPr="004E3401">
        <w:rPr>
          <w:rFonts w:ascii="Times New Roman" w:hAnsi="Times New Roman" w:cs="Times New Roman"/>
          <w:sz w:val="24"/>
          <w:szCs w:val="24"/>
        </w:rPr>
        <w:t>JENNET AJA</w:t>
      </w:r>
      <w:r w:rsidR="00427951" w:rsidRPr="004E3401">
        <w:rPr>
          <w:rFonts w:ascii="Times New Roman" w:hAnsi="Times New Roman" w:cs="Times New Roman"/>
          <w:sz w:val="24"/>
          <w:szCs w:val="24"/>
        </w:rPr>
        <w:t xml:space="preserve"> who stated at p 145 that:</w:t>
      </w:r>
    </w:p>
    <w:p w:rsidR="00427951" w:rsidRPr="00C63456" w:rsidRDefault="00427951" w:rsidP="00CA6DD8">
      <w:pPr>
        <w:autoSpaceDE w:val="0"/>
        <w:autoSpaceDN w:val="0"/>
        <w:adjustRightInd w:val="0"/>
        <w:spacing w:after="0" w:line="360" w:lineRule="auto"/>
        <w:ind w:left="720"/>
        <w:jc w:val="both"/>
        <w:rPr>
          <w:rFonts w:ascii="Times New Roman" w:hAnsi="Times New Roman" w:cs="Times New Roman"/>
        </w:rPr>
      </w:pPr>
      <w:r w:rsidRPr="00C63456">
        <w:rPr>
          <w:rFonts w:ascii="Times New Roman" w:hAnsi="Times New Roman" w:cs="Times New Roman"/>
        </w:rPr>
        <w:t>“I respectfully agree with the learned CHIEF JUSTICE that it cannot be properly inferred that the process of manufacture begins with the blasting of the rock from the quarry face.</w:t>
      </w:r>
      <w:r w:rsidR="00AD5F66" w:rsidRPr="00C63456">
        <w:rPr>
          <w:rFonts w:ascii="Times New Roman" w:hAnsi="Times New Roman" w:cs="Times New Roman"/>
        </w:rPr>
        <w:t xml:space="preserve"> That operation is one carried out to obtain raw material for later processing.</w:t>
      </w:r>
      <w:r w:rsidRPr="00C63456">
        <w:rPr>
          <w:rFonts w:ascii="Times New Roman" w:hAnsi="Times New Roman" w:cs="Times New Roman"/>
        </w:rPr>
        <w:t>”</w:t>
      </w:r>
    </w:p>
    <w:p w:rsidR="00CA6DD8" w:rsidRDefault="00A65210" w:rsidP="00CA6DD8">
      <w:pPr>
        <w:autoSpaceDE w:val="0"/>
        <w:autoSpaceDN w:val="0"/>
        <w:adjustRightInd w:val="0"/>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The principle derived from this finding is that </w:t>
      </w:r>
      <w:r w:rsidR="00427951" w:rsidRPr="004E3401">
        <w:rPr>
          <w:rFonts w:ascii="Times New Roman" w:hAnsi="Times New Roman" w:cs="Times New Roman"/>
          <w:sz w:val="24"/>
          <w:szCs w:val="24"/>
        </w:rPr>
        <w:t xml:space="preserve">the </w:t>
      </w:r>
      <w:r w:rsidRPr="004E3401">
        <w:rPr>
          <w:rFonts w:ascii="Times New Roman" w:hAnsi="Times New Roman" w:cs="Times New Roman"/>
          <w:sz w:val="24"/>
          <w:szCs w:val="24"/>
        </w:rPr>
        <w:t>manufacturing process of lime</w:t>
      </w:r>
      <w:r w:rsidR="00427951" w:rsidRPr="004E3401">
        <w:rPr>
          <w:rFonts w:ascii="Times New Roman" w:hAnsi="Times New Roman" w:cs="Times New Roman"/>
          <w:sz w:val="24"/>
          <w:szCs w:val="24"/>
        </w:rPr>
        <w:t>,</w:t>
      </w:r>
      <w:r w:rsidRPr="004E3401">
        <w:rPr>
          <w:rFonts w:ascii="Times New Roman" w:hAnsi="Times New Roman" w:cs="Times New Roman"/>
          <w:sz w:val="24"/>
          <w:szCs w:val="24"/>
        </w:rPr>
        <w:t xml:space="preserve"> in that case</w:t>
      </w:r>
      <w:r w:rsidR="00427951" w:rsidRPr="004E3401">
        <w:rPr>
          <w:rFonts w:ascii="Times New Roman" w:hAnsi="Times New Roman" w:cs="Times New Roman"/>
          <w:sz w:val="24"/>
          <w:szCs w:val="24"/>
        </w:rPr>
        <w:t xml:space="preserve">, and cement, </w:t>
      </w:r>
      <w:r w:rsidRPr="004E3401">
        <w:rPr>
          <w:rFonts w:ascii="Times New Roman" w:hAnsi="Times New Roman" w:cs="Times New Roman"/>
          <w:sz w:val="24"/>
          <w:szCs w:val="24"/>
        </w:rPr>
        <w:t>in the present cas</w:t>
      </w:r>
      <w:r w:rsidR="00427951" w:rsidRPr="004E3401">
        <w:rPr>
          <w:rFonts w:ascii="Times New Roman" w:hAnsi="Times New Roman" w:cs="Times New Roman"/>
          <w:sz w:val="24"/>
          <w:szCs w:val="24"/>
        </w:rPr>
        <w:t>e,</w:t>
      </w:r>
      <w:r w:rsidRPr="004E3401">
        <w:rPr>
          <w:rFonts w:ascii="Times New Roman" w:hAnsi="Times New Roman" w:cs="Times New Roman"/>
          <w:sz w:val="24"/>
          <w:szCs w:val="24"/>
        </w:rPr>
        <w:t xml:space="preserve"> commences with the crushing of the limestone rock and not with its extraction from the belly of the earth. </w:t>
      </w:r>
      <w:r w:rsidR="00B72067" w:rsidRPr="004E3401">
        <w:rPr>
          <w:rFonts w:ascii="Times New Roman" w:hAnsi="Times New Roman" w:cs="Times New Roman"/>
          <w:sz w:val="24"/>
          <w:szCs w:val="24"/>
        </w:rPr>
        <w:t xml:space="preserve">This same point is adopted in para 2 of the “Appellant’s Case”, where </w:t>
      </w:r>
      <w:r w:rsidR="007726A3">
        <w:rPr>
          <w:rFonts w:ascii="Times New Roman" w:hAnsi="Times New Roman" w:cs="Times New Roman"/>
          <w:sz w:val="24"/>
          <w:szCs w:val="24"/>
        </w:rPr>
        <w:t xml:space="preserve">the appellant approbates that </w:t>
      </w:r>
      <w:r w:rsidR="00B72067" w:rsidRPr="004E3401">
        <w:rPr>
          <w:rFonts w:ascii="Times New Roman" w:hAnsi="Times New Roman" w:cs="Times New Roman"/>
          <w:sz w:val="24"/>
          <w:szCs w:val="24"/>
        </w:rPr>
        <w:t>the</w:t>
      </w:r>
      <w:r w:rsidR="007726A3">
        <w:rPr>
          <w:rFonts w:ascii="Times New Roman" w:hAnsi="Times New Roman" w:cs="Times New Roman"/>
          <w:sz w:val="24"/>
          <w:szCs w:val="24"/>
        </w:rPr>
        <w:t xml:space="preserve"> mining of limestone is</w:t>
      </w:r>
      <w:r w:rsidR="00B72067" w:rsidRPr="004E3401">
        <w:rPr>
          <w:rFonts w:ascii="Times New Roman" w:hAnsi="Times New Roman" w:cs="Times New Roman"/>
          <w:sz w:val="24"/>
          <w:szCs w:val="24"/>
        </w:rPr>
        <w:t xml:space="preserve"> as a separate operation from the use of the limestone in the manufacture of cement.</w:t>
      </w:r>
      <w:r w:rsidR="00427951" w:rsidRPr="004E3401">
        <w:rPr>
          <w:rFonts w:ascii="Times New Roman" w:hAnsi="Times New Roman" w:cs="Times New Roman"/>
          <w:sz w:val="24"/>
          <w:szCs w:val="24"/>
        </w:rPr>
        <w:t xml:space="preserve"> </w:t>
      </w:r>
      <w:r w:rsidR="000F34C0" w:rsidRPr="004E3401">
        <w:rPr>
          <w:rFonts w:ascii="Times New Roman" w:hAnsi="Times New Roman" w:cs="Times New Roman"/>
          <w:sz w:val="24"/>
          <w:szCs w:val="24"/>
        </w:rPr>
        <w:t xml:space="preserve">It is apparent to me that </w:t>
      </w:r>
      <w:r w:rsidRPr="004E3401">
        <w:rPr>
          <w:rFonts w:ascii="Times New Roman" w:hAnsi="Times New Roman" w:cs="Times New Roman"/>
          <w:sz w:val="24"/>
          <w:szCs w:val="24"/>
        </w:rPr>
        <w:t>in the present case, the appellant did not earn</w:t>
      </w:r>
      <w:r w:rsidR="000F34C0" w:rsidRPr="004E3401">
        <w:rPr>
          <w:rFonts w:ascii="Times New Roman" w:hAnsi="Times New Roman" w:cs="Times New Roman"/>
          <w:sz w:val="24"/>
          <w:szCs w:val="24"/>
        </w:rPr>
        <w:t xml:space="preserve"> income from </w:t>
      </w:r>
      <w:r w:rsidRPr="004E3401">
        <w:rPr>
          <w:rFonts w:ascii="Times New Roman" w:hAnsi="Times New Roman" w:cs="Times New Roman"/>
          <w:sz w:val="24"/>
          <w:szCs w:val="24"/>
        </w:rPr>
        <w:t xml:space="preserve">the </w:t>
      </w:r>
      <w:r w:rsidR="000F34C0" w:rsidRPr="004E3401">
        <w:rPr>
          <w:rFonts w:ascii="Times New Roman" w:hAnsi="Times New Roman" w:cs="Times New Roman"/>
          <w:sz w:val="24"/>
          <w:szCs w:val="24"/>
        </w:rPr>
        <w:t>limestone</w:t>
      </w:r>
      <w:r w:rsidR="00427951" w:rsidRPr="004E3401">
        <w:rPr>
          <w:rFonts w:ascii="Times New Roman" w:hAnsi="Times New Roman" w:cs="Times New Roman"/>
          <w:sz w:val="24"/>
          <w:szCs w:val="24"/>
        </w:rPr>
        <w:t>, which</w:t>
      </w:r>
      <w:r w:rsidRPr="004E3401">
        <w:rPr>
          <w:rFonts w:ascii="Times New Roman" w:hAnsi="Times New Roman" w:cs="Times New Roman"/>
          <w:sz w:val="24"/>
          <w:szCs w:val="24"/>
        </w:rPr>
        <w:t xml:space="preserve"> was eventually consumed in the manufacture of cement</w:t>
      </w:r>
      <w:r w:rsidR="000F34C0" w:rsidRPr="004E3401">
        <w:rPr>
          <w:rFonts w:ascii="Times New Roman" w:hAnsi="Times New Roman" w:cs="Times New Roman"/>
          <w:sz w:val="24"/>
          <w:szCs w:val="24"/>
        </w:rPr>
        <w:t xml:space="preserve">. </w:t>
      </w:r>
      <w:r w:rsidR="0081586B">
        <w:rPr>
          <w:rFonts w:ascii="Times New Roman" w:hAnsi="Times New Roman" w:cs="Times New Roman"/>
          <w:sz w:val="24"/>
          <w:szCs w:val="24"/>
        </w:rPr>
        <w:t>I</w:t>
      </w:r>
      <w:r w:rsidR="00844B42">
        <w:rPr>
          <w:rFonts w:ascii="Times New Roman" w:hAnsi="Times New Roman" w:cs="Times New Roman"/>
          <w:sz w:val="24"/>
          <w:szCs w:val="24"/>
        </w:rPr>
        <w:t>,</w:t>
      </w:r>
      <w:r w:rsidR="0081586B">
        <w:rPr>
          <w:rFonts w:ascii="Times New Roman" w:hAnsi="Times New Roman" w:cs="Times New Roman"/>
          <w:sz w:val="24"/>
          <w:szCs w:val="24"/>
        </w:rPr>
        <w:t xml:space="preserve"> therefore</w:t>
      </w:r>
      <w:r w:rsidR="00844B42">
        <w:rPr>
          <w:rFonts w:ascii="Times New Roman" w:hAnsi="Times New Roman" w:cs="Times New Roman"/>
          <w:sz w:val="24"/>
          <w:szCs w:val="24"/>
        </w:rPr>
        <w:t>,</w:t>
      </w:r>
      <w:r w:rsidR="0081586B">
        <w:rPr>
          <w:rFonts w:ascii="Times New Roman" w:hAnsi="Times New Roman" w:cs="Times New Roman"/>
          <w:sz w:val="24"/>
          <w:szCs w:val="24"/>
        </w:rPr>
        <w:t xml:space="preserve"> agree with the contention made by Mr </w:t>
      </w:r>
      <w:r w:rsidR="0081586B" w:rsidRPr="00BF273B">
        <w:rPr>
          <w:rFonts w:ascii="Times New Roman" w:hAnsi="Times New Roman" w:cs="Times New Roman"/>
          <w:i/>
          <w:sz w:val="24"/>
          <w:szCs w:val="24"/>
        </w:rPr>
        <w:t>Bhebhe</w:t>
      </w:r>
      <w:r w:rsidR="0081586B">
        <w:rPr>
          <w:rFonts w:ascii="Times New Roman" w:hAnsi="Times New Roman" w:cs="Times New Roman"/>
          <w:sz w:val="24"/>
          <w:szCs w:val="24"/>
        </w:rPr>
        <w:t xml:space="preserve"> in his oral submissions that the appellant was not quarrying or extracting limestone from the land as an end but as a means to an end, which was the manufacture and </w:t>
      </w:r>
      <w:r w:rsidR="0081586B">
        <w:rPr>
          <w:rFonts w:ascii="Times New Roman" w:hAnsi="Times New Roman" w:cs="Times New Roman"/>
          <w:sz w:val="24"/>
          <w:szCs w:val="24"/>
        </w:rPr>
        <w:lastRenderedPageBreak/>
        <w:t xml:space="preserve">sale of cement.  </w:t>
      </w:r>
      <w:r w:rsidR="000F34C0" w:rsidRPr="004E3401">
        <w:rPr>
          <w:rFonts w:ascii="Times New Roman" w:hAnsi="Times New Roman" w:cs="Times New Roman"/>
          <w:sz w:val="24"/>
          <w:szCs w:val="24"/>
        </w:rPr>
        <w:t xml:space="preserve">In any event, the appellant did not and could not </w:t>
      </w:r>
      <w:r w:rsidRPr="004E3401">
        <w:rPr>
          <w:rFonts w:ascii="Times New Roman" w:hAnsi="Times New Roman" w:cs="Times New Roman"/>
          <w:sz w:val="24"/>
          <w:szCs w:val="24"/>
        </w:rPr>
        <w:t xml:space="preserve">obviously </w:t>
      </w:r>
      <w:r w:rsidR="000F34C0" w:rsidRPr="004E3401">
        <w:rPr>
          <w:rFonts w:ascii="Times New Roman" w:hAnsi="Times New Roman" w:cs="Times New Roman"/>
          <w:sz w:val="24"/>
          <w:szCs w:val="24"/>
        </w:rPr>
        <w:t>sell the limestone to itself.</w:t>
      </w:r>
      <w:r w:rsidR="006D7E34" w:rsidRPr="004E3401">
        <w:rPr>
          <w:rFonts w:ascii="Times New Roman" w:hAnsi="Times New Roman" w:cs="Times New Roman"/>
          <w:sz w:val="24"/>
          <w:szCs w:val="24"/>
        </w:rPr>
        <w:t xml:space="preserve"> </w:t>
      </w:r>
    </w:p>
    <w:p w:rsidR="0026317A" w:rsidRDefault="006D7E34" w:rsidP="00CA6DD8">
      <w:pPr>
        <w:autoSpaceDE w:val="0"/>
        <w:autoSpaceDN w:val="0"/>
        <w:adjustRightInd w:val="0"/>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The source </w:t>
      </w:r>
      <w:r w:rsidR="008E48CB" w:rsidRPr="004E3401">
        <w:rPr>
          <w:rFonts w:ascii="Times New Roman" w:hAnsi="Times New Roman" w:cs="Times New Roman"/>
          <w:sz w:val="24"/>
          <w:szCs w:val="24"/>
        </w:rPr>
        <w:t xml:space="preserve">of income </w:t>
      </w:r>
      <w:r w:rsidRPr="004E3401">
        <w:rPr>
          <w:rFonts w:ascii="Times New Roman" w:hAnsi="Times New Roman" w:cs="Times New Roman"/>
          <w:sz w:val="24"/>
          <w:szCs w:val="24"/>
        </w:rPr>
        <w:t xml:space="preserve">doctrine advanced by the appellant to connect its mining operations to the accrual of income from the sale of </w:t>
      </w:r>
      <w:r w:rsidR="00CC4A1A" w:rsidRPr="004E3401">
        <w:rPr>
          <w:rFonts w:ascii="Times New Roman" w:hAnsi="Times New Roman" w:cs="Times New Roman"/>
          <w:sz w:val="24"/>
          <w:szCs w:val="24"/>
        </w:rPr>
        <w:t>cement distorts</w:t>
      </w:r>
      <w:r w:rsidRPr="004E3401">
        <w:rPr>
          <w:rFonts w:ascii="Times New Roman" w:hAnsi="Times New Roman" w:cs="Times New Roman"/>
          <w:sz w:val="24"/>
          <w:szCs w:val="24"/>
        </w:rPr>
        <w:t xml:space="preserve"> the ordinary business</w:t>
      </w:r>
      <w:r w:rsidR="00CC4A1A" w:rsidRPr="004E3401">
        <w:rPr>
          <w:rFonts w:ascii="Times New Roman" w:hAnsi="Times New Roman" w:cs="Times New Roman"/>
          <w:sz w:val="24"/>
          <w:szCs w:val="24"/>
        </w:rPr>
        <w:t xml:space="preserve"> mea</w:t>
      </w:r>
      <w:r w:rsidR="00844B42">
        <w:rPr>
          <w:rFonts w:ascii="Times New Roman" w:hAnsi="Times New Roman" w:cs="Times New Roman"/>
          <w:sz w:val="24"/>
          <w:szCs w:val="24"/>
        </w:rPr>
        <w:t>ning and usage attributed to</w:t>
      </w:r>
      <w:r w:rsidR="00460D99" w:rsidRPr="004E3401">
        <w:rPr>
          <w:rFonts w:ascii="Times New Roman" w:hAnsi="Times New Roman" w:cs="Times New Roman"/>
          <w:sz w:val="24"/>
          <w:szCs w:val="24"/>
        </w:rPr>
        <w:t xml:space="preserve"> “</w:t>
      </w:r>
      <w:r w:rsidR="00CC4A1A" w:rsidRPr="004E3401">
        <w:rPr>
          <w:rFonts w:ascii="Times New Roman" w:hAnsi="Times New Roman" w:cs="Times New Roman"/>
          <w:sz w:val="24"/>
          <w:szCs w:val="24"/>
        </w:rPr>
        <w:t>income derived</w:t>
      </w:r>
      <w:r w:rsidR="00A4188F" w:rsidRPr="004E3401">
        <w:rPr>
          <w:rFonts w:ascii="Times New Roman" w:hAnsi="Times New Roman" w:cs="Times New Roman"/>
          <w:sz w:val="24"/>
          <w:szCs w:val="24"/>
        </w:rPr>
        <w:t xml:space="preserve"> from mining operations”</w:t>
      </w:r>
      <w:r w:rsidR="00460D99" w:rsidRPr="004E3401">
        <w:rPr>
          <w:rFonts w:ascii="Times New Roman" w:hAnsi="Times New Roman" w:cs="Times New Roman"/>
          <w:sz w:val="24"/>
          <w:szCs w:val="24"/>
        </w:rPr>
        <w:t xml:space="preserve"> found in proviso (c) of s</w:t>
      </w:r>
      <w:r w:rsidR="00125DB6">
        <w:rPr>
          <w:rFonts w:ascii="Times New Roman" w:hAnsi="Times New Roman" w:cs="Times New Roman"/>
          <w:sz w:val="24"/>
          <w:szCs w:val="24"/>
        </w:rPr>
        <w:t xml:space="preserve"> 15 (1) and </w:t>
      </w:r>
      <w:r w:rsidR="00460D99" w:rsidRPr="004E3401">
        <w:rPr>
          <w:rFonts w:ascii="Times New Roman" w:hAnsi="Times New Roman" w:cs="Times New Roman"/>
          <w:sz w:val="24"/>
          <w:szCs w:val="24"/>
        </w:rPr>
        <w:t>subp</w:t>
      </w:r>
      <w:r w:rsidR="00125DB6">
        <w:rPr>
          <w:rFonts w:ascii="Times New Roman" w:hAnsi="Times New Roman" w:cs="Times New Roman"/>
          <w:sz w:val="24"/>
          <w:szCs w:val="24"/>
        </w:rPr>
        <w:t>ara (i) of the s 15 (2) (f.)</w:t>
      </w:r>
      <w:r w:rsidR="00CC4A1A" w:rsidRPr="004E3401">
        <w:rPr>
          <w:rFonts w:ascii="Times New Roman" w:hAnsi="Times New Roman" w:cs="Times New Roman"/>
          <w:sz w:val="24"/>
          <w:szCs w:val="24"/>
        </w:rPr>
        <w:t xml:space="preserve"> The income accruing to the appellant was derived from the </w:t>
      </w:r>
      <w:r w:rsidR="00DA297D" w:rsidRPr="004E3401">
        <w:rPr>
          <w:rFonts w:ascii="Times New Roman" w:hAnsi="Times New Roman" w:cs="Times New Roman"/>
          <w:sz w:val="24"/>
          <w:szCs w:val="24"/>
        </w:rPr>
        <w:t>manufacture and disposal of cement</w:t>
      </w:r>
      <w:r w:rsidR="00CC4A1A" w:rsidRPr="004E3401">
        <w:rPr>
          <w:rFonts w:ascii="Times New Roman" w:hAnsi="Times New Roman" w:cs="Times New Roman"/>
          <w:sz w:val="24"/>
          <w:szCs w:val="24"/>
        </w:rPr>
        <w:t xml:space="preserve"> and </w:t>
      </w:r>
      <w:r w:rsidR="00844B42">
        <w:rPr>
          <w:rFonts w:ascii="Times New Roman" w:hAnsi="Times New Roman" w:cs="Times New Roman"/>
          <w:sz w:val="24"/>
          <w:szCs w:val="24"/>
        </w:rPr>
        <w:t>not from the mining operation</w:t>
      </w:r>
      <w:r w:rsidR="00CC4A1A" w:rsidRPr="004E3401">
        <w:rPr>
          <w:rFonts w:ascii="Times New Roman" w:hAnsi="Times New Roman" w:cs="Times New Roman"/>
          <w:sz w:val="24"/>
          <w:szCs w:val="24"/>
        </w:rPr>
        <w:t>. The connection between the mining of limestone and the income earned from the disposal of cement was, in my view, remote.</w:t>
      </w:r>
      <w:r w:rsidRPr="004E3401">
        <w:rPr>
          <w:rFonts w:ascii="Times New Roman" w:hAnsi="Times New Roman" w:cs="Times New Roman"/>
          <w:sz w:val="24"/>
          <w:szCs w:val="24"/>
        </w:rPr>
        <w:t xml:space="preserve"> </w:t>
      </w:r>
      <w:r w:rsidR="0026317A">
        <w:rPr>
          <w:rFonts w:ascii="Times New Roman" w:hAnsi="Times New Roman" w:cs="Times New Roman"/>
          <w:sz w:val="24"/>
          <w:szCs w:val="24"/>
        </w:rPr>
        <w:t xml:space="preserve">My finding appears to be in consonant with the refusal by GUBBAY P, as he then was, </w:t>
      </w:r>
      <w:r w:rsidR="00125DB6">
        <w:rPr>
          <w:rFonts w:ascii="Times New Roman" w:hAnsi="Times New Roman" w:cs="Times New Roman"/>
          <w:sz w:val="24"/>
          <w:szCs w:val="24"/>
        </w:rPr>
        <w:t>in the local case</w:t>
      </w:r>
      <w:r w:rsidR="005C587F" w:rsidRPr="004E3401">
        <w:rPr>
          <w:rFonts w:ascii="Times New Roman" w:hAnsi="Times New Roman" w:cs="Times New Roman"/>
          <w:sz w:val="24"/>
          <w:szCs w:val="24"/>
        </w:rPr>
        <w:t xml:space="preserve"> </w:t>
      </w:r>
      <w:r w:rsidR="005C587F" w:rsidRPr="00125DB6">
        <w:rPr>
          <w:rFonts w:ascii="Times New Roman" w:hAnsi="Times New Roman" w:cs="Times New Roman"/>
          <w:i/>
          <w:sz w:val="24"/>
          <w:szCs w:val="24"/>
        </w:rPr>
        <w:t>ITC 1249</w:t>
      </w:r>
      <w:r w:rsidR="005C587F" w:rsidRPr="004E3401">
        <w:rPr>
          <w:rFonts w:ascii="Times New Roman" w:hAnsi="Times New Roman" w:cs="Times New Roman"/>
          <w:sz w:val="24"/>
          <w:szCs w:val="24"/>
        </w:rPr>
        <w:t xml:space="preserve"> </w:t>
      </w:r>
      <w:r w:rsidR="00125DB6">
        <w:rPr>
          <w:rFonts w:ascii="Times New Roman" w:hAnsi="Times New Roman" w:cs="Times New Roman"/>
          <w:sz w:val="24"/>
          <w:szCs w:val="24"/>
        </w:rPr>
        <w:t>(1976) 38 SATC 74 (R) at 77</w:t>
      </w:r>
      <w:r w:rsidR="00844B42">
        <w:rPr>
          <w:rFonts w:ascii="Times New Roman" w:hAnsi="Times New Roman" w:cs="Times New Roman"/>
          <w:sz w:val="24"/>
          <w:szCs w:val="24"/>
        </w:rPr>
        <w:t xml:space="preserve"> to extend</w:t>
      </w:r>
      <w:r w:rsidR="0026317A">
        <w:rPr>
          <w:rFonts w:ascii="Times New Roman" w:hAnsi="Times New Roman" w:cs="Times New Roman"/>
          <w:sz w:val="24"/>
          <w:szCs w:val="24"/>
        </w:rPr>
        <w:t xml:space="preserve"> the definition of mineral to the products manufactured from that mineral. </w:t>
      </w:r>
    </w:p>
    <w:p w:rsidR="008522C5" w:rsidRPr="004E3401" w:rsidRDefault="008522C5" w:rsidP="00CA6DD8">
      <w:pPr>
        <w:autoSpaceDE w:val="0"/>
        <w:autoSpaceDN w:val="0"/>
        <w:adjustRightInd w:val="0"/>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I, accordingly, hold that the appellant wrongly applied the provisions of s 15 (2) (f) (i) in its tax returns. </w:t>
      </w:r>
    </w:p>
    <w:p w:rsidR="000F7D24" w:rsidRPr="004E3401" w:rsidRDefault="000F7D24" w:rsidP="000F7D24">
      <w:pPr>
        <w:spacing w:line="240" w:lineRule="auto"/>
        <w:jc w:val="both"/>
        <w:rPr>
          <w:rFonts w:ascii="Times New Roman" w:hAnsi="Times New Roman" w:cs="Times New Roman"/>
          <w:i/>
          <w:sz w:val="24"/>
          <w:szCs w:val="24"/>
        </w:rPr>
      </w:pPr>
      <w:r w:rsidRPr="004E3401">
        <w:rPr>
          <w:rFonts w:ascii="Times New Roman" w:hAnsi="Times New Roman" w:cs="Times New Roman"/>
          <w:i/>
          <w:sz w:val="24"/>
          <w:szCs w:val="24"/>
        </w:rPr>
        <w:t>Whether there was any “fraud, misrepresentation or wilful non-disclosure of facts” on the part of the appellant entitling the respondent to issue an additional assessment in respect of the 2009 tax year?</w:t>
      </w:r>
    </w:p>
    <w:p w:rsidR="00C461D2" w:rsidRPr="004E3401" w:rsidRDefault="000F7D24" w:rsidP="002E286B">
      <w:pPr>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It was common cause that the appellant claimed non-deductible expenditure in respect of provisions for leave pay and canteen </w:t>
      </w:r>
      <w:r w:rsidR="0071451D" w:rsidRPr="004E3401">
        <w:rPr>
          <w:rFonts w:ascii="Times New Roman" w:hAnsi="Times New Roman" w:cs="Times New Roman"/>
          <w:sz w:val="24"/>
          <w:szCs w:val="24"/>
        </w:rPr>
        <w:t>expenses attributed</w:t>
      </w:r>
      <w:r w:rsidRPr="004E3401">
        <w:rPr>
          <w:rFonts w:ascii="Times New Roman" w:hAnsi="Times New Roman" w:cs="Times New Roman"/>
          <w:sz w:val="24"/>
          <w:szCs w:val="24"/>
        </w:rPr>
        <w:t xml:space="preserve"> to administrative staff in the 2009 tax year. It was</w:t>
      </w:r>
      <w:r w:rsidR="00D2397E">
        <w:rPr>
          <w:rFonts w:ascii="Times New Roman" w:hAnsi="Times New Roman" w:cs="Times New Roman"/>
          <w:sz w:val="24"/>
          <w:szCs w:val="24"/>
        </w:rPr>
        <w:t xml:space="preserve"> further common ground that when</w:t>
      </w:r>
      <w:r w:rsidRPr="004E3401">
        <w:rPr>
          <w:rFonts w:ascii="Times New Roman" w:hAnsi="Times New Roman" w:cs="Times New Roman"/>
          <w:sz w:val="24"/>
          <w:szCs w:val="24"/>
        </w:rPr>
        <w:t xml:space="preserve"> the additional assessments </w:t>
      </w:r>
      <w:r w:rsidR="00D2397E">
        <w:rPr>
          <w:rFonts w:ascii="Times New Roman" w:hAnsi="Times New Roman" w:cs="Times New Roman"/>
          <w:sz w:val="24"/>
          <w:szCs w:val="24"/>
        </w:rPr>
        <w:t>were raised on 4</w:t>
      </w:r>
      <w:r w:rsidRPr="004E3401">
        <w:rPr>
          <w:rFonts w:ascii="Times New Roman" w:hAnsi="Times New Roman" w:cs="Times New Roman"/>
          <w:sz w:val="24"/>
          <w:szCs w:val="24"/>
        </w:rPr>
        <w:t xml:space="preserve"> November </w:t>
      </w:r>
      <w:r w:rsidR="008538A9" w:rsidRPr="004E3401">
        <w:rPr>
          <w:rFonts w:ascii="Times New Roman" w:hAnsi="Times New Roman" w:cs="Times New Roman"/>
          <w:sz w:val="24"/>
          <w:szCs w:val="24"/>
        </w:rPr>
        <w:t>2016, and</w:t>
      </w:r>
      <w:r w:rsidRPr="004E3401">
        <w:rPr>
          <w:rFonts w:ascii="Times New Roman" w:hAnsi="Times New Roman" w:cs="Times New Roman"/>
          <w:sz w:val="24"/>
          <w:szCs w:val="24"/>
        </w:rPr>
        <w:t xml:space="preserve"> 12 December 2016</w:t>
      </w:r>
      <w:r w:rsidR="00D2397E">
        <w:rPr>
          <w:rFonts w:ascii="Times New Roman" w:hAnsi="Times New Roman" w:cs="Times New Roman"/>
          <w:sz w:val="24"/>
          <w:szCs w:val="24"/>
        </w:rPr>
        <w:t>,</w:t>
      </w:r>
      <w:r w:rsidRPr="004E3401">
        <w:rPr>
          <w:rFonts w:ascii="Times New Roman" w:hAnsi="Times New Roman" w:cs="Times New Roman"/>
          <w:sz w:val="24"/>
          <w:szCs w:val="24"/>
        </w:rPr>
        <w:t xml:space="preserve"> more than 6 years had elapsed from the time t</w:t>
      </w:r>
      <w:r w:rsidR="0071451D" w:rsidRPr="004E3401">
        <w:rPr>
          <w:rFonts w:ascii="Times New Roman" w:hAnsi="Times New Roman" w:cs="Times New Roman"/>
          <w:sz w:val="24"/>
          <w:szCs w:val="24"/>
        </w:rPr>
        <w:t>he 2009 tax returns were submitted to the respondent. In terms of proviso (ii) of s 47 (1) of the Income Tax Act, any return that is at least  6 years old prescribes unless its p</w:t>
      </w:r>
      <w:r w:rsidR="008538A9">
        <w:rPr>
          <w:rFonts w:ascii="Times New Roman" w:hAnsi="Times New Roman" w:cs="Times New Roman"/>
          <w:sz w:val="24"/>
          <w:szCs w:val="24"/>
        </w:rPr>
        <w:t xml:space="preserve">resentation was actuated by fraud, </w:t>
      </w:r>
      <w:r w:rsidR="0071451D" w:rsidRPr="004E3401">
        <w:rPr>
          <w:rFonts w:ascii="Times New Roman" w:hAnsi="Times New Roman" w:cs="Times New Roman"/>
          <w:sz w:val="24"/>
          <w:szCs w:val="24"/>
        </w:rPr>
        <w:t>misrepresentation or wilful non-disclosure</w:t>
      </w:r>
      <w:r w:rsidR="002C62DF" w:rsidRPr="004E3401">
        <w:rPr>
          <w:rFonts w:ascii="Times New Roman" w:hAnsi="Times New Roman" w:cs="Times New Roman"/>
          <w:sz w:val="24"/>
          <w:szCs w:val="24"/>
        </w:rPr>
        <w:t xml:space="preserve"> of facts</w:t>
      </w:r>
      <w:r w:rsidR="0071451D" w:rsidRPr="004E3401">
        <w:rPr>
          <w:rFonts w:ascii="Times New Roman" w:hAnsi="Times New Roman" w:cs="Times New Roman"/>
          <w:sz w:val="24"/>
          <w:szCs w:val="24"/>
        </w:rPr>
        <w:t>.</w:t>
      </w:r>
      <w:r w:rsidR="00693C4C" w:rsidRPr="004E3401">
        <w:rPr>
          <w:rFonts w:ascii="Times New Roman" w:hAnsi="Times New Roman" w:cs="Times New Roman"/>
          <w:sz w:val="24"/>
          <w:szCs w:val="24"/>
        </w:rPr>
        <w:t xml:space="preserve"> The respondent inferred misrepresentation from the fact that the appellant employed highly qualified and sk</w:t>
      </w:r>
      <w:r w:rsidR="00D2397E">
        <w:rPr>
          <w:rFonts w:ascii="Times New Roman" w:hAnsi="Times New Roman" w:cs="Times New Roman"/>
          <w:sz w:val="24"/>
          <w:szCs w:val="24"/>
        </w:rPr>
        <w:t xml:space="preserve">illed employees and </w:t>
      </w:r>
      <w:r w:rsidR="00693C4C" w:rsidRPr="004E3401">
        <w:rPr>
          <w:rFonts w:ascii="Times New Roman" w:hAnsi="Times New Roman" w:cs="Times New Roman"/>
          <w:sz w:val="24"/>
          <w:szCs w:val="24"/>
        </w:rPr>
        <w:t>tax consultants who must have known that the appellant was precluded from claiming the identified leave pay provisions and canteen expense incurred on behalf of administrative staff but nonetheless claimed them</w:t>
      </w:r>
      <w:r w:rsidR="00512529" w:rsidRPr="004E3401">
        <w:rPr>
          <w:rFonts w:ascii="Times New Roman" w:hAnsi="Times New Roman" w:cs="Times New Roman"/>
          <w:sz w:val="24"/>
          <w:szCs w:val="24"/>
        </w:rPr>
        <w:t xml:space="preserve"> with reckless disregard</w:t>
      </w:r>
      <w:r w:rsidR="00693C4C" w:rsidRPr="004E3401">
        <w:rPr>
          <w:rFonts w:ascii="Times New Roman" w:hAnsi="Times New Roman" w:cs="Times New Roman"/>
          <w:sz w:val="24"/>
          <w:szCs w:val="24"/>
        </w:rPr>
        <w:t xml:space="preserve">. The respondent founded misrepresentation </w:t>
      </w:r>
      <w:r w:rsidR="002C62DF" w:rsidRPr="004E3401">
        <w:rPr>
          <w:rFonts w:ascii="Times New Roman" w:hAnsi="Times New Roman" w:cs="Times New Roman"/>
          <w:sz w:val="24"/>
          <w:szCs w:val="24"/>
        </w:rPr>
        <w:t>on legal rather than actual intention.</w:t>
      </w:r>
      <w:r w:rsidR="00693C4C" w:rsidRPr="004E3401">
        <w:rPr>
          <w:rFonts w:ascii="Times New Roman" w:hAnsi="Times New Roman" w:cs="Times New Roman"/>
          <w:sz w:val="24"/>
          <w:szCs w:val="24"/>
        </w:rPr>
        <w:t xml:space="preserve"> </w:t>
      </w:r>
      <w:r w:rsidR="00C61444" w:rsidRPr="004E3401">
        <w:rPr>
          <w:rFonts w:ascii="Times New Roman" w:hAnsi="Times New Roman" w:cs="Times New Roman"/>
          <w:sz w:val="24"/>
          <w:szCs w:val="24"/>
        </w:rPr>
        <w:t>The non-deductibility of these amounts was obvious to anyone with a working knowledge of income tax matters</w:t>
      </w:r>
      <w:r w:rsidR="00C461D2" w:rsidRPr="004E3401">
        <w:rPr>
          <w:rFonts w:ascii="Times New Roman" w:hAnsi="Times New Roman" w:cs="Times New Roman"/>
          <w:sz w:val="24"/>
          <w:szCs w:val="24"/>
        </w:rPr>
        <w:t xml:space="preserve">. There were no difficult questions of law that were involved. In fact, the </w:t>
      </w:r>
      <w:r w:rsidR="00DB3340" w:rsidRPr="004E3401">
        <w:rPr>
          <w:rFonts w:ascii="Times New Roman" w:hAnsi="Times New Roman" w:cs="Times New Roman"/>
          <w:sz w:val="24"/>
          <w:szCs w:val="24"/>
        </w:rPr>
        <w:t>readiness with which the appellant admitted the</w:t>
      </w:r>
      <w:r w:rsidR="00C461D2" w:rsidRPr="004E3401">
        <w:rPr>
          <w:rFonts w:ascii="Times New Roman" w:hAnsi="Times New Roman" w:cs="Times New Roman"/>
          <w:sz w:val="24"/>
          <w:szCs w:val="24"/>
        </w:rPr>
        <w:t xml:space="preserve"> error of its ways in respect of these deductions during</w:t>
      </w:r>
      <w:r w:rsidR="00DB3340" w:rsidRPr="004E3401">
        <w:rPr>
          <w:rFonts w:ascii="Times New Roman" w:hAnsi="Times New Roman" w:cs="Times New Roman"/>
          <w:sz w:val="24"/>
          <w:szCs w:val="24"/>
        </w:rPr>
        <w:t xml:space="preserve"> the investigations confirm</w:t>
      </w:r>
      <w:r w:rsidR="00C461D2" w:rsidRPr="004E3401">
        <w:rPr>
          <w:rFonts w:ascii="Times New Roman" w:hAnsi="Times New Roman" w:cs="Times New Roman"/>
          <w:sz w:val="24"/>
          <w:szCs w:val="24"/>
        </w:rPr>
        <w:t>ed</w:t>
      </w:r>
      <w:r w:rsidR="00DB3340" w:rsidRPr="004E3401">
        <w:rPr>
          <w:rFonts w:ascii="Times New Roman" w:hAnsi="Times New Roman" w:cs="Times New Roman"/>
          <w:sz w:val="24"/>
          <w:szCs w:val="24"/>
        </w:rPr>
        <w:t xml:space="preserve"> that </w:t>
      </w:r>
      <w:r w:rsidR="00423E6B" w:rsidRPr="004E3401">
        <w:rPr>
          <w:rFonts w:ascii="Times New Roman" w:hAnsi="Times New Roman" w:cs="Times New Roman"/>
          <w:sz w:val="24"/>
          <w:szCs w:val="24"/>
        </w:rPr>
        <w:t>its of</w:t>
      </w:r>
      <w:r w:rsidR="00C461D2" w:rsidRPr="004E3401">
        <w:rPr>
          <w:rFonts w:ascii="Times New Roman" w:hAnsi="Times New Roman" w:cs="Times New Roman"/>
          <w:sz w:val="24"/>
          <w:szCs w:val="24"/>
        </w:rPr>
        <w:t xml:space="preserve">ficials </w:t>
      </w:r>
      <w:r w:rsidR="00423E6B" w:rsidRPr="004E3401">
        <w:rPr>
          <w:rFonts w:ascii="Times New Roman" w:hAnsi="Times New Roman" w:cs="Times New Roman"/>
          <w:sz w:val="24"/>
          <w:szCs w:val="24"/>
        </w:rPr>
        <w:t xml:space="preserve">acted with reckless disregard </w:t>
      </w:r>
      <w:r w:rsidR="00C461D2" w:rsidRPr="004E3401">
        <w:rPr>
          <w:rFonts w:ascii="Times New Roman" w:hAnsi="Times New Roman" w:cs="Times New Roman"/>
          <w:sz w:val="24"/>
          <w:szCs w:val="24"/>
        </w:rPr>
        <w:t xml:space="preserve">in claiming these non-deductible amounts. The </w:t>
      </w:r>
      <w:r w:rsidR="00C461D2" w:rsidRPr="004E3401">
        <w:rPr>
          <w:rFonts w:ascii="Times New Roman" w:hAnsi="Times New Roman" w:cs="Times New Roman"/>
          <w:sz w:val="24"/>
          <w:szCs w:val="24"/>
        </w:rPr>
        <w:lastRenderedPageBreak/>
        <w:t>Commissioner had every reason to be satisfied that the conduct of the appellant amounted to a mis</w:t>
      </w:r>
      <w:r w:rsidR="00D2397E">
        <w:rPr>
          <w:rFonts w:ascii="Times New Roman" w:hAnsi="Times New Roman" w:cs="Times New Roman"/>
          <w:sz w:val="24"/>
          <w:szCs w:val="24"/>
        </w:rPr>
        <w:t>representation of the true position</w:t>
      </w:r>
      <w:r w:rsidR="00C461D2" w:rsidRPr="004E3401">
        <w:rPr>
          <w:rFonts w:ascii="Times New Roman" w:hAnsi="Times New Roman" w:cs="Times New Roman"/>
          <w:sz w:val="24"/>
          <w:szCs w:val="24"/>
        </w:rPr>
        <w:t>.</w:t>
      </w:r>
    </w:p>
    <w:p w:rsidR="00C461D2" w:rsidRPr="004E3401" w:rsidRDefault="007169E9" w:rsidP="002E286B">
      <w:pPr>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I </w:t>
      </w:r>
      <w:r w:rsidR="00423416" w:rsidRPr="004E3401">
        <w:rPr>
          <w:rFonts w:ascii="Times New Roman" w:hAnsi="Times New Roman" w:cs="Times New Roman"/>
          <w:sz w:val="24"/>
          <w:szCs w:val="24"/>
        </w:rPr>
        <w:t xml:space="preserve">also had occasion to construe the meaning of </w:t>
      </w:r>
      <w:r w:rsidR="00D83D81" w:rsidRPr="004E3401">
        <w:rPr>
          <w:rFonts w:ascii="Times New Roman" w:hAnsi="Times New Roman" w:cs="Times New Roman"/>
          <w:sz w:val="24"/>
          <w:szCs w:val="24"/>
        </w:rPr>
        <w:t>“</w:t>
      </w:r>
      <w:r w:rsidR="00423416" w:rsidRPr="004E3401">
        <w:rPr>
          <w:rFonts w:ascii="Times New Roman" w:hAnsi="Times New Roman" w:cs="Times New Roman"/>
          <w:sz w:val="24"/>
          <w:szCs w:val="24"/>
        </w:rPr>
        <w:t>misrepresentation</w:t>
      </w:r>
      <w:r w:rsidR="00D83D81" w:rsidRPr="004E3401">
        <w:rPr>
          <w:rFonts w:ascii="Times New Roman" w:hAnsi="Times New Roman" w:cs="Times New Roman"/>
          <w:sz w:val="24"/>
          <w:szCs w:val="24"/>
        </w:rPr>
        <w:t>”</w:t>
      </w:r>
      <w:r w:rsidR="00423416" w:rsidRPr="004E3401">
        <w:rPr>
          <w:rFonts w:ascii="Times New Roman" w:hAnsi="Times New Roman" w:cs="Times New Roman"/>
          <w:sz w:val="24"/>
          <w:szCs w:val="24"/>
        </w:rPr>
        <w:t xml:space="preserve"> in </w:t>
      </w:r>
      <w:r w:rsidR="00D83D81" w:rsidRPr="004E3401">
        <w:rPr>
          <w:rFonts w:ascii="Times New Roman" w:hAnsi="Times New Roman" w:cs="Times New Roman"/>
          <w:i/>
          <w:sz w:val="24"/>
          <w:szCs w:val="24"/>
        </w:rPr>
        <w:t xml:space="preserve">DEB (Pvt) Ltd </w:t>
      </w:r>
      <w:r w:rsidR="00D83D81" w:rsidRPr="002E286B">
        <w:rPr>
          <w:rFonts w:ascii="Times New Roman" w:hAnsi="Times New Roman" w:cs="Times New Roman"/>
          <w:sz w:val="24"/>
          <w:szCs w:val="24"/>
        </w:rPr>
        <w:t xml:space="preserve">v </w:t>
      </w:r>
      <w:r w:rsidR="00D83D81" w:rsidRPr="004E3401">
        <w:rPr>
          <w:rFonts w:ascii="Times New Roman" w:hAnsi="Times New Roman" w:cs="Times New Roman"/>
          <w:i/>
          <w:sz w:val="24"/>
          <w:szCs w:val="24"/>
        </w:rPr>
        <w:t xml:space="preserve">Zimra </w:t>
      </w:r>
      <w:r w:rsidR="00D83D81" w:rsidRPr="004E3401">
        <w:rPr>
          <w:rFonts w:ascii="Times New Roman" w:hAnsi="Times New Roman" w:cs="Times New Roman"/>
          <w:sz w:val="24"/>
          <w:szCs w:val="24"/>
        </w:rPr>
        <w:t>HH 664/2019 at p 12</w:t>
      </w:r>
      <w:r w:rsidR="00D83D81" w:rsidRPr="004E3401">
        <w:rPr>
          <w:rFonts w:ascii="Times New Roman" w:hAnsi="Times New Roman" w:cs="Times New Roman"/>
          <w:i/>
          <w:sz w:val="24"/>
          <w:szCs w:val="24"/>
        </w:rPr>
        <w:t xml:space="preserve"> and MAN Ltd </w:t>
      </w:r>
      <w:r w:rsidR="00D83D81" w:rsidRPr="002E286B">
        <w:rPr>
          <w:rFonts w:ascii="Times New Roman" w:hAnsi="Times New Roman" w:cs="Times New Roman"/>
          <w:sz w:val="24"/>
          <w:szCs w:val="24"/>
        </w:rPr>
        <w:t xml:space="preserve">v </w:t>
      </w:r>
      <w:r w:rsidR="00D83D81" w:rsidRPr="004E3401">
        <w:rPr>
          <w:rFonts w:ascii="Times New Roman" w:hAnsi="Times New Roman" w:cs="Times New Roman"/>
          <w:i/>
          <w:sz w:val="24"/>
          <w:szCs w:val="24"/>
        </w:rPr>
        <w:t xml:space="preserve">Zimra </w:t>
      </w:r>
      <w:r w:rsidR="00D83D81" w:rsidRPr="004E3401">
        <w:rPr>
          <w:rFonts w:ascii="Times New Roman" w:hAnsi="Times New Roman" w:cs="Times New Roman"/>
          <w:sz w:val="24"/>
          <w:szCs w:val="24"/>
        </w:rPr>
        <w:t xml:space="preserve">HH 78/2010 at p 7.  I accorded a wider meaning to the word, which was unaffected </w:t>
      </w:r>
      <w:r w:rsidR="006B5176">
        <w:rPr>
          <w:rFonts w:ascii="Times New Roman" w:hAnsi="Times New Roman" w:cs="Times New Roman"/>
          <w:sz w:val="24"/>
          <w:szCs w:val="24"/>
        </w:rPr>
        <w:t>by the state of mind of the tax</w:t>
      </w:r>
      <w:r w:rsidR="00D83D81" w:rsidRPr="004E3401">
        <w:rPr>
          <w:rFonts w:ascii="Times New Roman" w:hAnsi="Times New Roman" w:cs="Times New Roman"/>
          <w:sz w:val="24"/>
          <w:szCs w:val="24"/>
        </w:rPr>
        <w:t>payer.</w:t>
      </w:r>
      <w:r w:rsidR="009F38C3">
        <w:rPr>
          <w:rFonts w:ascii="Times New Roman" w:hAnsi="Times New Roman" w:cs="Times New Roman"/>
          <w:sz w:val="24"/>
          <w:szCs w:val="24"/>
        </w:rPr>
        <w:t xml:space="preserve"> The essence of my finding was</w:t>
      </w:r>
      <w:r w:rsidR="00D83D81" w:rsidRPr="004E3401">
        <w:rPr>
          <w:rFonts w:ascii="Times New Roman" w:hAnsi="Times New Roman" w:cs="Times New Roman"/>
          <w:sz w:val="24"/>
          <w:szCs w:val="24"/>
        </w:rPr>
        <w:t xml:space="preserve"> that </w:t>
      </w:r>
      <w:r w:rsidRPr="004E3401">
        <w:rPr>
          <w:rFonts w:ascii="Times New Roman" w:hAnsi="Times New Roman" w:cs="Times New Roman"/>
          <w:sz w:val="24"/>
          <w:szCs w:val="24"/>
        </w:rPr>
        <w:t xml:space="preserve">the making of any incorrect statement, which was prejudicial to the fiscus, constituted the “misrepresentation” contemplated by proviso (ii) to s 47 (1) of the Income Tax Act.  </w:t>
      </w:r>
      <w:r w:rsidR="00F56A7F">
        <w:rPr>
          <w:rFonts w:ascii="Times New Roman" w:hAnsi="Times New Roman" w:cs="Times New Roman"/>
          <w:sz w:val="24"/>
          <w:szCs w:val="24"/>
        </w:rPr>
        <w:t>That</w:t>
      </w:r>
      <w:r w:rsidR="009F38C3">
        <w:rPr>
          <w:rFonts w:ascii="Times New Roman" w:hAnsi="Times New Roman" w:cs="Times New Roman"/>
          <w:sz w:val="24"/>
          <w:szCs w:val="24"/>
        </w:rPr>
        <w:t xml:space="preserve"> finding</w:t>
      </w:r>
      <w:r w:rsidR="00F56A7F">
        <w:rPr>
          <w:rFonts w:ascii="Times New Roman" w:hAnsi="Times New Roman" w:cs="Times New Roman"/>
          <w:sz w:val="24"/>
          <w:szCs w:val="24"/>
        </w:rPr>
        <w:t>, which I still maintain,</w:t>
      </w:r>
      <w:r w:rsidR="009F38C3">
        <w:rPr>
          <w:rFonts w:ascii="Times New Roman" w:hAnsi="Times New Roman" w:cs="Times New Roman"/>
          <w:sz w:val="24"/>
          <w:szCs w:val="24"/>
        </w:rPr>
        <w:t xml:space="preserve"> accords with the submissions made on the point by Mr </w:t>
      </w:r>
      <w:r w:rsidR="009F38C3" w:rsidRPr="00EA45B2">
        <w:rPr>
          <w:rFonts w:ascii="Times New Roman" w:hAnsi="Times New Roman" w:cs="Times New Roman"/>
          <w:i/>
          <w:sz w:val="24"/>
          <w:szCs w:val="24"/>
        </w:rPr>
        <w:t>Bhebhe</w:t>
      </w:r>
      <w:r w:rsidR="009F38C3">
        <w:rPr>
          <w:rFonts w:ascii="Times New Roman" w:hAnsi="Times New Roman" w:cs="Times New Roman"/>
          <w:sz w:val="24"/>
          <w:szCs w:val="24"/>
        </w:rPr>
        <w:t xml:space="preserve"> and is contrary to </w:t>
      </w:r>
      <w:r w:rsidR="000971E1">
        <w:rPr>
          <w:rFonts w:ascii="Times New Roman" w:hAnsi="Times New Roman" w:cs="Times New Roman"/>
          <w:sz w:val="24"/>
          <w:szCs w:val="24"/>
        </w:rPr>
        <w:t xml:space="preserve">all </w:t>
      </w:r>
      <w:r w:rsidR="009F38C3">
        <w:rPr>
          <w:rFonts w:ascii="Times New Roman" w:hAnsi="Times New Roman" w:cs="Times New Roman"/>
          <w:sz w:val="24"/>
          <w:szCs w:val="24"/>
        </w:rPr>
        <w:t xml:space="preserve">the submissions made by Mr </w:t>
      </w:r>
      <w:r w:rsidR="009F38C3" w:rsidRPr="00EA45B2">
        <w:rPr>
          <w:rFonts w:ascii="Times New Roman" w:hAnsi="Times New Roman" w:cs="Times New Roman"/>
          <w:i/>
          <w:sz w:val="24"/>
          <w:szCs w:val="24"/>
        </w:rPr>
        <w:t>Tivadar</w:t>
      </w:r>
      <w:r w:rsidR="009F38C3">
        <w:rPr>
          <w:rFonts w:ascii="Times New Roman" w:hAnsi="Times New Roman" w:cs="Times New Roman"/>
          <w:sz w:val="24"/>
          <w:szCs w:val="24"/>
        </w:rPr>
        <w:t xml:space="preserve">. </w:t>
      </w:r>
      <w:r w:rsidR="009F38C3" w:rsidRPr="004E3401">
        <w:rPr>
          <w:rFonts w:ascii="Times New Roman" w:hAnsi="Times New Roman" w:cs="Times New Roman"/>
          <w:sz w:val="24"/>
          <w:szCs w:val="24"/>
        </w:rPr>
        <w:t>In</w:t>
      </w:r>
      <w:r w:rsidRPr="004E3401">
        <w:rPr>
          <w:rFonts w:ascii="Times New Roman" w:hAnsi="Times New Roman" w:cs="Times New Roman"/>
          <w:sz w:val="24"/>
          <w:szCs w:val="24"/>
        </w:rPr>
        <w:t xml:space="preserve"> my view, the incorrect deductions made by the appellant with respect to provisions for leave pay and canteen expenses for administrative constituted incorrect statements which effectively prejudiced the fiscus. </w:t>
      </w:r>
      <w:r w:rsidR="00C24E07">
        <w:rPr>
          <w:rFonts w:ascii="Times New Roman" w:hAnsi="Times New Roman" w:cs="Times New Roman"/>
          <w:sz w:val="24"/>
          <w:szCs w:val="24"/>
        </w:rPr>
        <w:t xml:space="preserve"> </w:t>
      </w:r>
    </w:p>
    <w:p w:rsidR="007169E9" w:rsidRPr="004E3401" w:rsidRDefault="007169E9" w:rsidP="002E286B">
      <w:pPr>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I, therefore, find that the Commissioner correctly re-opened the 2009 tax assessments by reason of the misrepresentation made by the </w:t>
      </w:r>
      <w:r w:rsidR="009F38C3">
        <w:rPr>
          <w:rFonts w:ascii="Times New Roman" w:hAnsi="Times New Roman" w:cs="Times New Roman"/>
          <w:sz w:val="24"/>
          <w:szCs w:val="24"/>
        </w:rPr>
        <w:t xml:space="preserve">appellant in the tax returns </w:t>
      </w:r>
      <w:r w:rsidRPr="004E3401">
        <w:rPr>
          <w:rFonts w:ascii="Times New Roman" w:hAnsi="Times New Roman" w:cs="Times New Roman"/>
          <w:sz w:val="24"/>
          <w:szCs w:val="24"/>
        </w:rPr>
        <w:t>made in that year.</w:t>
      </w:r>
    </w:p>
    <w:p w:rsidR="00692D6F" w:rsidRPr="004E3401" w:rsidRDefault="00692D6F" w:rsidP="002E286B">
      <w:pPr>
        <w:spacing w:after="0" w:line="240" w:lineRule="auto"/>
        <w:jc w:val="both"/>
        <w:rPr>
          <w:rFonts w:ascii="Times New Roman" w:hAnsi="Times New Roman" w:cs="Times New Roman"/>
          <w:i/>
          <w:sz w:val="24"/>
          <w:szCs w:val="24"/>
        </w:rPr>
      </w:pPr>
      <w:r w:rsidRPr="004E3401">
        <w:rPr>
          <w:rFonts w:ascii="Times New Roman" w:hAnsi="Times New Roman" w:cs="Times New Roman"/>
          <w:i/>
          <w:sz w:val="24"/>
          <w:szCs w:val="24"/>
        </w:rPr>
        <w:t xml:space="preserve">Whether prepaid expenses of a revenue nature are deductible in the tax year in </w:t>
      </w:r>
      <w:r w:rsidR="006B5176">
        <w:rPr>
          <w:rFonts w:ascii="Times New Roman" w:hAnsi="Times New Roman" w:cs="Times New Roman"/>
          <w:i/>
          <w:sz w:val="24"/>
          <w:szCs w:val="24"/>
        </w:rPr>
        <w:t>which they are incurred?</w:t>
      </w:r>
      <w:r w:rsidRPr="004E3401">
        <w:rPr>
          <w:rFonts w:ascii="Times New Roman" w:hAnsi="Times New Roman" w:cs="Times New Roman"/>
          <w:i/>
          <w:sz w:val="24"/>
          <w:szCs w:val="24"/>
        </w:rPr>
        <w:t xml:space="preserve"> </w:t>
      </w:r>
    </w:p>
    <w:p w:rsidR="00F00C93" w:rsidRPr="004E3401" w:rsidRDefault="00976C19" w:rsidP="002E286B">
      <w:pPr>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It was commo</w:t>
      </w:r>
      <w:r w:rsidR="002809A0">
        <w:rPr>
          <w:rFonts w:ascii="Times New Roman" w:hAnsi="Times New Roman" w:cs="Times New Roman"/>
          <w:sz w:val="24"/>
          <w:szCs w:val="24"/>
        </w:rPr>
        <w:t>n ground that</w:t>
      </w:r>
      <w:r w:rsidR="00C31907" w:rsidRPr="004E3401">
        <w:rPr>
          <w:rFonts w:ascii="Times New Roman" w:hAnsi="Times New Roman" w:cs="Times New Roman"/>
          <w:sz w:val="24"/>
          <w:szCs w:val="24"/>
        </w:rPr>
        <w:t xml:space="preserve"> this issue was not raised in the notice of objection. H</w:t>
      </w:r>
      <w:r w:rsidR="00CF6061" w:rsidRPr="004E3401">
        <w:rPr>
          <w:rFonts w:ascii="Times New Roman" w:hAnsi="Times New Roman" w:cs="Times New Roman"/>
          <w:sz w:val="24"/>
          <w:szCs w:val="24"/>
        </w:rPr>
        <w:t>owever, by letter of 1 March 201</w:t>
      </w:r>
      <w:r w:rsidR="00C31907" w:rsidRPr="004E3401">
        <w:rPr>
          <w:rFonts w:ascii="Times New Roman" w:hAnsi="Times New Roman" w:cs="Times New Roman"/>
          <w:sz w:val="24"/>
          <w:szCs w:val="24"/>
        </w:rPr>
        <w:t xml:space="preserve">8, the appellant sought the respondent’s consent to have the ground of appeal determined on appeal. </w:t>
      </w:r>
      <w:r w:rsidR="00AD0BED" w:rsidRPr="004E3401">
        <w:rPr>
          <w:rFonts w:ascii="Times New Roman" w:hAnsi="Times New Roman" w:cs="Times New Roman"/>
          <w:sz w:val="24"/>
          <w:szCs w:val="24"/>
        </w:rPr>
        <w:t>It does not appear from the record t</w:t>
      </w:r>
      <w:r w:rsidR="00237B82">
        <w:rPr>
          <w:rFonts w:ascii="Times New Roman" w:hAnsi="Times New Roman" w:cs="Times New Roman"/>
          <w:sz w:val="24"/>
          <w:szCs w:val="24"/>
        </w:rPr>
        <w:t>hat the consent sought was granted</w:t>
      </w:r>
      <w:r w:rsidR="00AD0BED" w:rsidRPr="004E3401">
        <w:rPr>
          <w:rFonts w:ascii="Times New Roman" w:hAnsi="Times New Roman" w:cs="Times New Roman"/>
          <w:sz w:val="24"/>
          <w:szCs w:val="24"/>
        </w:rPr>
        <w:t xml:space="preserve"> as in the written heads the a</w:t>
      </w:r>
      <w:r w:rsidR="00237B82">
        <w:rPr>
          <w:rFonts w:ascii="Times New Roman" w:hAnsi="Times New Roman" w:cs="Times New Roman"/>
          <w:sz w:val="24"/>
          <w:szCs w:val="24"/>
        </w:rPr>
        <w:t>ppellant sought the leave of C</w:t>
      </w:r>
      <w:r w:rsidR="00AD0BED" w:rsidRPr="004E3401">
        <w:rPr>
          <w:rFonts w:ascii="Times New Roman" w:hAnsi="Times New Roman" w:cs="Times New Roman"/>
          <w:sz w:val="24"/>
          <w:szCs w:val="24"/>
        </w:rPr>
        <w:t xml:space="preserve">ourt to raise the issue on appeal. </w:t>
      </w:r>
      <w:r w:rsidR="00F818F1" w:rsidRPr="004E3401">
        <w:rPr>
          <w:rFonts w:ascii="Times New Roman" w:hAnsi="Times New Roman" w:cs="Times New Roman"/>
          <w:sz w:val="24"/>
          <w:szCs w:val="24"/>
        </w:rPr>
        <w:t>However, at the commencement of t</w:t>
      </w:r>
      <w:r w:rsidR="00237B82">
        <w:rPr>
          <w:rFonts w:ascii="Times New Roman" w:hAnsi="Times New Roman" w:cs="Times New Roman"/>
          <w:sz w:val="24"/>
          <w:szCs w:val="24"/>
        </w:rPr>
        <w:t>he appeal hearing, the respondent</w:t>
      </w:r>
      <w:r w:rsidR="00F818F1" w:rsidRPr="004E3401">
        <w:rPr>
          <w:rFonts w:ascii="Times New Roman" w:hAnsi="Times New Roman" w:cs="Times New Roman"/>
          <w:sz w:val="24"/>
          <w:szCs w:val="24"/>
        </w:rPr>
        <w:t xml:space="preserve"> gave consent for the matter to be ventilated in this appeal. </w:t>
      </w:r>
      <w:r w:rsidR="00F00C93" w:rsidRPr="004E3401">
        <w:rPr>
          <w:rFonts w:ascii="Times New Roman" w:hAnsi="Times New Roman" w:cs="Times New Roman"/>
          <w:sz w:val="24"/>
          <w:szCs w:val="24"/>
        </w:rPr>
        <w:t xml:space="preserve">It was common cause that in each subsisting tax year of assessment, the appellant made payments for expenses that would arise in subsequent tax years. It then </w:t>
      </w:r>
      <w:r w:rsidR="00E75F4B">
        <w:rPr>
          <w:rFonts w:ascii="Times New Roman" w:hAnsi="Times New Roman" w:cs="Times New Roman"/>
          <w:sz w:val="24"/>
          <w:szCs w:val="24"/>
        </w:rPr>
        <w:t xml:space="preserve">deducted them in the </w:t>
      </w:r>
      <w:r w:rsidR="00F00C93" w:rsidRPr="004E3401">
        <w:rPr>
          <w:rFonts w:ascii="Times New Roman" w:hAnsi="Times New Roman" w:cs="Times New Roman"/>
          <w:sz w:val="24"/>
          <w:szCs w:val="24"/>
        </w:rPr>
        <w:t xml:space="preserve">tax year of payment. The respondent disallowed the deductions and added them back </w:t>
      </w:r>
      <w:r w:rsidR="00E75F4B">
        <w:rPr>
          <w:rFonts w:ascii="Times New Roman" w:hAnsi="Times New Roman" w:cs="Times New Roman"/>
          <w:sz w:val="24"/>
          <w:szCs w:val="24"/>
        </w:rPr>
        <w:t>to the income for the current</w:t>
      </w:r>
      <w:r w:rsidR="00F00C93" w:rsidRPr="004E3401">
        <w:rPr>
          <w:rFonts w:ascii="Times New Roman" w:hAnsi="Times New Roman" w:cs="Times New Roman"/>
          <w:sz w:val="24"/>
          <w:szCs w:val="24"/>
        </w:rPr>
        <w:t xml:space="preserve"> tax year.</w:t>
      </w:r>
      <w:r w:rsidR="00736253" w:rsidRPr="004E3401">
        <w:rPr>
          <w:rFonts w:ascii="Times New Roman" w:hAnsi="Times New Roman" w:cs="Times New Roman"/>
          <w:sz w:val="24"/>
          <w:szCs w:val="24"/>
        </w:rPr>
        <w:t xml:space="preserve"> He also deducted prior year prepayments from the current year income. </w:t>
      </w:r>
      <w:r w:rsidR="00C31907" w:rsidRPr="004E3401">
        <w:rPr>
          <w:rFonts w:ascii="Times New Roman" w:hAnsi="Times New Roman" w:cs="Times New Roman"/>
          <w:sz w:val="24"/>
          <w:szCs w:val="24"/>
        </w:rPr>
        <w:t xml:space="preserve"> </w:t>
      </w:r>
    </w:p>
    <w:p w:rsidR="00472EA2" w:rsidRDefault="00284D5C" w:rsidP="00A646A1">
      <w:pPr>
        <w:spacing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Mr </w:t>
      </w:r>
      <w:r w:rsidR="00E75F4B">
        <w:rPr>
          <w:rFonts w:ascii="Times New Roman" w:hAnsi="Times New Roman" w:cs="Times New Roman"/>
          <w:i/>
          <w:sz w:val="24"/>
          <w:szCs w:val="24"/>
        </w:rPr>
        <w:t>Bhebhe</w:t>
      </w:r>
      <w:r w:rsidRPr="004E3401">
        <w:rPr>
          <w:rFonts w:ascii="Times New Roman" w:hAnsi="Times New Roman" w:cs="Times New Roman"/>
          <w:sz w:val="24"/>
          <w:szCs w:val="24"/>
        </w:rPr>
        <w:t xml:space="preserve"> sought to justify the treatment accorded to prepayments by the Commissioner on the matching principle. I had occasion to address </w:t>
      </w:r>
      <w:r w:rsidR="00E75F4B">
        <w:rPr>
          <w:rFonts w:ascii="Times New Roman" w:hAnsi="Times New Roman" w:cs="Times New Roman"/>
          <w:sz w:val="24"/>
          <w:szCs w:val="24"/>
        </w:rPr>
        <w:t>the subject in</w:t>
      </w:r>
      <w:r w:rsidR="00EB2170" w:rsidRPr="004E3401">
        <w:rPr>
          <w:rFonts w:ascii="Times New Roman" w:hAnsi="Times New Roman" w:cs="Times New Roman"/>
          <w:sz w:val="24"/>
          <w:szCs w:val="24"/>
        </w:rPr>
        <w:t xml:space="preserve"> </w:t>
      </w:r>
      <w:r w:rsidR="00EB2170" w:rsidRPr="00E75F4B">
        <w:rPr>
          <w:rFonts w:ascii="Times New Roman" w:hAnsi="Times New Roman" w:cs="Times New Roman"/>
          <w:i/>
          <w:sz w:val="24"/>
          <w:szCs w:val="24"/>
        </w:rPr>
        <w:t>DEB (Pvt) Ltd</w:t>
      </w:r>
      <w:r w:rsidR="00EB2170" w:rsidRPr="004E3401">
        <w:rPr>
          <w:rFonts w:ascii="Times New Roman" w:hAnsi="Times New Roman" w:cs="Times New Roman"/>
          <w:sz w:val="24"/>
          <w:szCs w:val="24"/>
        </w:rPr>
        <w:t xml:space="preserve">, </w:t>
      </w:r>
      <w:r w:rsidR="00EB2170" w:rsidRPr="00E75F4B">
        <w:rPr>
          <w:rFonts w:ascii="Times New Roman" w:hAnsi="Times New Roman" w:cs="Times New Roman"/>
          <w:i/>
          <w:sz w:val="24"/>
          <w:szCs w:val="24"/>
        </w:rPr>
        <w:t>supra,</w:t>
      </w:r>
      <w:r w:rsidR="00EB2170" w:rsidRPr="004E3401">
        <w:rPr>
          <w:rFonts w:ascii="Times New Roman" w:hAnsi="Times New Roman" w:cs="Times New Roman"/>
          <w:sz w:val="24"/>
          <w:szCs w:val="24"/>
        </w:rPr>
        <w:t xml:space="preserve"> </w:t>
      </w:r>
      <w:r w:rsidR="00E75F4B">
        <w:rPr>
          <w:rFonts w:ascii="Times New Roman" w:hAnsi="Times New Roman" w:cs="Times New Roman"/>
          <w:sz w:val="24"/>
          <w:szCs w:val="24"/>
        </w:rPr>
        <w:t xml:space="preserve">at p 14 </w:t>
      </w:r>
      <w:r w:rsidR="00EB2170" w:rsidRPr="004E3401">
        <w:rPr>
          <w:rFonts w:ascii="Times New Roman" w:hAnsi="Times New Roman" w:cs="Times New Roman"/>
          <w:sz w:val="24"/>
          <w:szCs w:val="24"/>
        </w:rPr>
        <w:t xml:space="preserve">where acting on the persuasive authority of </w:t>
      </w:r>
      <w:r w:rsidR="00EB2170" w:rsidRPr="004E3401">
        <w:rPr>
          <w:rFonts w:ascii="Times New Roman" w:hAnsi="Times New Roman" w:cs="Times New Roman"/>
          <w:i/>
          <w:sz w:val="24"/>
          <w:szCs w:val="24"/>
        </w:rPr>
        <w:t xml:space="preserve">Joffe and Co Ltd </w:t>
      </w:r>
      <w:r w:rsidR="00EB2170" w:rsidRPr="004E3401">
        <w:rPr>
          <w:rFonts w:ascii="Times New Roman" w:hAnsi="Times New Roman" w:cs="Times New Roman"/>
          <w:sz w:val="24"/>
          <w:szCs w:val="24"/>
        </w:rPr>
        <w:t>v</w:t>
      </w:r>
      <w:r w:rsidR="00EB2170" w:rsidRPr="004E3401">
        <w:rPr>
          <w:rFonts w:ascii="Times New Roman" w:hAnsi="Times New Roman" w:cs="Times New Roman"/>
          <w:i/>
          <w:sz w:val="24"/>
          <w:szCs w:val="24"/>
        </w:rPr>
        <w:t xml:space="preserve"> CIR </w:t>
      </w:r>
      <w:r w:rsidR="00EB2170" w:rsidRPr="004E3401">
        <w:rPr>
          <w:rFonts w:ascii="Times New Roman" w:hAnsi="Times New Roman" w:cs="Times New Roman"/>
          <w:sz w:val="24"/>
          <w:szCs w:val="24"/>
        </w:rPr>
        <w:t xml:space="preserve">1946 AD 157 at 163 I held that the matching principle was part of our law.  </w:t>
      </w:r>
      <w:r w:rsidR="00E75F4B">
        <w:rPr>
          <w:rFonts w:ascii="Times New Roman" w:hAnsi="Times New Roman" w:cs="Times New Roman"/>
          <w:sz w:val="24"/>
          <w:szCs w:val="24"/>
        </w:rPr>
        <w:t>In coming to that conclusion, I overlooked the construction accorded to t</w:t>
      </w:r>
      <w:r w:rsidR="00472EA2">
        <w:rPr>
          <w:rFonts w:ascii="Times New Roman" w:hAnsi="Times New Roman" w:cs="Times New Roman"/>
          <w:sz w:val="24"/>
          <w:szCs w:val="24"/>
        </w:rPr>
        <w:t xml:space="preserve">he </w:t>
      </w:r>
      <w:r w:rsidR="00237B82">
        <w:rPr>
          <w:rFonts w:ascii="Times New Roman" w:hAnsi="Times New Roman" w:cs="Times New Roman"/>
          <w:sz w:val="24"/>
          <w:szCs w:val="24"/>
        </w:rPr>
        <w:t xml:space="preserve">sentiments expressed in </w:t>
      </w:r>
      <w:r w:rsidR="00472EA2" w:rsidRPr="00472EA2">
        <w:rPr>
          <w:rFonts w:ascii="Times New Roman" w:hAnsi="Times New Roman" w:cs="Times New Roman"/>
          <w:i/>
          <w:sz w:val="24"/>
          <w:szCs w:val="24"/>
        </w:rPr>
        <w:t>Joffe</w:t>
      </w:r>
      <w:r w:rsidR="00237B82">
        <w:rPr>
          <w:rFonts w:ascii="Times New Roman" w:hAnsi="Times New Roman" w:cs="Times New Roman"/>
          <w:sz w:val="24"/>
          <w:szCs w:val="24"/>
        </w:rPr>
        <w:t xml:space="preserve"> </w:t>
      </w:r>
      <w:r w:rsidR="00824279">
        <w:rPr>
          <w:rFonts w:ascii="Times New Roman" w:hAnsi="Times New Roman" w:cs="Times New Roman"/>
          <w:sz w:val="24"/>
          <w:szCs w:val="24"/>
        </w:rPr>
        <w:t xml:space="preserve"> by CENTLIVRES JA</w:t>
      </w:r>
      <w:r w:rsidR="00472EA2">
        <w:rPr>
          <w:rFonts w:ascii="Times New Roman" w:hAnsi="Times New Roman" w:cs="Times New Roman"/>
          <w:sz w:val="24"/>
          <w:szCs w:val="24"/>
        </w:rPr>
        <w:t xml:space="preserve"> in Sub</w:t>
      </w:r>
      <w:r w:rsidR="00472EA2">
        <w:rPr>
          <w:rFonts w:ascii="Times New Roman" w:hAnsi="Times New Roman" w:cs="Times New Roman"/>
          <w:i/>
          <w:sz w:val="24"/>
          <w:szCs w:val="24"/>
        </w:rPr>
        <w:t xml:space="preserve">-Nigel Ltd </w:t>
      </w:r>
      <w:r w:rsidR="00472EA2" w:rsidRPr="002E286B">
        <w:rPr>
          <w:rFonts w:ascii="Times New Roman" w:hAnsi="Times New Roman" w:cs="Times New Roman"/>
          <w:sz w:val="24"/>
          <w:szCs w:val="24"/>
        </w:rPr>
        <w:t>v</w:t>
      </w:r>
      <w:r w:rsidR="00472EA2">
        <w:rPr>
          <w:rFonts w:ascii="Times New Roman" w:hAnsi="Times New Roman" w:cs="Times New Roman"/>
          <w:i/>
          <w:sz w:val="24"/>
          <w:szCs w:val="24"/>
        </w:rPr>
        <w:t xml:space="preserve"> CIR </w:t>
      </w:r>
      <w:r w:rsidR="00C55E40" w:rsidRPr="004E3401">
        <w:rPr>
          <w:rFonts w:ascii="Times New Roman" w:hAnsi="Times New Roman" w:cs="Times New Roman"/>
          <w:b/>
          <w:sz w:val="24"/>
          <w:szCs w:val="24"/>
        </w:rPr>
        <w:t xml:space="preserve">15 </w:t>
      </w:r>
      <w:r w:rsidR="00C55E40" w:rsidRPr="005D4E59">
        <w:rPr>
          <w:rFonts w:ascii="Times New Roman" w:hAnsi="Times New Roman" w:cs="Times New Roman"/>
          <w:sz w:val="24"/>
          <w:szCs w:val="24"/>
        </w:rPr>
        <w:t>(1948)</w:t>
      </w:r>
      <w:r w:rsidR="001E337F" w:rsidRPr="005D4E59">
        <w:rPr>
          <w:rFonts w:ascii="Times New Roman" w:hAnsi="Times New Roman" w:cs="Times New Roman"/>
          <w:sz w:val="24"/>
          <w:szCs w:val="24"/>
        </w:rPr>
        <w:t xml:space="preserve"> </w:t>
      </w:r>
      <w:r w:rsidR="00C55E40" w:rsidRPr="005D4E59">
        <w:rPr>
          <w:rFonts w:ascii="Times New Roman" w:hAnsi="Times New Roman" w:cs="Times New Roman"/>
          <w:sz w:val="24"/>
          <w:szCs w:val="24"/>
        </w:rPr>
        <w:t>SATC 381 (A) at 394</w:t>
      </w:r>
      <w:r w:rsidR="00472EA2">
        <w:rPr>
          <w:rFonts w:ascii="Times New Roman" w:hAnsi="Times New Roman" w:cs="Times New Roman"/>
          <w:sz w:val="24"/>
          <w:szCs w:val="24"/>
        </w:rPr>
        <w:t xml:space="preserve">, 1948 (4) SA 580 (A) at  </w:t>
      </w:r>
      <w:r w:rsidR="00C074E3">
        <w:rPr>
          <w:rFonts w:ascii="Times New Roman" w:hAnsi="Times New Roman" w:cs="Times New Roman"/>
          <w:sz w:val="24"/>
          <w:szCs w:val="24"/>
        </w:rPr>
        <w:t xml:space="preserve">589 </w:t>
      </w:r>
      <w:r w:rsidR="00472EA2">
        <w:rPr>
          <w:rFonts w:ascii="Times New Roman" w:hAnsi="Times New Roman" w:cs="Times New Roman"/>
          <w:sz w:val="24"/>
          <w:szCs w:val="24"/>
        </w:rPr>
        <w:t>that:</w:t>
      </w:r>
    </w:p>
    <w:p w:rsidR="003E0755" w:rsidRDefault="00472EA2" w:rsidP="00472EA2">
      <w:pPr>
        <w:ind w:left="720"/>
        <w:jc w:val="both"/>
        <w:rPr>
          <w:rFonts w:ascii="Times New Roman" w:hAnsi="Times New Roman" w:cs="Times New Roman"/>
        </w:rPr>
      </w:pPr>
      <w:r w:rsidRPr="003A48E7">
        <w:rPr>
          <w:rFonts w:ascii="Times New Roman" w:hAnsi="Times New Roman" w:cs="Times New Roman"/>
        </w:rPr>
        <w:lastRenderedPageBreak/>
        <w:t>“</w:t>
      </w:r>
      <w:r w:rsidR="00C074E3">
        <w:rPr>
          <w:rFonts w:ascii="Times New Roman" w:hAnsi="Times New Roman" w:cs="Times New Roman"/>
        </w:rPr>
        <w:t xml:space="preserve">It was contended by Mr </w:t>
      </w:r>
      <w:r w:rsidR="00C074E3" w:rsidRPr="003A48E7">
        <w:rPr>
          <w:rFonts w:ascii="Times New Roman" w:hAnsi="Times New Roman" w:cs="Times New Roman"/>
          <w:i/>
        </w:rPr>
        <w:t>Ettlinge</w:t>
      </w:r>
      <w:r w:rsidR="00C074E3" w:rsidRPr="003A48E7">
        <w:rPr>
          <w:rFonts w:ascii="Times New Roman" w:hAnsi="Times New Roman" w:cs="Times New Roman"/>
        </w:rPr>
        <w:t xml:space="preserve">r </w:t>
      </w:r>
      <w:r w:rsidR="00C074E3">
        <w:rPr>
          <w:rFonts w:ascii="Times New Roman" w:hAnsi="Times New Roman" w:cs="Times New Roman"/>
        </w:rPr>
        <w:t xml:space="preserve">on behalf of the Commissioner that stress should be laid on the definite article “the” before the word” income” in sec. 11 (2) and that as  the expenditure of the amounts by way of premiums produced no income, such expenditure was not incurred in the production of </w:t>
      </w:r>
      <w:r w:rsidR="00C074E3">
        <w:rPr>
          <w:rFonts w:ascii="Times New Roman" w:hAnsi="Times New Roman" w:cs="Times New Roman"/>
          <w:i/>
        </w:rPr>
        <w:t xml:space="preserve">the </w:t>
      </w:r>
      <w:r w:rsidR="00C074E3">
        <w:rPr>
          <w:rFonts w:ascii="Times New Roman" w:hAnsi="Times New Roman" w:cs="Times New Roman"/>
        </w:rPr>
        <w:t>income and was therefore not deductible. Pressed to its logical conclusion this contention means that if a merchant were to buy goods for the purposes of resale and pay for them on the last day of the tax year, and was to sell none of these goods before the end of the tax year, he would not be able to deduct the purchase price</w:t>
      </w:r>
      <w:r w:rsidR="003E0755">
        <w:rPr>
          <w:rFonts w:ascii="Times New Roman" w:hAnsi="Times New Roman" w:cs="Times New Roman"/>
        </w:rPr>
        <w:t xml:space="preserve"> </w:t>
      </w:r>
      <w:r w:rsidR="00C074E3">
        <w:rPr>
          <w:rFonts w:ascii="Times New Roman" w:hAnsi="Times New Roman" w:cs="Times New Roman"/>
        </w:rPr>
        <w:t>of those goods from his gross income for that year because the expenditure although incurred in that year, produced no income in that year.</w:t>
      </w:r>
      <w:r w:rsidR="003E0755">
        <w:rPr>
          <w:rFonts w:ascii="Times New Roman" w:hAnsi="Times New Roman" w:cs="Times New Roman"/>
        </w:rPr>
        <w:t xml:space="preserve"> That this is not so is shown by such cases as </w:t>
      </w:r>
      <w:r w:rsidR="003E0755">
        <w:rPr>
          <w:rFonts w:ascii="Times New Roman" w:hAnsi="Times New Roman" w:cs="Times New Roman"/>
          <w:i/>
        </w:rPr>
        <w:t xml:space="preserve">Commissioner for Inland Revenue v Niko </w:t>
      </w:r>
      <w:r w:rsidR="003E0755">
        <w:rPr>
          <w:rFonts w:ascii="Times New Roman" w:hAnsi="Times New Roman" w:cs="Times New Roman"/>
        </w:rPr>
        <w:t xml:space="preserve">1940 AD 416 at p.427, for it is clear that the merchant, in determining his taxable income, is entitled to deduct from the proceeds of any re-sales effected by him the purchase price of goods which he has not resold during the tax year. Indeed if Mr </w:t>
      </w:r>
      <w:r w:rsidR="003E0755" w:rsidRPr="003E0755">
        <w:rPr>
          <w:rFonts w:ascii="Times New Roman" w:hAnsi="Times New Roman" w:cs="Times New Roman"/>
          <w:i/>
        </w:rPr>
        <w:t>Ettlinger’s</w:t>
      </w:r>
      <w:r w:rsidR="003E0755">
        <w:rPr>
          <w:rFonts w:ascii="Times New Roman" w:hAnsi="Times New Roman" w:cs="Times New Roman"/>
        </w:rPr>
        <w:t xml:space="preserve"> argument were correct, the merchant would not be allowed, in the example I have given, to deduct the purchase price of the goods bought at the end of the tax year from his gross income for that year, although he may have disposed of all the goods during the latter year. For the whole scheme of the Act shows that, as the taxpayer is assessed for income for a period of one year, no expenditure incurred in a year previous to the particular year can be deducted.”</w:t>
      </w:r>
    </w:p>
    <w:p w:rsidR="00EB4783" w:rsidRDefault="00EB4783" w:rsidP="002E286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 then quoted the relevant sentiments of WATERMEYER CJ at p 591 and continued thus:</w:t>
      </w:r>
    </w:p>
    <w:p w:rsidR="00EB4783" w:rsidRDefault="00EB4783" w:rsidP="00B3587D">
      <w:pPr>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At first sight the third sentence in the above quotation seems to support Mr </w:t>
      </w:r>
      <w:r w:rsidRPr="00EB4783">
        <w:rPr>
          <w:rFonts w:ascii="Times New Roman" w:hAnsi="Times New Roman" w:cs="Times New Roman"/>
          <w:i/>
        </w:rPr>
        <w:t xml:space="preserve">Ettlinger’s </w:t>
      </w:r>
      <w:r>
        <w:rPr>
          <w:rFonts w:ascii="Times New Roman" w:hAnsi="Times New Roman" w:cs="Times New Roman"/>
        </w:rPr>
        <w:t xml:space="preserve">contention, but it is clear from a perusal of the whole case (see p. 167) that the </w:t>
      </w:r>
      <w:r>
        <w:rPr>
          <w:rFonts w:ascii="Times New Roman" w:hAnsi="Times New Roman" w:cs="Times New Roman"/>
          <w:i/>
        </w:rPr>
        <w:t xml:space="preserve">ratio decidendi </w:t>
      </w:r>
      <w:r>
        <w:rPr>
          <w:rFonts w:ascii="Times New Roman" w:hAnsi="Times New Roman" w:cs="Times New Roman"/>
        </w:rPr>
        <w:t>was that sec. 12 (g) prohibited the deduction which the taxpayer sought to make. The emphasis placed on the article “the” was obiter, and in any event the learned CHIEF JUSTICS did not lay down that</w:t>
      </w:r>
      <w:r w:rsidR="00B3587D">
        <w:rPr>
          <w:rFonts w:ascii="Times New Roman" w:hAnsi="Times New Roman" w:cs="Times New Roman"/>
        </w:rPr>
        <w:t xml:space="preserve"> </w:t>
      </w:r>
      <w:r>
        <w:rPr>
          <w:rFonts w:ascii="Times New Roman" w:hAnsi="Times New Roman" w:cs="Times New Roman"/>
        </w:rPr>
        <w:t>non-capital expenditure could not be deducted if no income resulted therefrom in the year in which it was incurred. Nor was he in the passage I have quoted, attempting to construe the phrase</w:t>
      </w:r>
      <w:r w:rsidR="00B3587D">
        <w:rPr>
          <w:rFonts w:ascii="Times New Roman" w:hAnsi="Times New Roman" w:cs="Times New Roman"/>
        </w:rPr>
        <w:t xml:space="preserve"> “</w:t>
      </w:r>
      <w:r>
        <w:rPr>
          <w:rFonts w:ascii="Times New Roman" w:hAnsi="Times New Roman" w:cs="Times New Roman"/>
        </w:rPr>
        <w:t>expenditure and losses incurred in the production of the income</w:t>
      </w:r>
      <w:r w:rsidR="00B3587D">
        <w:rPr>
          <w:rFonts w:ascii="Times New Roman" w:hAnsi="Times New Roman" w:cs="Times New Roman"/>
        </w:rPr>
        <w:t>”</w:t>
      </w:r>
      <w:r>
        <w:rPr>
          <w:rFonts w:ascii="Times New Roman" w:hAnsi="Times New Roman" w:cs="Times New Roman"/>
        </w:rPr>
        <w:t>.</w:t>
      </w:r>
    </w:p>
    <w:p w:rsidR="00B3587D" w:rsidRDefault="00B3587D" w:rsidP="002E286B">
      <w:pPr>
        <w:ind w:firstLine="720"/>
        <w:jc w:val="both"/>
        <w:rPr>
          <w:rFonts w:ascii="Times New Roman" w:hAnsi="Times New Roman" w:cs="Times New Roman"/>
          <w:sz w:val="24"/>
          <w:szCs w:val="24"/>
        </w:rPr>
      </w:pPr>
      <w:r>
        <w:rPr>
          <w:rFonts w:ascii="Times New Roman" w:hAnsi="Times New Roman" w:cs="Times New Roman"/>
          <w:sz w:val="24"/>
          <w:szCs w:val="24"/>
        </w:rPr>
        <w:t>And lastly, he put the matter beyond doubt by asserting at 592 that:</w:t>
      </w:r>
    </w:p>
    <w:p w:rsidR="001E337F" w:rsidRPr="00E261A7" w:rsidRDefault="00B3587D" w:rsidP="00B3587D">
      <w:pPr>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The conclusion that I arrive on this part of the case is that there is no reason to think that the Legislature, in using the definite artice4l “the” before “income” in sec. 11 (2) (a), intended the result contended for by</w:t>
      </w:r>
      <w:r w:rsidR="001E337F" w:rsidRPr="003A48E7">
        <w:rPr>
          <w:rFonts w:ascii="Times New Roman" w:hAnsi="Times New Roman" w:cs="Times New Roman"/>
        </w:rPr>
        <w:t xml:space="preserve"> Mr </w:t>
      </w:r>
      <w:r w:rsidR="001E337F" w:rsidRPr="003A48E7">
        <w:rPr>
          <w:rFonts w:ascii="Times New Roman" w:hAnsi="Times New Roman" w:cs="Times New Roman"/>
          <w:i/>
        </w:rPr>
        <w:t>Ettlinge</w:t>
      </w:r>
      <w:r>
        <w:rPr>
          <w:rFonts w:ascii="Times New Roman" w:hAnsi="Times New Roman" w:cs="Times New Roman"/>
        </w:rPr>
        <w:t xml:space="preserve">r. </w:t>
      </w:r>
      <w:r w:rsidR="00472EA2" w:rsidRPr="00E261A7">
        <w:rPr>
          <w:rFonts w:ascii="Times New Roman" w:hAnsi="Times New Roman" w:cs="Times New Roman"/>
        </w:rPr>
        <w:t>I</w:t>
      </w:r>
      <w:r w:rsidR="001E337F" w:rsidRPr="00E261A7">
        <w:rPr>
          <w:rFonts w:ascii="Times New Roman" w:hAnsi="Times New Roman" w:cs="Times New Roman"/>
          <w:u w:val="single"/>
        </w:rPr>
        <w:t>t seems to me clear on the authorities that the Court is not concerned whether a particular item of expenditure produced</w:t>
      </w:r>
      <w:r w:rsidR="00472EA2" w:rsidRPr="00E261A7">
        <w:rPr>
          <w:rFonts w:ascii="Times New Roman" w:hAnsi="Times New Roman" w:cs="Times New Roman"/>
          <w:u w:val="single"/>
        </w:rPr>
        <w:t xml:space="preserve"> any part of </w:t>
      </w:r>
      <w:r w:rsidR="00472EA2" w:rsidRPr="00E261A7">
        <w:rPr>
          <w:rFonts w:ascii="Times New Roman" w:hAnsi="Times New Roman" w:cs="Times New Roman"/>
          <w:i/>
          <w:u w:val="single"/>
        </w:rPr>
        <w:t xml:space="preserve">the </w:t>
      </w:r>
      <w:r w:rsidR="00472EA2" w:rsidRPr="00E261A7">
        <w:rPr>
          <w:rFonts w:ascii="Times New Roman" w:hAnsi="Times New Roman" w:cs="Times New Roman"/>
          <w:u w:val="single"/>
        </w:rPr>
        <w:t>income: what it is</w:t>
      </w:r>
      <w:r w:rsidR="001E337F" w:rsidRPr="00E261A7">
        <w:rPr>
          <w:rFonts w:ascii="Times New Roman" w:hAnsi="Times New Roman" w:cs="Times New Roman"/>
          <w:u w:val="single"/>
        </w:rPr>
        <w:t xml:space="preserve"> concerned with is whether that item of expenditure was incurred for the purpose of earning income. The reason why the Legislature used the definite articl</w:t>
      </w:r>
      <w:r w:rsidR="00472EA2" w:rsidRPr="00E261A7">
        <w:rPr>
          <w:rFonts w:ascii="Times New Roman" w:hAnsi="Times New Roman" w:cs="Times New Roman"/>
          <w:u w:val="single"/>
        </w:rPr>
        <w:t>e “the” before</w:t>
      </w:r>
      <w:r w:rsidRPr="00E261A7">
        <w:rPr>
          <w:rFonts w:ascii="Times New Roman" w:hAnsi="Times New Roman" w:cs="Times New Roman"/>
          <w:u w:val="single"/>
        </w:rPr>
        <w:t xml:space="preserve"> “</w:t>
      </w:r>
      <w:r w:rsidR="00472EA2" w:rsidRPr="00E261A7">
        <w:rPr>
          <w:rFonts w:ascii="Times New Roman" w:hAnsi="Times New Roman" w:cs="Times New Roman"/>
          <w:u w:val="single"/>
        </w:rPr>
        <w:t>income</w:t>
      </w:r>
      <w:r w:rsidRPr="00E261A7">
        <w:rPr>
          <w:rFonts w:ascii="Times New Roman" w:hAnsi="Times New Roman" w:cs="Times New Roman"/>
          <w:u w:val="single"/>
        </w:rPr>
        <w:t>” in s 11 (2</w:t>
      </w:r>
      <w:r w:rsidR="00472EA2" w:rsidRPr="00E261A7">
        <w:rPr>
          <w:rFonts w:ascii="Times New Roman" w:hAnsi="Times New Roman" w:cs="Times New Roman"/>
          <w:u w:val="single"/>
        </w:rPr>
        <w:t>)</w:t>
      </w:r>
      <w:r w:rsidR="001E337F" w:rsidRPr="00E261A7">
        <w:rPr>
          <w:rFonts w:ascii="Times New Roman" w:hAnsi="Times New Roman" w:cs="Times New Roman"/>
          <w:u w:val="single"/>
        </w:rPr>
        <w:t xml:space="preserve"> (a) is probably because it had previously used it in the im</w:t>
      </w:r>
      <w:r w:rsidR="00E261A7">
        <w:rPr>
          <w:rFonts w:ascii="Times New Roman" w:hAnsi="Times New Roman" w:cs="Times New Roman"/>
          <w:u w:val="single"/>
        </w:rPr>
        <w:t>mediately preceding sub-section</w:t>
      </w:r>
      <w:r w:rsidR="001E337F" w:rsidRPr="00E261A7">
        <w:rPr>
          <w:rFonts w:ascii="Times New Roman" w:hAnsi="Times New Roman" w:cs="Times New Roman"/>
          <w:u w:val="single"/>
        </w:rPr>
        <w:t>”</w:t>
      </w:r>
      <w:r w:rsidR="00E261A7">
        <w:rPr>
          <w:rFonts w:ascii="Times New Roman" w:hAnsi="Times New Roman" w:cs="Times New Roman"/>
          <w:u w:val="single"/>
        </w:rPr>
        <w:t xml:space="preserve"> (underlining my own for emphasis).</w:t>
      </w:r>
    </w:p>
    <w:p w:rsidR="00EA1D6A" w:rsidRPr="00D07CD5" w:rsidRDefault="00472EA2" w:rsidP="002E286B">
      <w:pPr>
        <w:ind w:firstLine="720"/>
        <w:rPr>
          <w:rFonts w:ascii="Times New Roman" w:hAnsi="Times New Roman" w:cs="Times New Roman"/>
          <w:sz w:val="24"/>
          <w:szCs w:val="24"/>
        </w:rPr>
      </w:pPr>
      <w:r w:rsidRPr="00D07CD5">
        <w:rPr>
          <w:rFonts w:ascii="Times New Roman" w:hAnsi="Times New Roman" w:cs="Times New Roman"/>
          <w:sz w:val="24"/>
          <w:szCs w:val="24"/>
        </w:rPr>
        <w:t xml:space="preserve">Again, in </w:t>
      </w:r>
      <w:r w:rsidR="00EA1D6A" w:rsidRPr="00D07CD5">
        <w:rPr>
          <w:rFonts w:ascii="Times New Roman" w:hAnsi="Times New Roman" w:cs="Times New Roman"/>
          <w:sz w:val="24"/>
          <w:szCs w:val="24"/>
        </w:rPr>
        <w:t>ITC 815 (1955) 20 SATC 487</w:t>
      </w:r>
      <w:r w:rsidR="00CA422C" w:rsidRPr="00D07CD5">
        <w:rPr>
          <w:rFonts w:ascii="Times New Roman" w:hAnsi="Times New Roman" w:cs="Times New Roman"/>
          <w:sz w:val="24"/>
          <w:szCs w:val="24"/>
        </w:rPr>
        <w:t xml:space="preserve"> at 492 ROPER J</w:t>
      </w:r>
      <w:r w:rsidRPr="00D07CD5">
        <w:rPr>
          <w:rFonts w:ascii="Times New Roman" w:hAnsi="Times New Roman" w:cs="Times New Roman"/>
          <w:sz w:val="24"/>
          <w:szCs w:val="24"/>
        </w:rPr>
        <w:t xml:space="preserve"> stated that:</w:t>
      </w:r>
    </w:p>
    <w:p w:rsidR="00472EA2" w:rsidRDefault="000F6009" w:rsidP="00A4489E">
      <w:pPr>
        <w:spacing w:line="240" w:lineRule="auto"/>
        <w:ind w:left="720"/>
        <w:jc w:val="both"/>
        <w:rPr>
          <w:rFonts w:ascii="Times New Roman" w:hAnsi="Times New Roman" w:cs="Times New Roman"/>
          <w:sz w:val="24"/>
          <w:szCs w:val="24"/>
        </w:rPr>
      </w:pPr>
      <w:r w:rsidRPr="00D07CD5">
        <w:rPr>
          <w:rFonts w:ascii="Times New Roman" w:hAnsi="Times New Roman" w:cs="Times New Roman"/>
          <w:sz w:val="24"/>
          <w:szCs w:val="24"/>
        </w:rPr>
        <w:t>“As t</w:t>
      </w:r>
      <w:r w:rsidR="00472EA2" w:rsidRPr="00D07CD5">
        <w:rPr>
          <w:rFonts w:ascii="Times New Roman" w:hAnsi="Times New Roman" w:cs="Times New Roman"/>
          <w:sz w:val="24"/>
          <w:szCs w:val="24"/>
        </w:rPr>
        <w:t>he meaning and effect of these provision</w:t>
      </w:r>
      <w:r w:rsidRPr="00D07CD5">
        <w:rPr>
          <w:rFonts w:ascii="Times New Roman" w:hAnsi="Times New Roman" w:cs="Times New Roman"/>
          <w:sz w:val="24"/>
          <w:szCs w:val="24"/>
        </w:rPr>
        <w:t>s</w:t>
      </w:r>
      <w:r w:rsidR="00472EA2" w:rsidRPr="00D07CD5">
        <w:rPr>
          <w:rFonts w:ascii="Times New Roman" w:hAnsi="Times New Roman" w:cs="Times New Roman"/>
          <w:sz w:val="24"/>
          <w:szCs w:val="24"/>
        </w:rPr>
        <w:t xml:space="preserve"> have ben exhaustively considered in such cases</w:t>
      </w:r>
      <w:r w:rsidR="00472EA2">
        <w:rPr>
          <w:rFonts w:ascii="Times New Roman" w:hAnsi="Times New Roman" w:cs="Times New Roman"/>
          <w:b/>
          <w:sz w:val="24"/>
          <w:szCs w:val="24"/>
        </w:rPr>
        <w:t xml:space="preserve"> </w:t>
      </w:r>
      <w:r w:rsidR="00472EA2" w:rsidRPr="00472EA2">
        <w:rPr>
          <w:rFonts w:ascii="Times New Roman" w:hAnsi="Times New Roman" w:cs="Times New Roman"/>
          <w:b/>
          <w:i/>
          <w:sz w:val="24"/>
          <w:szCs w:val="24"/>
        </w:rPr>
        <w:t xml:space="preserve">as </w:t>
      </w:r>
      <w:r w:rsidR="000E0D59" w:rsidRPr="00472EA2">
        <w:rPr>
          <w:rFonts w:ascii="Times New Roman" w:hAnsi="Times New Roman" w:cs="Times New Roman"/>
          <w:i/>
          <w:sz w:val="24"/>
          <w:szCs w:val="24"/>
        </w:rPr>
        <w:t xml:space="preserve">PET </w:t>
      </w:r>
      <w:r w:rsidR="000E0D59" w:rsidRPr="002E286B">
        <w:rPr>
          <w:rFonts w:ascii="Times New Roman" w:hAnsi="Times New Roman" w:cs="Times New Roman"/>
          <w:sz w:val="24"/>
          <w:szCs w:val="24"/>
        </w:rPr>
        <w:t>v</w:t>
      </w:r>
      <w:r w:rsidR="000E0D59" w:rsidRPr="00472EA2">
        <w:rPr>
          <w:rFonts w:ascii="Times New Roman" w:hAnsi="Times New Roman" w:cs="Times New Roman"/>
          <w:i/>
          <w:sz w:val="24"/>
          <w:szCs w:val="24"/>
        </w:rPr>
        <w:t xml:space="preserve"> CIR</w:t>
      </w:r>
      <w:r w:rsidR="000E0D59" w:rsidRPr="004E3401">
        <w:rPr>
          <w:rFonts w:ascii="Times New Roman" w:hAnsi="Times New Roman" w:cs="Times New Roman"/>
          <w:sz w:val="24"/>
          <w:szCs w:val="24"/>
        </w:rPr>
        <w:t xml:space="preserve">, </w:t>
      </w:r>
      <w:r w:rsidR="000E0D59" w:rsidRPr="00472EA2">
        <w:rPr>
          <w:rFonts w:ascii="Times New Roman" w:hAnsi="Times New Roman" w:cs="Times New Roman"/>
          <w:i/>
          <w:sz w:val="24"/>
          <w:szCs w:val="24"/>
        </w:rPr>
        <w:t>Joffe, supra</w:t>
      </w:r>
      <w:r w:rsidR="00472EA2">
        <w:rPr>
          <w:rFonts w:ascii="Times New Roman" w:hAnsi="Times New Roman" w:cs="Times New Roman"/>
          <w:sz w:val="24"/>
          <w:szCs w:val="24"/>
        </w:rPr>
        <w:t xml:space="preserve"> and </w:t>
      </w:r>
      <w:r w:rsidR="00472EA2" w:rsidRPr="00472EA2">
        <w:rPr>
          <w:rFonts w:ascii="Times New Roman" w:hAnsi="Times New Roman" w:cs="Times New Roman"/>
          <w:i/>
          <w:sz w:val="24"/>
          <w:szCs w:val="24"/>
        </w:rPr>
        <w:t>New St</w:t>
      </w:r>
      <w:r w:rsidR="000E0D59" w:rsidRPr="00472EA2">
        <w:rPr>
          <w:rFonts w:ascii="Times New Roman" w:hAnsi="Times New Roman" w:cs="Times New Roman"/>
          <w:i/>
          <w:sz w:val="24"/>
          <w:szCs w:val="24"/>
        </w:rPr>
        <w:t xml:space="preserve">ate Areas Ltd </w:t>
      </w:r>
      <w:r w:rsidR="000E0D59" w:rsidRPr="002E286B">
        <w:rPr>
          <w:rFonts w:ascii="Times New Roman" w:hAnsi="Times New Roman" w:cs="Times New Roman"/>
          <w:sz w:val="24"/>
          <w:szCs w:val="24"/>
        </w:rPr>
        <w:t xml:space="preserve">v </w:t>
      </w:r>
      <w:r w:rsidR="000E0D59" w:rsidRPr="00472EA2">
        <w:rPr>
          <w:rFonts w:ascii="Times New Roman" w:hAnsi="Times New Roman" w:cs="Times New Roman"/>
          <w:i/>
          <w:sz w:val="24"/>
          <w:szCs w:val="24"/>
        </w:rPr>
        <w:t>CIR</w:t>
      </w:r>
      <w:r w:rsidR="000E0D59" w:rsidRPr="004E3401">
        <w:rPr>
          <w:rFonts w:ascii="Times New Roman" w:hAnsi="Times New Roman" w:cs="Times New Roman"/>
          <w:sz w:val="24"/>
          <w:szCs w:val="24"/>
        </w:rPr>
        <w:t xml:space="preserve"> 1946 AD 610 and </w:t>
      </w:r>
      <w:r w:rsidR="000E0D59" w:rsidRPr="00472EA2">
        <w:rPr>
          <w:rFonts w:ascii="Times New Roman" w:hAnsi="Times New Roman" w:cs="Times New Roman"/>
          <w:i/>
          <w:sz w:val="24"/>
          <w:szCs w:val="24"/>
        </w:rPr>
        <w:t xml:space="preserve">Sub-Nigel Ltd </w:t>
      </w:r>
      <w:r w:rsidR="000E0D59" w:rsidRPr="002E286B">
        <w:rPr>
          <w:rFonts w:ascii="Times New Roman" w:hAnsi="Times New Roman" w:cs="Times New Roman"/>
          <w:sz w:val="24"/>
          <w:szCs w:val="24"/>
        </w:rPr>
        <w:t>v</w:t>
      </w:r>
      <w:r w:rsidR="000E0D59" w:rsidRPr="00472EA2">
        <w:rPr>
          <w:rFonts w:ascii="Times New Roman" w:hAnsi="Times New Roman" w:cs="Times New Roman"/>
          <w:i/>
          <w:sz w:val="24"/>
          <w:szCs w:val="24"/>
        </w:rPr>
        <w:t xml:space="preserve"> CIR </w:t>
      </w:r>
      <w:r w:rsidR="00D07CD5">
        <w:rPr>
          <w:rFonts w:ascii="Times New Roman" w:hAnsi="Times New Roman" w:cs="Times New Roman"/>
          <w:sz w:val="24"/>
          <w:szCs w:val="24"/>
        </w:rPr>
        <w:t>1948 (4) SA 580 (AD), i</w:t>
      </w:r>
      <w:r w:rsidR="00472EA2" w:rsidRPr="004E3401">
        <w:rPr>
          <w:rFonts w:ascii="Times New Roman" w:hAnsi="Times New Roman" w:cs="Times New Roman"/>
          <w:sz w:val="24"/>
          <w:szCs w:val="24"/>
        </w:rPr>
        <w:t>t</w:t>
      </w:r>
      <w:r w:rsidR="000E0D59" w:rsidRPr="004E3401">
        <w:rPr>
          <w:rFonts w:ascii="Times New Roman" w:hAnsi="Times New Roman" w:cs="Times New Roman"/>
          <w:sz w:val="24"/>
          <w:szCs w:val="24"/>
        </w:rPr>
        <w:t xml:space="preserve"> is unnecessary for me to discuss them. </w:t>
      </w:r>
      <w:r w:rsidR="00D07CD5">
        <w:rPr>
          <w:rFonts w:ascii="Times New Roman" w:hAnsi="Times New Roman" w:cs="Times New Roman"/>
          <w:sz w:val="24"/>
          <w:szCs w:val="24"/>
        </w:rPr>
        <w:t>It is clear from the last cited of these cases that</w:t>
      </w:r>
      <w:r w:rsidR="000E0D59" w:rsidRPr="004E3401">
        <w:rPr>
          <w:rFonts w:ascii="Times New Roman" w:hAnsi="Times New Roman" w:cs="Times New Roman"/>
          <w:sz w:val="24"/>
          <w:szCs w:val="24"/>
        </w:rPr>
        <w:t xml:space="preserve"> the article “the” in “the income” in 11(2) (a) does not limit the deductible losses to those concerned with the production of income for the particular year in which the losses are incurred. It is also clear that a loss due to an obligation to pay compensation or damages may be a loss “incurred in </w:t>
      </w:r>
      <w:r w:rsidR="000E0D59" w:rsidRPr="004E3401">
        <w:rPr>
          <w:rFonts w:ascii="Times New Roman" w:hAnsi="Times New Roman" w:cs="Times New Roman"/>
          <w:sz w:val="24"/>
          <w:szCs w:val="24"/>
        </w:rPr>
        <w:lastRenderedPageBreak/>
        <w:t xml:space="preserve">the production of income” if the obligation arises from the performance of a business operation </w:t>
      </w:r>
      <w:r w:rsidR="000E0D59" w:rsidRPr="00472EA2">
        <w:rPr>
          <w:rFonts w:ascii="Times New Roman" w:hAnsi="Times New Roman" w:cs="Times New Roman"/>
          <w:i/>
          <w:sz w:val="24"/>
          <w:szCs w:val="24"/>
        </w:rPr>
        <w:t>bona fide</w:t>
      </w:r>
      <w:r w:rsidR="000E0D59" w:rsidRPr="004E3401">
        <w:rPr>
          <w:rFonts w:ascii="Times New Roman" w:hAnsi="Times New Roman" w:cs="Times New Roman"/>
          <w:sz w:val="24"/>
          <w:szCs w:val="24"/>
        </w:rPr>
        <w:t xml:space="preserve"> performed for the purpose of earning income.”</w:t>
      </w:r>
    </w:p>
    <w:p w:rsidR="0016171A" w:rsidRDefault="0016171A" w:rsidP="002B51E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closer scrutiny of the general deduction formula as read with definition of trade in section 2 and definition of gross income in s 8 (1) of our Income Tax Act do not support the matching principle at all. This becomes obvious when the three sections are juxtaposed against each other.</w:t>
      </w:r>
      <w:r w:rsidR="002B51E1">
        <w:rPr>
          <w:rFonts w:ascii="Times New Roman" w:hAnsi="Times New Roman" w:cs="Times New Roman"/>
          <w:sz w:val="24"/>
          <w:szCs w:val="24"/>
        </w:rPr>
        <w:t xml:space="preserve"> </w:t>
      </w:r>
      <w:r>
        <w:rPr>
          <w:rFonts w:ascii="Times New Roman" w:hAnsi="Times New Roman" w:cs="Times New Roman"/>
          <w:sz w:val="24"/>
          <w:szCs w:val="24"/>
        </w:rPr>
        <w:t>Section 15 (2) a) provides</w:t>
      </w:r>
      <w:r w:rsidR="00866091">
        <w:rPr>
          <w:rFonts w:ascii="Times New Roman" w:hAnsi="Times New Roman" w:cs="Times New Roman"/>
          <w:sz w:val="24"/>
          <w:szCs w:val="24"/>
        </w:rPr>
        <w:t xml:space="preserve"> that</w:t>
      </w:r>
      <w:r>
        <w:rPr>
          <w:rFonts w:ascii="Times New Roman" w:hAnsi="Times New Roman" w:cs="Times New Roman"/>
          <w:sz w:val="24"/>
          <w:szCs w:val="24"/>
        </w:rPr>
        <w:t>:</w:t>
      </w:r>
    </w:p>
    <w:p w:rsidR="0016171A" w:rsidRPr="00040D09" w:rsidRDefault="0016171A" w:rsidP="00A6229C">
      <w:pPr>
        <w:autoSpaceDE w:val="0"/>
        <w:autoSpaceDN w:val="0"/>
        <w:adjustRightInd w:val="0"/>
        <w:spacing w:after="0" w:line="240" w:lineRule="auto"/>
        <w:jc w:val="both"/>
        <w:rPr>
          <w:rFonts w:ascii="Times New Roman" w:hAnsi="Times New Roman" w:cs="Times New Roman"/>
        </w:rPr>
      </w:pPr>
      <w:r w:rsidRPr="00040D09">
        <w:rPr>
          <w:rFonts w:ascii="Times New Roman" w:hAnsi="Times New Roman" w:cs="Times New Roman"/>
        </w:rPr>
        <w:tab/>
        <w:t xml:space="preserve">“(2) </w:t>
      </w:r>
      <w:r w:rsidR="00866091" w:rsidRPr="00040D09">
        <w:rPr>
          <w:rFonts w:ascii="Times New Roman" w:hAnsi="Times New Roman" w:cs="Times New Roman"/>
        </w:rPr>
        <w:tab/>
      </w:r>
      <w:r w:rsidRPr="00040D09">
        <w:rPr>
          <w:rFonts w:ascii="Times New Roman" w:hAnsi="Times New Roman" w:cs="Times New Roman"/>
        </w:rPr>
        <w:t>The deductions allowed shall be—</w:t>
      </w:r>
    </w:p>
    <w:p w:rsidR="0016171A" w:rsidRPr="00040D09" w:rsidRDefault="0016171A" w:rsidP="00A6229C">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040D09">
        <w:rPr>
          <w:rFonts w:ascii="Times New Roman" w:hAnsi="Times New Roman" w:cs="Times New Roman"/>
        </w:rPr>
        <w:t>expenditure and losses to the extent to which they are incurred for the purpos</w:t>
      </w:r>
      <w:r w:rsidR="00866091" w:rsidRPr="00040D09">
        <w:rPr>
          <w:rFonts w:ascii="Times New Roman" w:hAnsi="Times New Roman" w:cs="Times New Roman"/>
        </w:rPr>
        <w:t xml:space="preserve">es of trade or in the production </w:t>
      </w:r>
      <w:r w:rsidRPr="00040D09">
        <w:rPr>
          <w:rFonts w:ascii="Times New Roman" w:hAnsi="Times New Roman" w:cs="Times New Roman"/>
        </w:rPr>
        <w:t>of the income except to the extent to which they are expenditure or losses of a capital nature</w:t>
      </w:r>
      <w:r w:rsidR="00866091" w:rsidRPr="00040D09">
        <w:rPr>
          <w:rFonts w:ascii="Times New Roman" w:hAnsi="Times New Roman" w:cs="Times New Roman"/>
        </w:rPr>
        <w:t xml:space="preserve">, </w:t>
      </w:r>
    </w:p>
    <w:p w:rsidR="00866091" w:rsidRDefault="00866091" w:rsidP="002E286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And both </w:t>
      </w:r>
      <w:r w:rsidR="004E5F1A">
        <w:rPr>
          <w:rFonts w:ascii="Times New Roman" w:hAnsi="Times New Roman" w:cs="Times New Roman"/>
          <w:sz w:val="24"/>
          <w:szCs w:val="24"/>
        </w:rPr>
        <w:t>“</w:t>
      </w:r>
      <w:r>
        <w:rPr>
          <w:rFonts w:ascii="Times New Roman" w:hAnsi="Times New Roman" w:cs="Times New Roman"/>
          <w:sz w:val="24"/>
          <w:szCs w:val="24"/>
        </w:rPr>
        <w:t>trade</w:t>
      </w:r>
      <w:r w:rsidR="004E5F1A">
        <w:rPr>
          <w:rFonts w:ascii="Times New Roman" w:hAnsi="Times New Roman" w:cs="Times New Roman"/>
          <w:sz w:val="24"/>
          <w:szCs w:val="24"/>
        </w:rPr>
        <w:t>”</w:t>
      </w:r>
      <w:r>
        <w:rPr>
          <w:rFonts w:ascii="Times New Roman" w:hAnsi="Times New Roman" w:cs="Times New Roman"/>
          <w:sz w:val="24"/>
          <w:szCs w:val="24"/>
        </w:rPr>
        <w:t xml:space="preserve"> and </w:t>
      </w:r>
      <w:r w:rsidR="004E5F1A">
        <w:rPr>
          <w:rFonts w:ascii="Times New Roman" w:hAnsi="Times New Roman" w:cs="Times New Roman"/>
          <w:sz w:val="24"/>
          <w:szCs w:val="24"/>
        </w:rPr>
        <w:t>“</w:t>
      </w:r>
      <w:r>
        <w:rPr>
          <w:rFonts w:ascii="Times New Roman" w:hAnsi="Times New Roman" w:cs="Times New Roman"/>
          <w:sz w:val="24"/>
          <w:szCs w:val="24"/>
        </w:rPr>
        <w:t>gross income</w:t>
      </w:r>
      <w:r w:rsidR="004E5F1A">
        <w:rPr>
          <w:rFonts w:ascii="Times New Roman" w:hAnsi="Times New Roman" w:cs="Times New Roman"/>
          <w:sz w:val="24"/>
          <w:szCs w:val="24"/>
        </w:rPr>
        <w:t>”</w:t>
      </w:r>
      <w:r>
        <w:rPr>
          <w:rFonts w:ascii="Times New Roman" w:hAnsi="Times New Roman" w:cs="Times New Roman"/>
          <w:sz w:val="24"/>
          <w:szCs w:val="24"/>
        </w:rPr>
        <w:t xml:space="preserve"> </w:t>
      </w:r>
      <w:r w:rsidR="00FB62A3">
        <w:rPr>
          <w:rFonts w:ascii="Times New Roman" w:hAnsi="Times New Roman" w:cs="Times New Roman"/>
          <w:sz w:val="24"/>
          <w:szCs w:val="24"/>
        </w:rPr>
        <w:t>are</w:t>
      </w:r>
      <w:r>
        <w:rPr>
          <w:rFonts w:ascii="Times New Roman" w:hAnsi="Times New Roman" w:cs="Times New Roman"/>
          <w:sz w:val="24"/>
          <w:szCs w:val="24"/>
        </w:rPr>
        <w:t xml:space="preserve"> defined in the relevant parts thus:</w:t>
      </w:r>
    </w:p>
    <w:p w:rsidR="00866091" w:rsidRPr="00040D09" w:rsidRDefault="00866091" w:rsidP="00A6229C">
      <w:pPr>
        <w:autoSpaceDE w:val="0"/>
        <w:autoSpaceDN w:val="0"/>
        <w:adjustRightInd w:val="0"/>
        <w:spacing w:after="0" w:line="240" w:lineRule="auto"/>
        <w:ind w:left="720"/>
        <w:jc w:val="both"/>
        <w:rPr>
          <w:rFonts w:ascii="Times New Roman" w:hAnsi="Times New Roman" w:cs="Times New Roman"/>
        </w:rPr>
      </w:pPr>
      <w:r w:rsidRPr="00040D09">
        <w:rPr>
          <w:rFonts w:ascii="Times New Roman" w:hAnsi="Times New Roman" w:cs="Times New Roman"/>
        </w:rPr>
        <w:t>“</w:t>
      </w:r>
      <w:r w:rsidR="00FB62A3" w:rsidRPr="00040D09">
        <w:rPr>
          <w:rFonts w:ascii="Times New Roman" w:hAnsi="Times New Roman" w:cs="Times New Roman"/>
        </w:rPr>
        <w:t xml:space="preserve">trade” includes any….trade, business, activity,…….,carried on, engaged in or followed for the purposes of producing income as defined in subsection (1) of section </w:t>
      </w:r>
      <w:r w:rsidR="00FB62A3" w:rsidRPr="00040D09">
        <w:rPr>
          <w:rFonts w:ascii="Times New Roman" w:hAnsi="Times New Roman" w:cs="Times New Roman"/>
          <w:i/>
          <w:iCs/>
        </w:rPr>
        <w:t xml:space="preserve">eight </w:t>
      </w:r>
      <w:r w:rsidR="00FB62A3" w:rsidRPr="00040D09">
        <w:rPr>
          <w:rFonts w:ascii="Times New Roman" w:hAnsi="Times New Roman" w:cs="Times New Roman"/>
        </w:rPr>
        <w:t>and anything done for the purpose of producing such income;</w:t>
      </w:r>
    </w:p>
    <w:p w:rsidR="00FB62A3" w:rsidRPr="00040D09" w:rsidRDefault="00FB62A3" w:rsidP="00A6229C">
      <w:pPr>
        <w:autoSpaceDE w:val="0"/>
        <w:autoSpaceDN w:val="0"/>
        <w:adjustRightInd w:val="0"/>
        <w:spacing w:after="0" w:line="240" w:lineRule="auto"/>
        <w:ind w:left="720"/>
        <w:jc w:val="both"/>
        <w:rPr>
          <w:rFonts w:ascii="Times New Roman" w:hAnsi="Times New Roman" w:cs="Times New Roman"/>
        </w:rPr>
      </w:pPr>
    </w:p>
    <w:p w:rsidR="00FB62A3" w:rsidRPr="00040D09" w:rsidRDefault="00A6229C" w:rsidP="00A6229C">
      <w:pPr>
        <w:autoSpaceDE w:val="0"/>
        <w:autoSpaceDN w:val="0"/>
        <w:adjustRightInd w:val="0"/>
        <w:spacing w:after="0" w:line="240" w:lineRule="auto"/>
        <w:ind w:left="720"/>
        <w:jc w:val="both"/>
        <w:rPr>
          <w:rFonts w:ascii="Times New Roman" w:hAnsi="Times New Roman" w:cs="Times New Roman"/>
        </w:rPr>
      </w:pPr>
      <w:r w:rsidRPr="00040D09">
        <w:rPr>
          <w:rFonts w:ascii="Times New Roman" w:hAnsi="Times New Roman" w:cs="Times New Roman"/>
        </w:rPr>
        <w:t xml:space="preserve">“gross income” means </w:t>
      </w:r>
      <w:r w:rsidRPr="00040D09">
        <w:rPr>
          <w:rFonts w:ascii="Times New Roman" w:hAnsi="Times New Roman" w:cs="Times New Roman"/>
          <w:u w:val="single"/>
        </w:rPr>
        <w:t>the total amount</w:t>
      </w:r>
      <w:r w:rsidRPr="00040D09">
        <w:rPr>
          <w:rFonts w:ascii="Times New Roman" w:hAnsi="Times New Roman" w:cs="Times New Roman"/>
        </w:rPr>
        <w:t xml:space="preserve"> received by or accrued to or in favour of a person or deemed to have been received by or to have accrued to or in favour of a person </w:t>
      </w:r>
      <w:r w:rsidRPr="00040D09">
        <w:rPr>
          <w:rFonts w:ascii="Times New Roman" w:hAnsi="Times New Roman" w:cs="Times New Roman"/>
          <w:u w:val="single"/>
        </w:rPr>
        <w:t>in any year of assessment</w:t>
      </w:r>
      <w:r w:rsidRPr="00040D09">
        <w:rPr>
          <w:rFonts w:ascii="Times New Roman" w:hAnsi="Times New Roman" w:cs="Times New Roman"/>
        </w:rPr>
        <w:t xml:space="preserve"> from a source within or deemed to be within Zimbabwe excluding any amount (not being an amount included in “gross income” by virtue of any of the following paragraphs of this definition) so received or accrued which is proved by the taxpayer to be of a capital nature and, without derogation from the generality of the foregoing, includes—</w:t>
      </w:r>
    </w:p>
    <w:p w:rsidR="00FF2312" w:rsidRDefault="00FF2312" w:rsidP="002E286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addition, amount is defined as follows:</w:t>
      </w:r>
    </w:p>
    <w:p w:rsidR="007E3F14" w:rsidRPr="00AF0703" w:rsidRDefault="00FF2312" w:rsidP="00F31424">
      <w:pPr>
        <w:autoSpaceDE w:val="0"/>
        <w:autoSpaceDN w:val="0"/>
        <w:adjustRightInd w:val="0"/>
        <w:spacing w:after="0" w:line="240" w:lineRule="auto"/>
        <w:ind w:left="720"/>
        <w:jc w:val="both"/>
        <w:rPr>
          <w:rFonts w:ascii="Times New Roman" w:hAnsi="Times New Roman" w:cs="Times New Roman"/>
        </w:rPr>
      </w:pPr>
      <w:r w:rsidRPr="00AF0703">
        <w:rPr>
          <w:rFonts w:ascii="Times New Roman" w:hAnsi="Times New Roman" w:cs="Times New Roman"/>
        </w:rPr>
        <w:t>“</w:t>
      </w:r>
      <w:r w:rsidR="007E3F14" w:rsidRPr="00AF0703">
        <w:rPr>
          <w:rFonts w:ascii="Times New Roman" w:hAnsi="Times New Roman" w:cs="Times New Roman"/>
        </w:rPr>
        <w:t xml:space="preserve">amount”, for the purposes of the provisions of this Act relating to the determination of the </w:t>
      </w:r>
      <w:r w:rsidR="007E3F14" w:rsidRPr="00AF0703">
        <w:rPr>
          <w:rFonts w:ascii="Times New Roman" w:hAnsi="Times New Roman" w:cs="Times New Roman"/>
          <w:u w:val="single"/>
        </w:rPr>
        <w:t>gross income, income</w:t>
      </w:r>
      <w:r w:rsidRPr="00AF0703">
        <w:rPr>
          <w:rFonts w:ascii="Times New Roman" w:hAnsi="Times New Roman" w:cs="Times New Roman"/>
          <w:u w:val="single"/>
        </w:rPr>
        <w:t xml:space="preserve"> </w:t>
      </w:r>
      <w:r w:rsidR="007E3F14" w:rsidRPr="00AF0703">
        <w:rPr>
          <w:rFonts w:ascii="Times New Roman" w:hAnsi="Times New Roman" w:cs="Times New Roman"/>
          <w:u w:val="single"/>
        </w:rPr>
        <w:t xml:space="preserve">or taxable income, as defined in subsection (1) of section </w:t>
      </w:r>
      <w:r w:rsidR="007E3F14" w:rsidRPr="00AF0703">
        <w:rPr>
          <w:rFonts w:ascii="Times New Roman" w:hAnsi="Times New Roman" w:cs="Times New Roman"/>
          <w:i/>
          <w:iCs/>
          <w:u w:val="single"/>
        </w:rPr>
        <w:t>eight</w:t>
      </w:r>
      <w:r w:rsidR="007E3F14" w:rsidRPr="00AF0703">
        <w:rPr>
          <w:rFonts w:ascii="Times New Roman" w:hAnsi="Times New Roman" w:cs="Times New Roman"/>
          <w:u w:val="single"/>
        </w:rPr>
        <w:t>,</w:t>
      </w:r>
      <w:r w:rsidR="007E3F14" w:rsidRPr="00AF0703">
        <w:rPr>
          <w:rFonts w:ascii="Times New Roman" w:hAnsi="Times New Roman" w:cs="Times New Roman"/>
        </w:rPr>
        <w:t xml:space="preserve"> of a person, means—</w:t>
      </w:r>
    </w:p>
    <w:p w:rsidR="007E3F14" w:rsidRPr="00AF0703" w:rsidRDefault="007E3F14" w:rsidP="00F31424">
      <w:pPr>
        <w:autoSpaceDE w:val="0"/>
        <w:autoSpaceDN w:val="0"/>
        <w:adjustRightInd w:val="0"/>
        <w:spacing w:after="0" w:line="240" w:lineRule="auto"/>
        <w:ind w:firstLine="720"/>
        <w:jc w:val="both"/>
        <w:rPr>
          <w:rFonts w:ascii="Times New Roman" w:hAnsi="Times New Roman" w:cs="Times New Roman"/>
        </w:rPr>
      </w:pPr>
      <w:r w:rsidRPr="00AF0703">
        <w:rPr>
          <w:rFonts w:ascii="Times New Roman" w:hAnsi="Times New Roman" w:cs="Times New Roman"/>
        </w:rPr>
        <w:t>(</w:t>
      </w:r>
      <w:r w:rsidRPr="00AF0703">
        <w:rPr>
          <w:rFonts w:ascii="Times New Roman" w:hAnsi="Times New Roman" w:cs="Times New Roman"/>
          <w:i/>
          <w:iCs/>
        </w:rPr>
        <w:t>a</w:t>
      </w:r>
      <w:r w:rsidRPr="00AF0703">
        <w:rPr>
          <w:rFonts w:ascii="Times New Roman" w:hAnsi="Times New Roman" w:cs="Times New Roman"/>
        </w:rPr>
        <w:t xml:space="preserve">) </w:t>
      </w:r>
      <w:r w:rsidR="00FF2312" w:rsidRPr="00AF0703">
        <w:rPr>
          <w:rFonts w:ascii="Times New Roman" w:hAnsi="Times New Roman" w:cs="Times New Roman"/>
        </w:rPr>
        <w:tab/>
      </w:r>
      <w:r w:rsidRPr="00AF0703">
        <w:rPr>
          <w:rFonts w:ascii="Times New Roman" w:hAnsi="Times New Roman" w:cs="Times New Roman"/>
        </w:rPr>
        <w:t>money; or</w:t>
      </w:r>
    </w:p>
    <w:p w:rsidR="0016171A" w:rsidRPr="00AF0703" w:rsidRDefault="007E3F14" w:rsidP="00F31424">
      <w:pPr>
        <w:spacing w:line="240" w:lineRule="auto"/>
        <w:ind w:firstLine="720"/>
        <w:jc w:val="both"/>
        <w:rPr>
          <w:rFonts w:ascii="Times New Roman" w:hAnsi="Times New Roman" w:cs="Times New Roman"/>
        </w:rPr>
      </w:pPr>
      <w:r w:rsidRPr="00AF0703">
        <w:rPr>
          <w:rFonts w:ascii="Times New Roman" w:hAnsi="Times New Roman" w:cs="Times New Roman"/>
        </w:rPr>
        <w:t>(</w:t>
      </w:r>
      <w:r w:rsidRPr="00AF0703">
        <w:rPr>
          <w:rFonts w:ascii="Times New Roman" w:hAnsi="Times New Roman" w:cs="Times New Roman"/>
          <w:i/>
          <w:iCs/>
        </w:rPr>
        <w:t>b</w:t>
      </w:r>
      <w:r w:rsidRPr="00AF0703">
        <w:rPr>
          <w:rFonts w:ascii="Times New Roman" w:hAnsi="Times New Roman" w:cs="Times New Roman"/>
        </w:rPr>
        <w:t>)</w:t>
      </w:r>
      <w:r w:rsidR="00FF2312" w:rsidRPr="00AF0703">
        <w:rPr>
          <w:rFonts w:ascii="Times New Roman" w:hAnsi="Times New Roman" w:cs="Times New Roman"/>
        </w:rPr>
        <w:tab/>
      </w:r>
      <w:r w:rsidRPr="00AF0703">
        <w:rPr>
          <w:rFonts w:ascii="Times New Roman" w:hAnsi="Times New Roman" w:cs="Times New Roman"/>
        </w:rPr>
        <w:t xml:space="preserve"> any other property, corporeal or incorporeal, having an ascertainable money value;</w:t>
      </w:r>
      <w:r w:rsidR="002E286B">
        <w:rPr>
          <w:rFonts w:ascii="Times New Roman" w:hAnsi="Times New Roman" w:cs="Times New Roman"/>
        </w:rPr>
        <w:t>”</w:t>
      </w:r>
    </w:p>
    <w:p w:rsidR="006609DF" w:rsidRDefault="00F31424" w:rsidP="00AF070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general deduction formula covers expenditure and losses to the extent that that they are incurred for the purposes of trade or the production of income, not of a capital nature. The expressions “purposes of trade” or “production of income” when read together with the definition of </w:t>
      </w:r>
      <w:r w:rsidR="004E5F1A">
        <w:rPr>
          <w:rFonts w:ascii="Times New Roman" w:hAnsi="Times New Roman" w:cs="Times New Roman"/>
          <w:sz w:val="24"/>
          <w:szCs w:val="24"/>
        </w:rPr>
        <w:t>“</w:t>
      </w:r>
      <w:r>
        <w:rPr>
          <w:rFonts w:ascii="Times New Roman" w:hAnsi="Times New Roman" w:cs="Times New Roman"/>
          <w:sz w:val="24"/>
          <w:szCs w:val="24"/>
        </w:rPr>
        <w:t>trade</w:t>
      </w:r>
      <w:r w:rsidR="004E5F1A">
        <w:rPr>
          <w:rFonts w:ascii="Times New Roman" w:hAnsi="Times New Roman" w:cs="Times New Roman"/>
          <w:sz w:val="24"/>
          <w:szCs w:val="24"/>
        </w:rPr>
        <w:t>”</w:t>
      </w:r>
      <w:r>
        <w:rPr>
          <w:rFonts w:ascii="Times New Roman" w:hAnsi="Times New Roman" w:cs="Times New Roman"/>
          <w:sz w:val="24"/>
          <w:szCs w:val="24"/>
        </w:rPr>
        <w:t xml:space="preserve">, to the extent to which it envisages “producing income as defined in subs (1) of section eight” carry the same meaning. However, the </w:t>
      </w:r>
      <w:r w:rsidR="006609DF">
        <w:rPr>
          <w:rFonts w:ascii="Times New Roman" w:hAnsi="Times New Roman" w:cs="Times New Roman"/>
          <w:sz w:val="24"/>
          <w:szCs w:val="24"/>
        </w:rPr>
        <w:t xml:space="preserve">production of trade income derived from the definition </w:t>
      </w:r>
      <w:r w:rsidR="004E5F1A">
        <w:rPr>
          <w:rFonts w:ascii="Times New Roman" w:hAnsi="Times New Roman" w:cs="Times New Roman"/>
          <w:sz w:val="24"/>
          <w:szCs w:val="24"/>
        </w:rPr>
        <w:t>of “</w:t>
      </w:r>
      <w:r w:rsidR="006609DF">
        <w:rPr>
          <w:rFonts w:ascii="Times New Roman" w:hAnsi="Times New Roman" w:cs="Times New Roman"/>
          <w:sz w:val="24"/>
          <w:szCs w:val="24"/>
        </w:rPr>
        <w:t>gross income</w:t>
      </w:r>
      <w:r w:rsidR="004E5F1A">
        <w:rPr>
          <w:rFonts w:ascii="Times New Roman" w:hAnsi="Times New Roman" w:cs="Times New Roman"/>
          <w:sz w:val="24"/>
          <w:szCs w:val="24"/>
        </w:rPr>
        <w:t>”</w:t>
      </w:r>
      <w:r w:rsidR="006609DF">
        <w:rPr>
          <w:rFonts w:ascii="Times New Roman" w:hAnsi="Times New Roman" w:cs="Times New Roman"/>
          <w:sz w:val="24"/>
          <w:szCs w:val="24"/>
        </w:rPr>
        <w:t xml:space="preserve"> does not limit such income to a particular year of assessment but encompasses the production of income in “any year of assessment”. It seems to me that while the definition of trade in s 2 links expenditure in s 15 (2) (a) to income in s 8 (1) of the Income Tax Act,  it does</w:t>
      </w:r>
      <w:r w:rsidR="00A977AA">
        <w:rPr>
          <w:rFonts w:ascii="Times New Roman" w:hAnsi="Times New Roman" w:cs="Times New Roman"/>
          <w:sz w:val="24"/>
          <w:szCs w:val="24"/>
        </w:rPr>
        <w:t xml:space="preserve"> not  match expenditure incurred in a particular tax year with income accruing in the same tax year. Contrary to my earlier findings on the point, I now agree with the submission made by Mr </w:t>
      </w:r>
      <w:r w:rsidR="00A977AA" w:rsidRPr="004E5F1A">
        <w:rPr>
          <w:rFonts w:ascii="Times New Roman" w:hAnsi="Times New Roman" w:cs="Times New Roman"/>
          <w:i/>
          <w:sz w:val="24"/>
          <w:szCs w:val="24"/>
        </w:rPr>
        <w:t>Tivada</w:t>
      </w:r>
      <w:r w:rsidR="00A977AA">
        <w:rPr>
          <w:rFonts w:ascii="Times New Roman" w:hAnsi="Times New Roman" w:cs="Times New Roman"/>
          <w:sz w:val="24"/>
          <w:szCs w:val="24"/>
        </w:rPr>
        <w:t xml:space="preserve">r that the matching principle does not form part of our income tax law.  </w:t>
      </w:r>
    </w:p>
    <w:p w:rsidR="00976C19" w:rsidRPr="004E3401" w:rsidRDefault="00A977AA" w:rsidP="002B51E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I must hasten to add that </w:t>
      </w:r>
      <w:r w:rsidR="00C6413E">
        <w:rPr>
          <w:rFonts w:ascii="Times New Roman" w:hAnsi="Times New Roman" w:cs="Times New Roman"/>
          <w:sz w:val="24"/>
          <w:szCs w:val="24"/>
        </w:rPr>
        <w:t>the</w:t>
      </w:r>
      <w:r w:rsidR="004E5F1A">
        <w:rPr>
          <w:rFonts w:ascii="Times New Roman" w:hAnsi="Times New Roman" w:cs="Times New Roman"/>
          <w:sz w:val="24"/>
          <w:szCs w:val="24"/>
        </w:rPr>
        <w:t xml:space="preserve"> </w:t>
      </w:r>
      <w:r>
        <w:rPr>
          <w:rFonts w:ascii="Times New Roman" w:hAnsi="Times New Roman" w:cs="Times New Roman"/>
          <w:sz w:val="24"/>
          <w:szCs w:val="24"/>
        </w:rPr>
        <w:t>finding does not alter the position I have taken in previous cases that a prepayment is incurred in the tax year (s) subsequent to the tax year in which it is</w:t>
      </w:r>
      <w:r w:rsidR="00383CDA">
        <w:rPr>
          <w:rFonts w:ascii="Times New Roman" w:hAnsi="Times New Roman" w:cs="Times New Roman"/>
          <w:sz w:val="24"/>
          <w:szCs w:val="24"/>
        </w:rPr>
        <w:t xml:space="preserve"> made. The ordinary grammatical meaning of “</w:t>
      </w:r>
      <w:r w:rsidR="002A3328" w:rsidRPr="004E3401">
        <w:rPr>
          <w:rFonts w:ascii="Times New Roman" w:hAnsi="Times New Roman" w:cs="Times New Roman"/>
          <w:sz w:val="24"/>
          <w:szCs w:val="24"/>
        </w:rPr>
        <w:t>prepayment</w:t>
      </w:r>
      <w:r w:rsidR="00383CDA">
        <w:rPr>
          <w:rFonts w:ascii="Times New Roman" w:hAnsi="Times New Roman" w:cs="Times New Roman"/>
          <w:sz w:val="24"/>
          <w:szCs w:val="24"/>
        </w:rPr>
        <w:t>”</w:t>
      </w:r>
      <w:r w:rsidR="002A3328" w:rsidRPr="004E3401">
        <w:rPr>
          <w:rFonts w:ascii="Times New Roman" w:hAnsi="Times New Roman" w:cs="Times New Roman"/>
          <w:sz w:val="24"/>
          <w:szCs w:val="24"/>
        </w:rPr>
        <w:t xml:space="preserve"> presupposes </w:t>
      </w:r>
      <w:r w:rsidR="00383CDA">
        <w:rPr>
          <w:rFonts w:ascii="Times New Roman" w:hAnsi="Times New Roman" w:cs="Times New Roman"/>
          <w:sz w:val="24"/>
          <w:szCs w:val="24"/>
        </w:rPr>
        <w:t xml:space="preserve">an advance payment made for goods or services to be provided </w:t>
      </w:r>
      <w:r w:rsidR="002A3328" w:rsidRPr="004E3401">
        <w:rPr>
          <w:rFonts w:ascii="Times New Roman" w:hAnsi="Times New Roman" w:cs="Times New Roman"/>
          <w:sz w:val="24"/>
          <w:szCs w:val="24"/>
        </w:rPr>
        <w:t>in a subsequent tax year, otherwise it would be a misnomer to characterise the payments for goods or service due in the subsisting tax year</w:t>
      </w:r>
      <w:r w:rsidR="00EA21FF">
        <w:rPr>
          <w:rFonts w:ascii="Times New Roman" w:hAnsi="Times New Roman" w:cs="Times New Roman"/>
          <w:sz w:val="24"/>
          <w:szCs w:val="24"/>
        </w:rPr>
        <w:t xml:space="preserve"> as prepayments.</w:t>
      </w:r>
      <w:r w:rsidR="002A3328" w:rsidRPr="004E3401">
        <w:rPr>
          <w:rFonts w:ascii="Times New Roman" w:hAnsi="Times New Roman" w:cs="Times New Roman"/>
          <w:sz w:val="24"/>
          <w:szCs w:val="24"/>
        </w:rPr>
        <w:t xml:space="preserve"> I</w:t>
      </w:r>
      <w:r w:rsidR="008A77AD" w:rsidRPr="004E3401">
        <w:rPr>
          <w:rFonts w:ascii="Times New Roman" w:hAnsi="Times New Roman" w:cs="Times New Roman"/>
          <w:sz w:val="24"/>
          <w:szCs w:val="24"/>
        </w:rPr>
        <w:t>t seems to me that</w:t>
      </w:r>
      <w:r w:rsidR="002A3328" w:rsidRPr="004E3401">
        <w:rPr>
          <w:rFonts w:ascii="Times New Roman" w:hAnsi="Times New Roman" w:cs="Times New Roman"/>
          <w:sz w:val="24"/>
          <w:szCs w:val="24"/>
        </w:rPr>
        <w:t xml:space="preserve"> the prepayments in question related to performance for which the unconditional legal obligation to pay </w:t>
      </w:r>
      <w:r w:rsidR="00280779" w:rsidRPr="004E3401">
        <w:rPr>
          <w:rFonts w:ascii="Times New Roman" w:hAnsi="Times New Roman" w:cs="Times New Roman"/>
          <w:sz w:val="24"/>
          <w:szCs w:val="24"/>
        </w:rPr>
        <w:t xml:space="preserve">would take place in the subsequent tax year. </w:t>
      </w:r>
      <w:r w:rsidR="00725618" w:rsidRPr="004E3401">
        <w:rPr>
          <w:rFonts w:ascii="Times New Roman" w:hAnsi="Times New Roman" w:cs="Times New Roman"/>
          <w:sz w:val="24"/>
          <w:szCs w:val="24"/>
        </w:rPr>
        <w:t xml:space="preserve"> </w:t>
      </w:r>
      <w:r w:rsidR="00EA21FF">
        <w:rPr>
          <w:rFonts w:ascii="Times New Roman" w:hAnsi="Times New Roman" w:cs="Times New Roman"/>
          <w:sz w:val="24"/>
          <w:szCs w:val="24"/>
        </w:rPr>
        <w:t xml:space="preserve">I, therefore, </w:t>
      </w:r>
      <w:r w:rsidR="008A77AD" w:rsidRPr="004E3401">
        <w:rPr>
          <w:rFonts w:ascii="Times New Roman" w:hAnsi="Times New Roman" w:cs="Times New Roman"/>
          <w:sz w:val="24"/>
          <w:szCs w:val="24"/>
        </w:rPr>
        <w:t xml:space="preserve">agree with the </w:t>
      </w:r>
      <w:r w:rsidR="00EA21FF">
        <w:rPr>
          <w:rFonts w:ascii="Times New Roman" w:hAnsi="Times New Roman" w:cs="Times New Roman"/>
          <w:sz w:val="24"/>
          <w:szCs w:val="24"/>
        </w:rPr>
        <w:t xml:space="preserve">alternative </w:t>
      </w:r>
      <w:r w:rsidR="008A77AD" w:rsidRPr="004E3401">
        <w:rPr>
          <w:rFonts w:ascii="Times New Roman" w:hAnsi="Times New Roman" w:cs="Times New Roman"/>
          <w:sz w:val="24"/>
          <w:szCs w:val="24"/>
        </w:rPr>
        <w:t xml:space="preserve">contention made by Mr </w:t>
      </w:r>
      <w:r w:rsidR="00EA21FF">
        <w:rPr>
          <w:rFonts w:ascii="Times New Roman" w:hAnsi="Times New Roman" w:cs="Times New Roman"/>
          <w:i/>
          <w:sz w:val="24"/>
          <w:szCs w:val="24"/>
        </w:rPr>
        <w:t>Bhebhe</w:t>
      </w:r>
      <w:r w:rsidR="008A77AD" w:rsidRPr="004E3401">
        <w:rPr>
          <w:rFonts w:ascii="Times New Roman" w:hAnsi="Times New Roman" w:cs="Times New Roman"/>
          <w:sz w:val="24"/>
          <w:szCs w:val="24"/>
        </w:rPr>
        <w:t xml:space="preserve"> in para 8.4.1.2 and 8.9</w:t>
      </w:r>
      <w:r w:rsidR="00EA21FF">
        <w:rPr>
          <w:rFonts w:ascii="Times New Roman" w:hAnsi="Times New Roman" w:cs="Times New Roman"/>
          <w:sz w:val="24"/>
          <w:szCs w:val="24"/>
        </w:rPr>
        <w:t xml:space="preserve"> of his written heads, </w:t>
      </w:r>
      <w:r w:rsidR="008A77AD" w:rsidRPr="004E3401">
        <w:rPr>
          <w:rFonts w:ascii="Times New Roman" w:hAnsi="Times New Roman" w:cs="Times New Roman"/>
          <w:sz w:val="24"/>
          <w:szCs w:val="24"/>
        </w:rPr>
        <w:t xml:space="preserve">based </w:t>
      </w:r>
      <w:r w:rsidR="00EA21FF">
        <w:rPr>
          <w:rFonts w:ascii="Times New Roman" w:hAnsi="Times New Roman" w:cs="Times New Roman"/>
          <w:sz w:val="24"/>
          <w:szCs w:val="24"/>
        </w:rPr>
        <w:t xml:space="preserve">as they were </w:t>
      </w:r>
      <w:r w:rsidR="008A77AD" w:rsidRPr="004E3401">
        <w:rPr>
          <w:rFonts w:ascii="Times New Roman" w:hAnsi="Times New Roman" w:cs="Times New Roman"/>
          <w:sz w:val="24"/>
          <w:szCs w:val="24"/>
        </w:rPr>
        <w:t xml:space="preserve">on the sentiments expressed in </w:t>
      </w:r>
      <w:r w:rsidR="00725618" w:rsidRPr="004E3401">
        <w:rPr>
          <w:rFonts w:ascii="Times New Roman" w:hAnsi="Times New Roman" w:cs="Times New Roman"/>
          <w:i/>
          <w:sz w:val="24"/>
          <w:szCs w:val="24"/>
        </w:rPr>
        <w:t xml:space="preserve">Nasionale Pers Bpk </w:t>
      </w:r>
      <w:r w:rsidR="00725618" w:rsidRPr="002E286B">
        <w:rPr>
          <w:rFonts w:ascii="Times New Roman" w:hAnsi="Times New Roman" w:cs="Times New Roman"/>
          <w:sz w:val="24"/>
          <w:szCs w:val="24"/>
        </w:rPr>
        <w:t>v</w:t>
      </w:r>
      <w:r w:rsidR="00725618" w:rsidRPr="004E3401">
        <w:rPr>
          <w:rFonts w:ascii="Times New Roman" w:hAnsi="Times New Roman" w:cs="Times New Roman"/>
          <w:i/>
          <w:sz w:val="24"/>
          <w:szCs w:val="24"/>
        </w:rPr>
        <w:t xml:space="preserve"> KBI</w:t>
      </w:r>
      <w:r w:rsidR="00725618" w:rsidRPr="004E3401">
        <w:rPr>
          <w:rFonts w:ascii="Times New Roman" w:hAnsi="Times New Roman" w:cs="Times New Roman"/>
          <w:sz w:val="24"/>
          <w:szCs w:val="24"/>
        </w:rPr>
        <w:t xml:space="preserve"> 1986 (3) SA 549 (A)</w:t>
      </w:r>
      <w:r w:rsidR="008A77AD" w:rsidRPr="004E3401">
        <w:rPr>
          <w:rFonts w:ascii="Times New Roman" w:hAnsi="Times New Roman" w:cs="Times New Roman"/>
          <w:sz w:val="24"/>
          <w:szCs w:val="24"/>
        </w:rPr>
        <w:t xml:space="preserve"> that:</w:t>
      </w:r>
      <w:r w:rsidR="002B51E1">
        <w:rPr>
          <w:rFonts w:ascii="Times New Roman" w:hAnsi="Times New Roman" w:cs="Times New Roman"/>
          <w:sz w:val="24"/>
          <w:szCs w:val="24"/>
        </w:rPr>
        <w:t xml:space="preserve"> </w:t>
      </w:r>
    </w:p>
    <w:p w:rsidR="00841DF1" w:rsidRPr="005B5E1B" w:rsidRDefault="008A77AD" w:rsidP="00841DF1">
      <w:pPr>
        <w:spacing w:line="240" w:lineRule="auto"/>
        <w:ind w:left="720"/>
        <w:jc w:val="both"/>
        <w:rPr>
          <w:rFonts w:ascii="Times New Roman" w:hAnsi="Times New Roman" w:cs="Times New Roman"/>
        </w:rPr>
      </w:pPr>
      <w:r w:rsidRPr="005B5E1B">
        <w:rPr>
          <w:rFonts w:ascii="Times New Roman" w:hAnsi="Times New Roman" w:cs="Times New Roman"/>
        </w:rPr>
        <w:t>“A prepayment is not a payment which has become due as there is no legal and unconditional liability for the same to be paid. There is no contractual liability to pay the said expenditure at all. Prepayments are not made as a result of any unconditional liability to pay. It is simply a voluntary payment by the taxpayer before the liability becomes leg</w:t>
      </w:r>
      <w:r w:rsidR="00841DF1" w:rsidRPr="005B5E1B">
        <w:rPr>
          <w:rFonts w:ascii="Times New Roman" w:hAnsi="Times New Roman" w:cs="Times New Roman"/>
        </w:rPr>
        <w:t>ally due.</w:t>
      </w:r>
    </w:p>
    <w:p w:rsidR="00841DF1" w:rsidRDefault="00841DF1" w:rsidP="002E28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prepayment could only be deducted in the year in which it is paid if the provisions of s 15 (2) (cc) are met. The tax payer must make a conscious election, and the deductible amount would have to be fixed by the </w:t>
      </w:r>
      <w:r w:rsidR="00E82C2E">
        <w:rPr>
          <w:rFonts w:ascii="Times New Roman" w:hAnsi="Times New Roman" w:cs="Times New Roman"/>
          <w:sz w:val="24"/>
          <w:szCs w:val="24"/>
        </w:rPr>
        <w:t>Commissioner</w:t>
      </w:r>
      <w:r>
        <w:rPr>
          <w:rFonts w:ascii="Times New Roman" w:hAnsi="Times New Roman" w:cs="Times New Roman"/>
          <w:sz w:val="24"/>
          <w:szCs w:val="24"/>
        </w:rPr>
        <w:t xml:space="preserve"> for expenditure to be incurred in a subsequent tax year </w:t>
      </w:r>
      <w:r w:rsidR="00E82C2E">
        <w:rPr>
          <w:rFonts w:ascii="Times New Roman" w:hAnsi="Times New Roman" w:cs="Times New Roman"/>
          <w:sz w:val="24"/>
          <w:szCs w:val="24"/>
        </w:rPr>
        <w:t xml:space="preserve">in which gross income arising from such prepayment will accrue. In the instant case, the appellant did not make the envisaged election nor did the Commissioner fix the deductible amount. </w:t>
      </w:r>
    </w:p>
    <w:p w:rsidR="00D42E89" w:rsidRPr="007730AB" w:rsidRDefault="00812456" w:rsidP="002E286B">
      <w:pPr>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I</w:t>
      </w:r>
      <w:r w:rsidR="000C169B" w:rsidRPr="004E3401">
        <w:rPr>
          <w:rFonts w:ascii="Times New Roman" w:hAnsi="Times New Roman" w:cs="Times New Roman"/>
          <w:sz w:val="24"/>
          <w:szCs w:val="24"/>
        </w:rPr>
        <w:t xml:space="preserve">n view of the fact that the prepayments were not actuated by any unconditional legal liability and could not have been incurred in the years in which they were paid, I </w:t>
      </w:r>
      <w:r w:rsidRPr="004E3401">
        <w:rPr>
          <w:rFonts w:ascii="Times New Roman" w:hAnsi="Times New Roman" w:cs="Times New Roman"/>
          <w:sz w:val="24"/>
          <w:szCs w:val="24"/>
        </w:rPr>
        <w:t xml:space="preserve">uphold the treatment accorded </w:t>
      </w:r>
      <w:r w:rsidR="000C169B" w:rsidRPr="004E3401">
        <w:rPr>
          <w:rFonts w:ascii="Times New Roman" w:hAnsi="Times New Roman" w:cs="Times New Roman"/>
          <w:sz w:val="24"/>
          <w:szCs w:val="24"/>
        </w:rPr>
        <w:t>to them by the Commissioner</w:t>
      </w:r>
      <w:r w:rsidRPr="004E3401">
        <w:rPr>
          <w:rFonts w:ascii="Times New Roman" w:hAnsi="Times New Roman" w:cs="Times New Roman"/>
          <w:sz w:val="24"/>
          <w:szCs w:val="24"/>
        </w:rPr>
        <w:t>.</w:t>
      </w:r>
      <w:r w:rsidR="004E5F1A">
        <w:rPr>
          <w:rFonts w:ascii="Times New Roman" w:hAnsi="Times New Roman" w:cs="Times New Roman"/>
          <w:sz w:val="24"/>
          <w:szCs w:val="24"/>
        </w:rPr>
        <w:t xml:space="preserve"> </w:t>
      </w:r>
    </w:p>
    <w:p w:rsidR="00D42E89" w:rsidRPr="004E3401" w:rsidRDefault="00D42E89" w:rsidP="00D42E89">
      <w:pPr>
        <w:spacing w:line="240" w:lineRule="auto"/>
        <w:jc w:val="both"/>
        <w:rPr>
          <w:rFonts w:ascii="Times New Roman" w:hAnsi="Times New Roman" w:cs="Times New Roman"/>
          <w:i/>
          <w:sz w:val="24"/>
          <w:szCs w:val="24"/>
        </w:rPr>
      </w:pPr>
      <w:r w:rsidRPr="004E3401">
        <w:rPr>
          <w:rFonts w:ascii="Times New Roman" w:hAnsi="Times New Roman" w:cs="Times New Roman"/>
          <w:i/>
          <w:sz w:val="24"/>
          <w:szCs w:val="24"/>
        </w:rPr>
        <w:t>Whether:</w:t>
      </w:r>
    </w:p>
    <w:p w:rsidR="00D42E89" w:rsidRPr="004E3401" w:rsidRDefault="00D42E89" w:rsidP="00D42E89">
      <w:pPr>
        <w:pStyle w:val="ListParagraph"/>
        <w:numPr>
          <w:ilvl w:val="0"/>
          <w:numId w:val="9"/>
        </w:numPr>
        <w:spacing w:line="240" w:lineRule="auto"/>
        <w:jc w:val="both"/>
        <w:rPr>
          <w:rFonts w:ascii="Times New Roman" w:hAnsi="Times New Roman" w:cs="Times New Roman"/>
          <w:i/>
          <w:sz w:val="24"/>
          <w:szCs w:val="24"/>
        </w:rPr>
      </w:pPr>
      <w:r w:rsidRPr="004E3401">
        <w:rPr>
          <w:rFonts w:ascii="Times New Roman" w:hAnsi="Times New Roman" w:cs="Times New Roman"/>
          <w:i/>
          <w:sz w:val="24"/>
          <w:szCs w:val="24"/>
        </w:rPr>
        <w:t>the quarry stripping expenses</w:t>
      </w:r>
      <w:r w:rsidR="00C3607F">
        <w:rPr>
          <w:rFonts w:ascii="Times New Roman" w:hAnsi="Times New Roman" w:cs="Times New Roman"/>
          <w:i/>
          <w:sz w:val="24"/>
          <w:szCs w:val="24"/>
        </w:rPr>
        <w:t xml:space="preserve"> incurred in the 2011</w:t>
      </w:r>
      <w:r w:rsidRPr="004E3401">
        <w:rPr>
          <w:rFonts w:ascii="Times New Roman" w:hAnsi="Times New Roman" w:cs="Times New Roman"/>
          <w:i/>
          <w:sz w:val="24"/>
          <w:szCs w:val="24"/>
        </w:rPr>
        <w:t xml:space="preserve"> tax year were of a capital or revenue nature and deductible in that tax year? </w:t>
      </w:r>
    </w:p>
    <w:p w:rsidR="00D42E89" w:rsidRPr="004E3401" w:rsidRDefault="00D42E89" w:rsidP="00D42E89">
      <w:pPr>
        <w:pStyle w:val="ListParagraph"/>
        <w:numPr>
          <w:ilvl w:val="0"/>
          <w:numId w:val="9"/>
        </w:numPr>
        <w:spacing w:line="240" w:lineRule="auto"/>
        <w:jc w:val="both"/>
        <w:rPr>
          <w:rFonts w:ascii="Times New Roman" w:hAnsi="Times New Roman" w:cs="Times New Roman"/>
          <w:i/>
          <w:sz w:val="24"/>
          <w:szCs w:val="24"/>
        </w:rPr>
      </w:pPr>
      <w:r w:rsidRPr="004E3401">
        <w:rPr>
          <w:rFonts w:ascii="Times New Roman" w:hAnsi="Times New Roman" w:cs="Times New Roman"/>
          <w:i/>
          <w:sz w:val="24"/>
          <w:szCs w:val="24"/>
        </w:rPr>
        <w:t>the treatment  of this issue by the respondent in the additional assessment resulted in double taxation of the same income?</w:t>
      </w:r>
    </w:p>
    <w:p w:rsidR="00704A47" w:rsidRDefault="00D42E89" w:rsidP="002E286B">
      <w:pPr>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It was common ground that the mining operations conducted by the appellant involved the removal of overburden</w:t>
      </w:r>
      <w:r w:rsidR="00BE66CF">
        <w:rPr>
          <w:rFonts w:ascii="Times New Roman" w:hAnsi="Times New Roman" w:cs="Times New Roman"/>
          <w:sz w:val="24"/>
          <w:szCs w:val="24"/>
        </w:rPr>
        <w:t xml:space="preserve">, </w:t>
      </w:r>
      <w:r w:rsidR="0009141C" w:rsidRPr="004E3401">
        <w:rPr>
          <w:rFonts w:ascii="Times New Roman" w:hAnsi="Times New Roman" w:cs="Times New Roman"/>
          <w:sz w:val="24"/>
          <w:szCs w:val="24"/>
        </w:rPr>
        <w:t>also known as quarry stripping,</w:t>
      </w:r>
      <w:r w:rsidRPr="004E3401">
        <w:rPr>
          <w:rFonts w:ascii="Times New Roman" w:hAnsi="Times New Roman" w:cs="Times New Roman"/>
          <w:sz w:val="24"/>
          <w:szCs w:val="24"/>
        </w:rPr>
        <w:t xml:space="preserve"> </w:t>
      </w:r>
      <w:r w:rsidR="00BE66CF">
        <w:rPr>
          <w:rFonts w:ascii="Times New Roman" w:hAnsi="Times New Roman" w:cs="Times New Roman"/>
          <w:sz w:val="24"/>
          <w:szCs w:val="24"/>
        </w:rPr>
        <w:t xml:space="preserve">which according to the testimony of the sole witness called by the appellant connoted the removal of flora and soil </w:t>
      </w:r>
      <w:r w:rsidRPr="004E3401">
        <w:rPr>
          <w:rFonts w:ascii="Times New Roman" w:hAnsi="Times New Roman" w:cs="Times New Roman"/>
          <w:sz w:val="24"/>
          <w:szCs w:val="24"/>
        </w:rPr>
        <w:t>to expose the limestone</w:t>
      </w:r>
      <w:r w:rsidR="00BE66CF">
        <w:rPr>
          <w:rFonts w:ascii="Times New Roman" w:hAnsi="Times New Roman" w:cs="Times New Roman"/>
          <w:sz w:val="24"/>
          <w:szCs w:val="24"/>
        </w:rPr>
        <w:t xml:space="preserve"> embedded in the belly of the earth</w:t>
      </w:r>
      <w:r w:rsidRPr="004E3401">
        <w:rPr>
          <w:rFonts w:ascii="Times New Roman" w:hAnsi="Times New Roman" w:cs="Times New Roman"/>
          <w:sz w:val="24"/>
          <w:szCs w:val="24"/>
        </w:rPr>
        <w:t xml:space="preserve">. </w:t>
      </w:r>
      <w:r w:rsidR="00192989" w:rsidRPr="004E3401">
        <w:rPr>
          <w:rFonts w:ascii="Times New Roman" w:hAnsi="Times New Roman" w:cs="Times New Roman"/>
          <w:sz w:val="24"/>
          <w:szCs w:val="24"/>
        </w:rPr>
        <w:t xml:space="preserve">It was further common cause </w:t>
      </w:r>
      <w:r w:rsidR="00BE66CF">
        <w:rPr>
          <w:rFonts w:ascii="Times New Roman" w:hAnsi="Times New Roman" w:cs="Times New Roman"/>
          <w:sz w:val="24"/>
          <w:szCs w:val="24"/>
        </w:rPr>
        <w:t>that in the</w:t>
      </w:r>
      <w:r w:rsidR="00192989" w:rsidRPr="004E3401">
        <w:rPr>
          <w:rFonts w:ascii="Times New Roman" w:hAnsi="Times New Roman" w:cs="Times New Roman"/>
          <w:sz w:val="24"/>
          <w:szCs w:val="24"/>
        </w:rPr>
        <w:t xml:space="preserve"> tax years </w:t>
      </w:r>
      <w:r w:rsidR="00C3607F">
        <w:rPr>
          <w:rFonts w:ascii="Times New Roman" w:hAnsi="Times New Roman" w:cs="Times New Roman"/>
          <w:sz w:val="24"/>
          <w:szCs w:val="24"/>
        </w:rPr>
        <w:t>prior to the 2011</w:t>
      </w:r>
      <w:r w:rsidR="00BE66CF">
        <w:rPr>
          <w:rFonts w:ascii="Times New Roman" w:hAnsi="Times New Roman" w:cs="Times New Roman"/>
          <w:sz w:val="24"/>
          <w:szCs w:val="24"/>
        </w:rPr>
        <w:t xml:space="preserve"> year of assessment </w:t>
      </w:r>
      <w:r w:rsidR="00192989" w:rsidRPr="004E3401">
        <w:rPr>
          <w:rFonts w:ascii="Times New Roman" w:hAnsi="Times New Roman" w:cs="Times New Roman"/>
          <w:sz w:val="24"/>
          <w:szCs w:val="24"/>
        </w:rPr>
        <w:t>the appellant used to quarry strip</w:t>
      </w:r>
      <w:r w:rsidR="006E4A68" w:rsidRPr="004E3401">
        <w:rPr>
          <w:rFonts w:ascii="Times New Roman" w:hAnsi="Times New Roman" w:cs="Times New Roman"/>
          <w:sz w:val="24"/>
          <w:szCs w:val="24"/>
        </w:rPr>
        <w:t xml:space="preserve"> on a </w:t>
      </w:r>
      <w:r w:rsidR="00BE66CF" w:rsidRPr="004E3401">
        <w:rPr>
          <w:rFonts w:ascii="Times New Roman" w:hAnsi="Times New Roman" w:cs="Times New Roman"/>
          <w:sz w:val="24"/>
          <w:szCs w:val="24"/>
        </w:rPr>
        <w:t>monthly</w:t>
      </w:r>
      <w:r w:rsidR="00BE66CF">
        <w:rPr>
          <w:rFonts w:ascii="Times New Roman" w:hAnsi="Times New Roman" w:cs="Times New Roman"/>
          <w:sz w:val="24"/>
          <w:szCs w:val="24"/>
        </w:rPr>
        <w:t xml:space="preserve"> </w:t>
      </w:r>
      <w:r w:rsidR="000236F7">
        <w:rPr>
          <w:rFonts w:ascii="Times New Roman" w:hAnsi="Times New Roman" w:cs="Times New Roman"/>
          <w:sz w:val="24"/>
          <w:szCs w:val="24"/>
        </w:rPr>
        <w:t xml:space="preserve">basis </w:t>
      </w:r>
      <w:r w:rsidR="00BE66CF">
        <w:rPr>
          <w:rFonts w:ascii="Times New Roman" w:hAnsi="Times New Roman" w:cs="Times New Roman"/>
          <w:sz w:val="24"/>
          <w:szCs w:val="24"/>
        </w:rPr>
        <w:t>and claimed the cost as revenue expenses. However, it decided</w:t>
      </w:r>
      <w:r w:rsidR="006E4A68" w:rsidRPr="004E3401">
        <w:rPr>
          <w:rFonts w:ascii="Times New Roman" w:hAnsi="Times New Roman" w:cs="Times New Roman"/>
          <w:sz w:val="24"/>
          <w:szCs w:val="24"/>
        </w:rPr>
        <w:t xml:space="preserve"> to do so on an area sufficient to </w:t>
      </w:r>
      <w:r w:rsidR="006E4A68" w:rsidRPr="004E3401">
        <w:rPr>
          <w:rFonts w:ascii="Times New Roman" w:hAnsi="Times New Roman" w:cs="Times New Roman"/>
          <w:sz w:val="24"/>
          <w:szCs w:val="24"/>
        </w:rPr>
        <w:lastRenderedPageBreak/>
        <w:t>permit four years mi</w:t>
      </w:r>
      <w:r w:rsidR="003377D7" w:rsidRPr="004E3401">
        <w:rPr>
          <w:rFonts w:ascii="Times New Roman" w:hAnsi="Times New Roman" w:cs="Times New Roman"/>
          <w:sz w:val="24"/>
          <w:szCs w:val="24"/>
        </w:rPr>
        <w:t>ning during the 2011 tax year at a cost of US$647 119.32</w:t>
      </w:r>
      <w:r w:rsidR="006E4A68" w:rsidRPr="004E3401">
        <w:rPr>
          <w:rFonts w:ascii="Times New Roman" w:hAnsi="Times New Roman" w:cs="Times New Roman"/>
          <w:sz w:val="24"/>
          <w:szCs w:val="24"/>
        </w:rPr>
        <w:t>.</w:t>
      </w:r>
      <w:r w:rsidR="00871EDB" w:rsidRPr="004E3401">
        <w:rPr>
          <w:rFonts w:ascii="Times New Roman" w:hAnsi="Times New Roman" w:cs="Times New Roman"/>
          <w:sz w:val="24"/>
          <w:szCs w:val="24"/>
        </w:rPr>
        <w:t xml:space="preserve"> The appellant</w:t>
      </w:r>
      <w:r w:rsidR="003377D7" w:rsidRPr="004E3401">
        <w:rPr>
          <w:rFonts w:ascii="Times New Roman" w:hAnsi="Times New Roman" w:cs="Times New Roman"/>
          <w:sz w:val="24"/>
          <w:szCs w:val="24"/>
        </w:rPr>
        <w:t xml:space="preserve"> treated this amount as a revenue expense</w:t>
      </w:r>
      <w:r w:rsidR="00B3510D">
        <w:rPr>
          <w:rFonts w:ascii="Times New Roman" w:hAnsi="Times New Roman" w:cs="Times New Roman"/>
          <w:sz w:val="24"/>
          <w:szCs w:val="24"/>
        </w:rPr>
        <w:t xml:space="preserve">, claimed the expense in the year it was incurred and amortised the cost over four year in its book financial standards in accordance with the accounting principles prescribed in the International Financial Reporting Standards, IFRSs. </w:t>
      </w:r>
      <w:r w:rsidR="007C5718" w:rsidRPr="004E3401">
        <w:rPr>
          <w:rFonts w:ascii="Times New Roman" w:hAnsi="Times New Roman" w:cs="Times New Roman"/>
          <w:sz w:val="24"/>
          <w:szCs w:val="24"/>
        </w:rPr>
        <w:t xml:space="preserve">In the additional assessments, the </w:t>
      </w:r>
      <w:r w:rsidR="00787CF1" w:rsidRPr="004E3401">
        <w:rPr>
          <w:rFonts w:ascii="Times New Roman" w:hAnsi="Times New Roman" w:cs="Times New Roman"/>
          <w:sz w:val="24"/>
          <w:szCs w:val="24"/>
        </w:rPr>
        <w:t>investigators</w:t>
      </w:r>
      <w:r w:rsidR="003377D7" w:rsidRPr="004E3401">
        <w:rPr>
          <w:rFonts w:ascii="Times New Roman" w:hAnsi="Times New Roman" w:cs="Times New Roman"/>
          <w:sz w:val="24"/>
          <w:szCs w:val="24"/>
        </w:rPr>
        <w:t xml:space="preserve"> disallowed the </w:t>
      </w:r>
      <w:r w:rsidR="00FD5CBF" w:rsidRPr="004E3401">
        <w:rPr>
          <w:rFonts w:ascii="Times New Roman" w:hAnsi="Times New Roman" w:cs="Times New Roman"/>
          <w:sz w:val="24"/>
          <w:szCs w:val="24"/>
        </w:rPr>
        <w:t xml:space="preserve">whole amount in the 2011 tax year and added back US$522 241.35 to the appellant’s 2012 taxable income and </w:t>
      </w:r>
      <w:r w:rsidR="00871EDB" w:rsidRPr="004E3401">
        <w:rPr>
          <w:rFonts w:ascii="Times New Roman" w:hAnsi="Times New Roman" w:cs="Times New Roman"/>
          <w:sz w:val="24"/>
          <w:szCs w:val="24"/>
        </w:rPr>
        <w:t xml:space="preserve">US$261 120.63 </w:t>
      </w:r>
      <w:r w:rsidR="00FD5CBF" w:rsidRPr="004E3401">
        <w:rPr>
          <w:rFonts w:ascii="Times New Roman" w:hAnsi="Times New Roman" w:cs="Times New Roman"/>
          <w:sz w:val="24"/>
          <w:szCs w:val="24"/>
        </w:rPr>
        <w:t>to the 2013</w:t>
      </w:r>
      <w:r w:rsidR="007C5718" w:rsidRPr="004E3401">
        <w:rPr>
          <w:rFonts w:ascii="Times New Roman" w:hAnsi="Times New Roman" w:cs="Times New Roman"/>
          <w:sz w:val="24"/>
          <w:szCs w:val="24"/>
        </w:rPr>
        <w:t xml:space="preserve"> </w:t>
      </w:r>
      <w:r w:rsidR="00FD5CBF" w:rsidRPr="004E3401">
        <w:rPr>
          <w:rFonts w:ascii="Times New Roman" w:hAnsi="Times New Roman" w:cs="Times New Roman"/>
          <w:sz w:val="24"/>
          <w:szCs w:val="24"/>
        </w:rPr>
        <w:t>taxable income</w:t>
      </w:r>
      <w:r w:rsidR="007C5718" w:rsidRPr="004E3401">
        <w:rPr>
          <w:rFonts w:ascii="Times New Roman" w:hAnsi="Times New Roman" w:cs="Times New Roman"/>
          <w:sz w:val="24"/>
          <w:szCs w:val="24"/>
        </w:rPr>
        <w:t>, which were reflected in the appellant’s financial statements for those years as closing balances of the US$647 110.32</w:t>
      </w:r>
      <w:r w:rsidR="002D6BBA" w:rsidRPr="004E3401">
        <w:rPr>
          <w:rFonts w:ascii="Times New Roman" w:hAnsi="Times New Roman" w:cs="Times New Roman"/>
          <w:sz w:val="24"/>
          <w:szCs w:val="24"/>
        </w:rPr>
        <w:t>. However, in the determination of the objection the respondent reversed the adding back to income of US$ 522 241.35 for the 2012 tax year</w:t>
      </w:r>
      <w:r w:rsidR="00124BB1" w:rsidRPr="004E3401">
        <w:rPr>
          <w:rFonts w:ascii="Times New Roman" w:hAnsi="Times New Roman" w:cs="Times New Roman"/>
          <w:sz w:val="24"/>
          <w:szCs w:val="24"/>
        </w:rPr>
        <w:t xml:space="preserve"> but maintained that the US$261 120.63 was a separate deduction and not a closing balance in the 2013 tax year</w:t>
      </w:r>
      <w:r w:rsidR="002D6BBA" w:rsidRPr="004E3401">
        <w:rPr>
          <w:rFonts w:ascii="Times New Roman" w:hAnsi="Times New Roman" w:cs="Times New Roman"/>
          <w:sz w:val="24"/>
          <w:szCs w:val="24"/>
        </w:rPr>
        <w:t xml:space="preserve">. </w:t>
      </w:r>
      <w:r w:rsidR="00124BB1" w:rsidRPr="004E3401">
        <w:rPr>
          <w:rFonts w:ascii="Times New Roman" w:hAnsi="Times New Roman" w:cs="Times New Roman"/>
          <w:sz w:val="24"/>
          <w:szCs w:val="24"/>
        </w:rPr>
        <w:t>T</w:t>
      </w:r>
      <w:r w:rsidR="002D6BBA" w:rsidRPr="004E3401">
        <w:rPr>
          <w:rFonts w:ascii="Times New Roman" w:hAnsi="Times New Roman" w:cs="Times New Roman"/>
          <w:sz w:val="24"/>
          <w:szCs w:val="24"/>
        </w:rPr>
        <w:t xml:space="preserve">he </w:t>
      </w:r>
      <w:r w:rsidR="00124BB1" w:rsidRPr="004E3401">
        <w:rPr>
          <w:rFonts w:ascii="Times New Roman" w:hAnsi="Times New Roman" w:cs="Times New Roman"/>
          <w:sz w:val="24"/>
          <w:szCs w:val="24"/>
        </w:rPr>
        <w:t>respondent proceeded to disallow the deduction of the US$647 110.32 on the ground that it was expenditure of a capital rather than revenue nature. The appellant</w:t>
      </w:r>
      <w:r w:rsidR="00A065DB" w:rsidRPr="004E3401">
        <w:rPr>
          <w:rFonts w:ascii="Times New Roman" w:hAnsi="Times New Roman" w:cs="Times New Roman"/>
          <w:sz w:val="24"/>
          <w:szCs w:val="24"/>
        </w:rPr>
        <w:t xml:space="preserve"> </w:t>
      </w:r>
      <w:r w:rsidR="00124BB1" w:rsidRPr="004E3401">
        <w:rPr>
          <w:rFonts w:ascii="Times New Roman" w:hAnsi="Times New Roman" w:cs="Times New Roman"/>
          <w:sz w:val="24"/>
          <w:szCs w:val="24"/>
        </w:rPr>
        <w:t>made the contrary contention that</w:t>
      </w:r>
      <w:r w:rsidR="00A065DB" w:rsidRPr="004E3401">
        <w:rPr>
          <w:rFonts w:ascii="Times New Roman" w:hAnsi="Times New Roman" w:cs="Times New Roman"/>
          <w:sz w:val="24"/>
          <w:szCs w:val="24"/>
        </w:rPr>
        <w:t xml:space="preserve"> the expenditure in question</w:t>
      </w:r>
      <w:r w:rsidR="00704A47">
        <w:rPr>
          <w:rFonts w:ascii="Times New Roman" w:hAnsi="Times New Roman" w:cs="Times New Roman"/>
          <w:sz w:val="24"/>
          <w:szCs w:val="24"/>
        </w:rPr>
        <w:t xml:space="preserve"> was of a revenue nature.</w:t>
      </w:r>
    </w:p>
    <w:p w:rsidR="00704A47" w:rsidRDefault="00B61694" w:rsidP="002E286B">
      <w:pPr>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The distinction between revenue and capital expenditure has been stated in </w:t>
      </w:r>
      <w:r w:rsidR="006B795E" w:rsidRPr="004E3401">
        <w:rPr>
          <w:rFonts w:ascii="Times New Roman" w:hAnsi="Times New Roman" w:cs="Times New Roman"/>
          <w:sz w:val="24"/>
          <w:szCs w:val="24"/>
        </w:rPr>
        <w:t xml:space="preserve">such cases as </w:t>
      </w:r>
      <w:r w:rsidR="006B795E" w:rsidRPr="004E3401">
        <w:rPr>
          <w:rFonts w:ascii="Times New Roman" w:hAnsi="Times New Roman" w:cs="Times New Roman"/>
          <w:i/>
          <w:sz w:val="24"/>
          <w:szCs w:val="24"/>
        </w:rPr>
        <w:t xml:space="preserve">Artheton British Insulated &amp; Helsby Cables Ltd </w:t>
      </w:r>
      <w:r w:rsidR="006B795E" w:rsidRPr="004E3401">
        <w:rPr>
          <w:rFonts w:ascii="Times New Roman" w:hAnsi="Times New Roman" w:cs="Times New Roman"/>
          <w:sz w:val="24"/>
          <w:szCs w:val="24"/>
        </w:rPr>
        <w:t xml:space="preserve">[1925] TC 155, </w:t>
      </w:r>
      <w:r w:rsidR="006B795E" w:rsidRPr="004E3401">
        <w:rPr>
          <w:rFonts w:ascii="Times New Roman" w:hAnsi="Times New Roman" w:cs="Times New Roman"/>
          <w:i/>
          <w:sz w:val="24"/>
          <w:szCs w:val="24"/>
        </w:rPr>
        <w:t xml:space="preserve">CIR </w:t>
      </w:r>
      <w:r w:rsidR="006B795E" w:rsidRPr="002E286B">
        <w:rPr>
          <w:rFonts w:ascii="Times New Roman" w:hAnsi="Times New Roman" w:cs="Times New Roman"/>
          <w:sz w:val="24"/>
          <w:szCs w:val="24"/>
        </w:rPr>
        <w:t>v</w:t>
      </w:r>
      <w:r w:rsidR="006B795E" w:rsidRPr="004E3401">
        <w:rPr>
          <w:rFonts w:ascii="Times New Roman" w:hAnsi="Times New Roman" w:cs="Times New Roman"/>
          <w:i/>
          <w:sz w:val="24"/>
          <w:szCs w:val="24"/>
        </w:rPr>
        <w:t xml:space="preserve"> George Forest Timber Company</w:t>
      </w:r>
      <w:r w:rsidR="006B795E" w:rsidRPr="004E3401">
        <w:rPr>
          <w:rFonts w:ascii="Times New Roman" w:hAnsi="Times New Roman" w:cs="Times New Roman"/>
          <w:sz w:val="24"/>
          <w:szCs w:val="24"/>
        </w:rPr>
        <w:t xml:space="preserve"> 1 SATC 20</w:t>
      </w:r>
      <w:r w:rsidR="008F75EF" w:rsidRPr="004E3401">
        <w:rPr>
          <w:rFonts w:ascii="Times New Roman" w:hAnsi="Times New Roman" w:cs="Times New Roman"/>
          <w:sz w:val="24"/>
          <w:szCs w:val="24"/>
        </w:rPr>
        <w:t>,</w:t>
      </w:r>
      <w:r w:rsidR="006B795E" w:rsidRPr="004E3401">
        <w:rPr>
          <w:rFonts w:ascii="Times New Roman" w:hAnsi="Times New Roman" w:cs="Times New Roman"/>
          <w:sz w:val="24"/>
          <w:szCs w:val="24"/>
        </w:rPr>
        <w:t xml:space="preserve"> </w:t>
      </w:r>
      <w:r w:rsidR="006B795E" w:rsidRPr="004E3401">
        <w:rPr>
          <w:rFonts w:ascii="Times New Roman" w:hAnsi="Times New Roman" w:cs="Times New Roman"/>
          <w:i/>
          <w:sz w:val="24"/>
          <w:szCs w:val="24"/>
        </w:rPr>
        <w:t xml:space="preserve">New State Areas Ltd </w:t>
      </w:r>
      <w:r w:rsidR="006B795E" w:rsidRPr="002E286B">
        <w:rPr>
          <w:rFonts w:ascii="Times New Roman" w:hAnsi="Times New Roman" w:cs="Times New Roman"/>
          <w:sz w:val="24"/>
          <w:szCs w:val="24"/>
        </w:rPr>
        <w:t>v</w:t>
      </w:r>
      <w:r w:rsidR="006B795E" w:rsidRPr="004E3401">
        <w:rPr>
          <w:rFonts w:ascii="Times New Roman" w:hAnsi="Times New Roman" w:cs="Times New Roman"/>
          <w:i/>
          <w:sz w:val="24"/>
          <w:szCs w:val="24"/>
        </w:rPr>
        <w:t xml:space="preserve"> CIR </w:t>
      </w:r>
      <w:r w:rsidR="006B795E" w:rsidRPr="004E3401">
        <w:rPr>
          <w:rFonts w:ascii="Times New Roman" w:hAnsi="Times New Roman" w:cs="Times New Roman"/>
          <w:sz w:val="24"/>
          <w:szCs w:val="24"/>
        </w:rPr>
        <w:t>1946 AD 610</w:t>
      </w:r>
      <w:r w:rsidR="008F75EF" w:rsidRPr="004E3401">
        <w:rPr>
          <w:rFonts w:ascii="Times New Roman" w:hAnsi="Times New Roman" w:cs="Times New Roman"/>
          <w:sz w:val="24"/>
          <w:szCs w:val="24"/>
        </w:rPr>
        <w:t xml:space="preserve"> and </w:t>
      </w:r>
      <w:r w:rsidR="008F75EF" w:rsidRPr="004E3401">
        <w:rPr>
          <w:rFonts w:ascii="Times New Roman" w:hAnsi="Times New Roman" w:cs="Times New Roman"/>
          <w:i/>
          <w:sz w:val="24"/>
          <w:szCs w:val="24"/>
        </w:rPr>
        <w:t xml:space="preserve">D Bank Ltd </w:t>
      </w:r>
      <w:r w:rsidR="008F75EF" w:rsidRPr="002E286B">
        <w:rPr>
          <w:rFonts w:ascii="Times New Roman" w:hAnsi="Times New Roman" w:cs="Times New Roman"/>
          <w:sz w:val="24"/>
          <w:szCs w:val="24"/>
        </w:rPr>
        <w:t>v</w:t>
      </w:r>
      <w:r w:rsidR="008F75EF" w:rsidRPr="004E3401">
        <w:rPr>
          <w:rFonts w:ascii="Times New Roman" w:hAnsi="Times New Roman" w:cs="Times New Roman"/>
          <w:i/>
          <w:sz w:val="24"/>
          <w:szCs w:val="24"/>
        </w:rPr>
        <w:t xml:space="preserve"> Zimbabwe Revenue Authority</w:t>
      </w:r>
      <w:r w:rsidR="008F75EF" w:rsidRPr="004E3401">
        <w:rPr>
          <w:rFonts w:ascii="Times New Roman" w:hAnsi="Times New Roman" w:cs="Times New Roman"/>
          <w:sz w:val="24"/>
          <w:szCs w:val="24"/>
        </w:rPr>
        <w:t xml:space="preserve"> 2015 (1) ZLR</w:t>
      </w:r>
      <w:r w:rsidR="00846DE8">
        <w:rPr>
          <w:rFonts w:ascii="Times New Roman" w:hAnsi="Times New Roman" w:cs="Times New Roman"/>
          <w:sz w:val="24"/>
          <w:szCs w:val="24"/>
        </w:rPr>
        <w:t xml:space="preserve"> 176 (H)</w:t>
      </w:r>
      <w:r w:rsidR="008F75EF" w:rsidRPr="004E3401">
        <w:rPr>
          <w:rFonts w:ascii="Times New Roman" w:hAnsi="Times New Roman" w:cs="Times New Roman"/>
          <w:sz w:val="24"/>
          <w:szCs w:val="24"/>
        </w:rPr>
        <w:t xml:space="preserve"> </w:t>
      </w:r>
      <w:r w:rsidR="006B795E" w:rsidRPr="004E3401">
        <w:rPr>
          <w:rFonts w:ascii="Times New Roman" w:hAnsi="Times New Roman" w:cs="Times New Roman"/>
          <w:sz w:val="24"/>
          <w:szCs w:val="24"/>
        </w:rPr>
        <w:t>.  The main principle derived from these cases is that the money spent in creating or acquiring a source of profit constitutes</w:t>
      </w:r>
      <w:r w:rsidR="00846DE8">
        <w:rPr>
          <w:rFonts w:ascii="Times New Roman" w:hAnsi="Times New Roman" w:cs="Times New Roman"/>
          <w:sz w:val="24"/>
          <w:szCs w:val="24"/>
        </w:rPr>
        <w:t xml:space="preserve"> capital expenditure while the money spent in working it or which is incurred as part of the cost of performing the income producing operation </w:t>
      </w:r>
      <w:r w:rsidR="006B795E" w:rsidRPr="004E3401">
        <w:rPr>
          <w:rFonts w:ascii="Times New Roman" w:hAnsi="Times New Roman" w:cs="Times New Roman"/>
          <w:sz w:val="24"/>
          <w:szCs w:val="24"/>
        </w:rPr>
        <w:t>constitutes revenue expenditure.</w:t>
      </w:r>
      <w:r w:rsidR="00601353" w:rsidRPr="004E3401">
        <w:rPr>
          <w:rFonts w:ascii="Times New Roman" w:hAnsi="Times New Roman" w:cs="Times New Roman"/>
          <w:sz w:val="24"/>
          <w:szCs w:val="24"/>
        </w:rPr>
        <w:t xml:space="preserve"> In my view, the purpose of removing the overburden was to create an asset or advantage for the enduring benefit of the mining operation</w:t>
      </w:r>
      <w:r w:rsidR="0042791D">
        <w:rPr>
          <w:rFonts w:ascii="Times New Roman" w:hAnsi="Times New Roman" w:cs="Times New Roman"/>
          <w:sz w:val="24"/>
          <w:szCs w:val="24"/>
        </w:rPr>
        <w:t>, which purpose was unaffected by the period it took to remove the overburden</w:t>
      </w:r>
      <w:r w:rsidR="00601353" w:rsidRPr="004E3401">
        <w:rPr>
          <w:rFonts w:ascii="Times New Roman" w:hAnsi="Times New Roman" w:cs="Times New Roman"/>
          <w:sz w:val="24"/>
          <w:szCs w:val="24"/>
        </w:rPr>
        <w:t xml:space="preserve">. </w:t>
      </w:r>
      <w:r w:rsidR="00AB7336">
        <w:rPr>
          <w:rFonts w:ascii="Times New Roman" w:hAnsi="Times New Roman" w:cs="Times New Roman"/>
          <w:sz w:val="24"/>
          <w:szCs w:val="24"/>
        </w:rPr>
        <w:t xml:space="preserve"> </w:t>
      </w:r>
      <w:r w:rsidR="00766A4F" w:rsidRPr="004E3401">
        <w:rPr>
          <w:rFonts w:ascii="Times New Roman" w:hAnsi="Times New Roman" w:cs="Times New Roman"/>
          <w:sz w:val="24"/>
          <w:szCs w:val="24"/>
        </w:rPr>
        <w:t xml:space="preserve">It seems to me that quarry stripping is analogous </w:t>
      </w:r>
      <w:r w:rsidR="007949B2">
        <w:rPr>
          <w:rFonts w:ascii="Times New Roman" w:hAnsi="Times New Roman" w:cs="Times New Roman"/>
          <w:sz w:val="24"/>
          <w:szCs w:val="24"/>
        </w:rPr>
        <w:t xml:space="preserve">to shaft </w:t>
      </w:r>
      <w:r w:rsidR="00766A4F" w:rsidRPr="004E3401">
        <w:rPr>
          <w:rFonts w:ascii="Times New Roman" w:hAnsi="Times New Roman" w:cs="Times New Roman"/>
          <w:sz w:val="24"/>
          <w:szCs w:val="24"/>
        </w:rPr>
        <w:t xml:space="preserve">sinking, which is treated in para 1(1) </w:t>
      </w:r>
      <w:r w:rsidR="00554FE7" w:rsidRPr="004E3401">
        <w:rPr>
          <w:rFonts w:ascii="Times New Roman" w:hAnsi="Times New Roman" w:cs="Times New Roman"/>
          <w:sz w:val="24"/>
          <w:szCs w:val="24"/>
        </w:rPr>
        <w:t xml:space="preserve">(a) </w:t>
      </w:r>
      <w:r w:rsidR="00766A4F" w:rsidRPr="004E3401">
        <w:rPr>
          <w:rFonts w:ascii="Times New Roman" w:hAnsi="Times New Roman" w:cs="Times New Roman"/>
          <w:sz w:val="24"/>
          <w:szCs w:val="24"/>
        </w:rPr>
        <w:t>(ii) of the Fifth Schedule to the Income Tax Act as a</w:t>
      </w:r>
      <w:r w:rsidR="00554FE7" w:rsidRPr="004E3401">
        <w:rPr>
          <w:rFonts w:ascii="Times New Roman" w:hAnsi="Times New Roman" w:cs="Times New Roman"/>
          <w:sz w:val="24"/>
          <w:szCs w:val="24"/>
        </w:rPr>
        <w:t xml:space="preserve">n activity of a capital nature. </w:t>
      </w:r>
      <w:r w:rsidR="007949B2">
        <w:rPr>
          <w:rFonts w:ascii="Times New Roman" w:hAnsi="Times New Roman" w:cs="Times New Roman"/>
          <w:sz w:val="24"/>
          <w:szCs w:val="24"/>
        </w:rPr>
        <w:t>The purpose of</w:t>
      </w:r>
      <w:r w:rsidR="00F7286B" w:rsidRPr="004E3401">
        <w:rPr>
          <w:rFonts w:ascii="Times New Roman" w:hAnsi="Times New Roman" w:cs="Times New Roman"/>
          <w:sz w:val="24"/>
          <w:szCs w:val="24"/>
        </w:rPr>
        <w:t xml:space="preserve"> quarry stripping like sha</w:t>
      </w:r>
      <w:r w:rsidR="0067027E" w:rsidRPr="004E3401">
        <w:rPr>
          <w:rFonts w:ascii="Times New Roman" w:hAnsi="Times New Roman" w:cs="Times New Roman"/>
          <w:sz w:val="24"/>
          <w:szCs w:val="24"/>
        </w:rPr>
        <w:t xml:space="preserve">ft sinking is to </w:t>
      </w:r>
      <w:r w:rsidR="00F7286B" w:rsidRPr="004E3401">
        <w:rPr>
          <w:rFonts w:ascii="Times New Roman" w:hAnsi="Times New Roman" w:cs="Times New Roman"/>
          <w:sz w:val="24"/>
          <w:szCs w:val="24"/>
        </w:rPr>
        <w:t>expose the mineral</w:t>
      </w:r>
      <w:r w:rsidR="0067027E" w:rsidRPr="004E3401">
        <w:rPr>
          <w:rFonts w:ascii="Times New Roman" w:hAnsi="Times New Roman" w:cs="Times New Roman"/>
          <w:sz w:val="24"/>
          <w:szCs w:val="24"/>
        </w:rPr>
        <w:t xml:space="preserve">, which is then extracted by blasting and crushing. </w:t>
      </w:r>
      <w:r w:rsidR="00265705">
        <w:rPr>
          <w:rFonts w:ascii="Times New Roman" w:hAnsi="Times New Roman" w:cs="Times New Roman"/>
          <w:sz w:val="24"/>
          <w:szCs w:val="24"/>
        </w:rPr>
        <w:t xml:space="preserve">Again, Mr </w:t>
      </w:r>
      <w:r w:rsidR="00265705" w:rsidRPr="007949B2">
        <w:rPr>
          <w:rFonts w:ascii="Times New Roman" w:hAnsi="Times New Roman" w:cs="Times New Roman"/>
          <w:i/>
          <w:sz w:val="24"/>
          <w:szCs w:val="24"/>
        </w:rPr>
        <w:t xml:space="preserve">Bhebhe </w:t>
      </w:r>
      <w:r w:rsidR="007949B2">
        <w:rPr>
          <w:rFonts w:ascii="Times New Roman" w:hAnsi="Times New Roman" w:cs="Times New Roman"/>
          <w:sz w:val="24"/>
          <w:szCs w:val="24"/>
        </w:rPr>
        <w:t xml:space="preserve">correctly contended that </w:t>
      </w:r>
      <w:r w:rsidR="00265705">
        <w:rPr>
          <w:rFonts w:ascii="Times New Roman" w:hAnsi="Times New Roman" w:cs="Times New Roman"/>
          <w:sz w:val="24"/>
          <w:szCs w:val="24"/>
        </w:rPr>
        <w:t>the land on which the soil and flora were removed together with the machinery used to remove them were capital assets.</w:t>
      </w:r>
      <w:r w:rsidR="005A60E4">
        <w:rPr>
          <w:rFonts w:ascii="Times New Roman" w:hAnsi="Times New Roman" w:cs="Times New Roman"/>
          <w:sz w:val="24"/>
          <w:szCs w:val="24"/>
        </w:rPr>
        <w:t xml:space="preserve"> It would be a misnomer for the appellant to argue that it was earning income from quarry stripping. </w:t>
      </w:r>
      <w:r w:rsidR="00FA749B">
        <w:rPr>
          <w:rFonts w:ascii="Times New Roman" w:hAnsi="Times New Roman" w:cs="Times New Roman"/>
          <w:sz w:val="24"/>
          <w:szCs w:val="24"/>
        </w:rPr>
        <w:t xml:space="preserve">Rather it was </w:t>
      </w:r>
      <w:r w:rsidR="007949B2">
        <w:rPr>
          <w:rFonts w:ascii="Times New Roman" w:hAnsi="Times New Roman" w:cs="Times New Roman"/>
          <w:sz w:val="24"/>
          <w:szCs w:val="24"/>
        </w:rPr>
        <w:t xml:space="preserve">acquiring and </w:t>
      </w:r>
      <w:r w:rsidR="00FA749B">
        <w:rPr>
          <w:rFonts w:ascii="Times New Roman" w:hAnsi="Times New Roman" w:cs="Times New Roman"/>
          <w:sz w:val="24"/>
          <w:szCs w:val="24"/>
        </w:rPr>
        <w:t>enhancing the capital asset on which the mineral</w:t>
      </w:r>
      <w:r w:rsidR="007949B2">
        <w:rPr>
          <w:rFonts w:ascii="Times New Roman" w:hAnsi="Times New Roman" w:cs="Times New Roman"/>
          <w:sz w:val="24"/>
          <w:szCs w:val="24"/>
        </w:rPr>
        <w:t>, limestone,</w:t>
      </w:r>
      <w:r w:rsidR="00FA749B">
        <w:rPr>
          <w:rFonts w:ascii="Times New Roman" w:hAnsi="Times New Roman" w:cs="Times New Roman"/>
          <w:sz w:val="24"/>
          <w:szCs w:val="24"/>
        </w:rPr>
        <w:t xml:space="preserve"> was located.</w:t>
      </w:r>
      <w:r w:rsidR="0067027E" w:rsidRPr="004E3401">
        <w:rPr>
          <w:rFonts w:ascii="Times New Roman" w:hAnsi="Times New Roman" w:cs="Times New Roman"/>
          <w:sz w:val="24"/>
          <w:szCs w:val="24"/>
        </w:rPr>
        <w:t xml:space="preserve"> I, </w:t>
      </w:r>
      <w:r w:rsidR="00554FE7" w:rsidRPr="004E3401">
        <w:rPr>
          <w:rFonts w:ascii="Times New Roman" w:hAnsi="Times New Roman" w:cs="Times New Roman"/>
          <w:sz w:val="24"/>
          <w:szCs w:val="24"/>
        </w:rPr>
        <w:t>therefore</w:t>
      </w:r>
      <w:r w:rsidR="00F7286B" w:rsidRPr="004E3401">
        <w:rPr>
          <w:rFonts w:ascii="Times New Roman" w:hAnsi="Times New Roman" w:cs="Times New Roman"/>
          <w:sz w:val="24"/>
          <w:szCs w:val="24"/>
        </w:rPr>
        <w:t>,</w:t>
      </w:r>
      <w:r w:rsidR="00554FE7" w:rsidRPr="004E3401">
        <w:rPr>
          <w:rFonts w:ascii="Times New Roman" w:hAnsi="Times New Roman" w:cs="Times New Roman"/>
          <w:sz w:val="24"/>
          <w:szCs w:val="24"/>
        </w:rPr>
        <w:t xml:space="preserve"> hold that the </w:t>
      </w:r>
      <w:r w:rsidR="009D6437" w:rsidRPr="004E3401">
        <w:rPr>
          <w:rFonts w:ascii="Times New Roman" w:hAnsi="Times New Roman" w:cs="Times New Roman"/>
          <w:sz w:val="24"/>
          <w:szCs w:val="24"/>
        </w:rPr>
        <w:t>cost and expenses incurred in removing</w:t>
      </w:r>
      <w:r w:rsidR="00554FE7" w:rsidRPr="004E3401">
        <w:rPr>
          <w:rFonts w:ascii="Times New Roman" w:hAnsi="Times New Roman" w:cs="Times New Roman"/>
          <w:sz w:val="24"/>
          <w:szCs w:val="24"/>
        </w:rPr>
        <w:t xml:space="preserve"> overburden was part of establishing or improving the income producing structure rather than of performing the income producing operations. </w:t>
      </w:r>
      <w:r w:rsidR="00175A71">
        <w:rPr>
          <w:rFonts w:ascii="Times New Roman" w:hAnsi="Times New Roman" w:cs="Times New Roman"/>
          <w:sz w:val="24"/>
          <w:szCs w:val="24"/>
        </w:rPr>
        <w:t>In my view, w</w:t>
      </w:r>
      <w:r w:rsidR="009D6437" w:rsidRPr="004E3401">
        <w:rPr>
          <w:rFonts w:ascii="Times New Roman" w:hAnsi="Times New Roman" w:cs="Times New Roman"/>
          <w:sz w:val="24"/>
          <w:szCs w:val="24"/>
        </w:rPr>
        <w:t xml:space="preserve">hile </w:t>
      </w:r>
      <w:r w:rsidR="00175A71">
        <w:rPr>
          <w:rFonts w:ascii="Times New Roman" w:hAnsi="Times New Roman" w:cs="Times New Roman"/>
          <w:sz w:val="24"/>
          <w:szCs w:val="24"/>
        </w:rPr>
        <w:t xml:space="preserve">amortisation constitutes a practical business and sound accounting principle derived from IFRS, it properly resonates with a capital asset and in </w:t>
      </w:r>
      <w:r w:rsidR="00175A71">
        <w:rPr>
          <w:rFonts w:ascii="Times New Roman" w:hAnsi="Times New Roman" w:cs="Times New Roman"/>
          <w:sz w:val="24"/>
          <w:szCs w:val="24"/>
        </w:rPr>
        <w:lastRenderedPageBreak/>
        <w:t xml:space="preserve">the instant case constituted an explicit concession by the appellant that the cost of removing overburden was of a capital nature. </w:t>
      </w:r>
      <w:r w:rsidR="00175A71" w:rsidRPr="00750559">
        <w:rPr>
          <w:rFonts w:ascii="Times New Roman" w:hAnsi="Times New Roman" w:cs="Times New Roman"/>
          <w:i/>
          <w:sz w:val="24"/>
          <w:szCs w:val="24"/>
        </w:rPr>
        <w:t xml:space="preserve">D Bank Ltd </w:t>
      </w:r>
      <w:r w:rsidR="00175A71" w:rsidRPr="002E286B">
        <w:rPr>
          <w:rFonts w:ascii="Times New Roman" w:hAnsi="Times New Roman" w:cs="Times New Roman"/>
          <w:sz w:val="24"/>
          <w:szCs w:val="24"/>
        </w:rPr>
        <w:t>v</w:t>
      </w:r>
      <w:r w:rsidR="00175A71" w:rsidRPr="00750559">
        <w:rPr>
          <w:rFonts w:ascii="Times New Roman" w:hAnsi="Times New Roman" w:cs="Times New Roman"/>
          <w:i/>
          <w:sz w:val="24"/>
          <w:szCs w:val="24"/>
        </w:rPr>
        <w:t xml:space="preserve"> Zimra</w:t>
      </w:r>
      <w:r w:rsidR="00175A71">
        <w:rPr>
          <w:rFonts w:ascii="Times New Roman" w:hAnsi="Times New Roman" w:cs="Times New Roman"/>
          <w:sz w:val="24"/>
          <w:szCs w:val="24"/>
        </w:rPr>
        <w:t>, 2015 (1) ZLR 176 (H) at 189E.</w:t>
      </w:r>
      <w:r w:rsidR="00704A47">
        <w:rPr>
          <w:rFonts w:ascii="Times New Roman" w:hAnsi="Times New Roman" w:cs="Times New Roman"/>
          <w:sz w:val="24"/>
          <w:szCs w:val="24"/>
        </w:rPr>
        <w:t xml:space="preserve"> </w:t>
      </w:r>
    </w:p>
    <w:p w:rsidR="00B7446E" w:rsidRDefault="00175A71" w:rsidP="002E28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0C4472" w:rsidRPr="004E3401">
        <w:rPr>
          <w:rFonts w:ascii="Times New Roman" w:hAnsi="Times New Roman" w:cs="Times New Roman"/>
          <w:sz w:val="24"/>
          <w:szCs w:val="24"/>
        </w:rPr>
        <w:t>n determining the first issue I held that</w:t>
      </w:r>
      <w:r w:rsidR="00DA76CF">
        <w:rPr>
          <w:rFonts w:ascii="Times New Roman" w:hAnsi="Times New Roman" w:cs="Times New Roman"/>
          <w:sz w:val="24"/>
          <w:szCs w:val="24"/>
        </w:rPr>
        <w:t>,</w:t>
      </w:r>
      <w:r w:rsidR="000C4472" w:rsidRPr="004E3401">
        <w:rPr>
          <w:rFonts w:ascii="Times New Roman" w:hAnsi="Times New Roman" w:cs="Times New Roman"/>
          <w:sz w:val="24"/>
          <w:szCs w:val="24"/>
        </w:rPr>
        <w:t xml:space="preserve"> the appellant was not entitled to claim </w:t>
      </w:r>
      <w:r w:rsidR="008B1DBD">
        <w:rPr>
          <w:rFonts w:ascii="Times New Roman" w:hAnsi="Times New Roman" w:cs="Times New Roman"/>
          <w:sz w:val="24"/>
          <w:szCs w:val="24"/>
        </w:rPr>
        <w:t>capital redemption allowances prescribed in</w:t>
      </w:r>
      <w:r w:rsidR="00DA1E4A" w:rsidRPr="004E3401">
        <w:rPr>
          <w:rFonts w:ascii="Times New Roman" w:hAnsi="Times New Roman" w:cs="Times New Roman"/>
          <w:sz w:val="24"/>
          <w:szCs w:val="24"/>
        </w:rPr>
        <w:t xml:space="preserve"> s 15 (2) (f) </w:t>
      </w:r>
      <w:r w:rsidR="008B1DBD">
        <w:rPr>
          <w:rFonts w:ascii="Times New Roman" w:hAnsi="Times New Roman" w:cs="Times New Roman"/>
          <w:sz w:val="24"/>
          <w:szCs w:val="24"/>
        </w:rPr>
        <w:t>(i)</w:t>
      </w:r>
      <w:r w:rsidR="000C4472" w:rsidRPr="004E3401">
        <w:rPr>
          <w:rFonts w:ascii="Times New Roman" w:hAnsi="Times New Roman" w:cs="Times New Roman"/>
          <w:sz w:val="24"/>
          <w:szCs w:val="24"/>
        </w:rPr>
        <w:t xml:space="preserve"> because its income emanated from cement production rather than mining operations. </w:t>
      </w:r>
      <w:r w:rsidR="00211D97" w:rsidRPr="004E3401">
        <w:rPr>
          <w:rFonts w:ascii="Times New Roman" w:hAnsi="Times New Roman" w:cs="Times New Roman"/>
          <w:sz w:val="24"/>
          <w:szCs w:val="24"/>
        </w:rPr>
        <w:t xml:space="preserve">In the alternative, the Mr </w:t>
      </w:r>
      <w:r w:rsidR="00211D97" w:rsidRPr="004B0EDC">
        <w:rPr>
          <w:rFonts w:ascii="Times New Roman" w:hAnsi="Times New Roman" w:cs="Times New Roman"/>
          <w:i/>
          <w:sz w:val="24"/>
          <w:szCs w:val="24"/>
        </w:rPr>
        <w:t>Tivadar</w:t>
      </w:r>
      <w:r w:rsidR="00211D97" w:rsidRPr="004E3401">
        <w:rPr>
          <w:rFonts w:ascii="Times New Roman" w:hAnsi="Times New Roman" w:cs="Times New Roman"/>
          <w:sz w:val="24"/>
          <w:szCs w:val="24"/>
        </w:rPr>
        <w:t xml:space="preserve"> contended that if the expenditure was of a capital nature, then the Commissioner should have allowed the deduction on the basis that the mining operation constituted a new mine as defined in para 4 (8) to the Fifth Schedule of the Income Tax Act. His argument overlooked the fact that the expenditure sought to be deducted was not derived from income emanating from mining operations as prescribed by s 15 (2) (f) (i) </w:t>
      </w:r>
      <w:r w:rsidR="007B5681" w:rsidRPr="004E3401">
        <w:rPr>
          <w:rFonts w:ascii="Times New Roman" w:hAnsi="Times New Roman" w:cs="Times New Roman"/>
          <w:sz w:val="24"/>
          <w:szCs w:val="24"/>
        </w:rPr>
        <w:t xml:space="preserve">of the Income Tax Act. </w:t>
      </w:r>
    </w:p>
    <w:p w:rsidR="004F53BA" w:rsidRDefault="008B1DBD" w:rsidP="002E28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regards to the US$261 120.63 that the appellant maintained was a closing balance of the amortised US$647 000, reversed in 2011, which was added back to income in 2013 and thus tax</w:t>
      </w:r>
      <w:r w:rsidR="000B7761">
        <w:rPr>
          <w:rFonts w:ascii="Times New Roman" w:hAnsi="Times New Roman" w:cs="Times New Roman"/>
          <w:sz w:val="24"/>
          <w:szCs w:val="24"/>
        </w:rPr>
        <w:t>ed twice, it failed to produce</w:t>
      </w:r>
      <w:r>
        <w:rPr>
          <w:rFonts w:ascii="Times New Roman" w:hAnsi="Times New Roman" w:cs="Times New Roman"/>
          <w:sz w:val="24"/>
          <w:szCs w:val="24"/>
        </w:rPr>
        <w:t xml:space="preserve"> any supporting documentary evidence. That assertion was undermined by the contradictory positions taken by the sole witness in</w:t>
      </w:r>
      <w:r w:rsidR="00FA5682">
        <w:rPr>
          <w:rFonts w:ascii="Times New Roman" w:hAnsi="Times New Roman" w:cs="Times New Roman"/>
          <w:sz w:val="24"/>
          <w:szCs w:val="24"/>
        </w:rPr>
        <w:t xml:space="preserve"> his testimony on the point. In his evidence in chief he asserted that the appellant continued to quarry strip every month during the period in question</w:t>
      </w:r>
      <w:r w:rsidR="004B0EDC">
        <w:rPr>
          <w:rFonts w:ascii="Times New Roman" w:hAnsi="Times New Roman" w:cs="Times New Roman"/>
          <w:sz w:val="24"/>
          <w:szCs w:val="24"/>
        </w:rPr>
        <w:t>,</w:t>
      </w:r>
      <w:r w:rsidR="00FA5682">
        <w:rPr>
          <w:rFonts w:ascii="Times New Roman" w:hAnsi="Times New Roman" w:cs="Times New Roman"/>
          <w:sz w:val="24"/>
          <w:szCs w:val="24"/>
        </w:rPr>
        <w:t xml:space="preserve"> while during cross examination he limited the monthly quarry stripping to the years prior to the bulk removal of overburden. Such inconsistent evidence seems to confirm the assertion made by the </w:t>
      </w:r>
      <w:r w:rsidR="00CC0C15">
        <w:rPr>
          <w:rFonts w:ascii="Times New Roman" w:hAnsi="Times New Roman" w:cs="Times New Roman"/>
          <w:sz w:val="24"/>
          <w:szCs w:val="24"/>
        </w:rPr>
        <w:t>Commissioner that the US$261 120.63</w:t>
      </w:r>
      <w:r w:rsidR="00FA5682">
        <w:rPr>
          <w:rFonts w:ascii="Times New Roman" w:hAnsi="Times New Roman" w:cs="Times New Roman"/>
          <w:sz w:val="24"/>
          <w:szCs w:val="24"/>
        </w:rPr>
        <w:t xml:space="preserve"> constituted the quarry stripping expense incurred and deducted by the appellant in its 2013 income tax return. </w:t>
      </w:r>
    </w:p>
    <w:p w:rsidR="005E15C8" w:rsidRPr="004E3401" w:rsidRDefault="005E15C8" w:rsidP="002E286B">
      <w:pPr>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I am satisfied that the Commissioner correctly </w:t>
      </w:r>
      <w:r w:rsidR="00EB69FC" w:rsidRPr="004E3401">
        <w:rPr>
          <w:rFonts w:ascii="Times New Roman" w:hAnsi="Times New Roman" w:cs="Times New Roman"/>
          <w:sz w:val="24"/>
          <w:szCs w:val="24"/>
        </w:rPr>
        <w:t>added back to the 2011 tax year t</w:t>
      </w:r>
      <w:r w:rsidRPr="004E3401">
        <w:rPr>
          <w:rFonts w:ascii="Times New Roman" w:hAnsi="Times New Roman" w:cs="Times New Roman"/>
          <w:sz w:val="24"/>
          <w:szCs w:val="24"/>
        </w:rPr>
        <w:t>h</w:t>
      </w:r>
      <w:r w:rsidR="00EB69FC" w:rsidRPr="004E3401">
        <w:rPr>
          <w:rFonts w:ascii="Times New Roman" w:hAnsi="Times New Roman" w:cs="Times New Roman"/>
          <w:sz w:val="24"/>
          <w:szCs w:val="24"/>
        </w:rPr>
        <w:t xml:space="preserve">e deduction of the US$647 119.32 </w:t>
      </w:r>
      <w:r w:rsidR="004E5192">
        <w:rPr>
          <w:rFonts w:ascii="Times New Roman" w:hAnsi="Times New Roman" w:cs="Times New Roman"/>
          <w:sz w:val="24"/>
          <w:szCs w:val="24"/>
        </w:rPr>
        <w:t xml:space="preserve">made by the appellant in that year. And in view of the failure by the appellant to establish on a balance of </w:t>
      </w:r>
      <w:r w:rsidR="001A30B6">
        <w:rPr>
          <w:rFonts w:ascii="Times New Roman" w:hAnsi="Times New Roman" w:cs="Times New Roman"/>
          <w:sz w:val="24"/>
          <w:szCs w:val="24"/>
        </w:rPr>
        <w:t>probabilities that the US$261 120.63</w:t>
      </w:r>
      <w:r w:rsidR="004E5192">
        <w:rPr>
          <w:rFonts w:ascii="Times New Roman" w:hAnsi="Times New Roman" w:cs="Times New Roman"/>
          <w:sz w:val="24"/>
          <w:szCs w:val="24"/>
        </w:rPr>
        <w:t xml:space="preserve"> was wrongly added back to income in the 2013 tax year, I would confirm the treatment accorded to that amount by the Commissioner.</w:t>
      </w:r>
    </w:p>
    <w:p w:rsidR="005149DD" w:rsidRPr="004E3401" w:rsidRDefault="005149DD" w:rsidP="002E286B">
      <w:pPr>
        <w:spacing w:after="0" w:line="360" w:lineRule="auto"/>
        <w:jc w:val="both"/>
        <w:rPr>
          <w:rFonts w:ascii="Times New Roman" w:hAnsi="Times New Roman" w:cs="Times New Roman"/>
          <w:i/>
          <w:sz w:val="24"/>
          <w:szCs w:val="24"/>
        </w:rPr>
      </w:pPr>
      <w:r w:rsidRPr="004E3401">
        <w:rPr>
          <w:rFonts w:ascii="Times New Roman" w:hAnsi="Times New Roman" w:cs="Times New Roman"/>
          <w:i/>
          <w:sz w:val="24"/>
          <w:szCs w:val="24"/>
        </w:rPr>
        <w:t>Whether the claim for management fees was app</w:t>
      </w:r>
      <w:r w:rsidR="00142AC6">
        <w:rPr>
          <w:rFonts w:ascii="Times New Roman" w:hAnsi="Times New Roman" w:cs="Times New Roman"/>
          <w:i/>
          <w:sz w:val="24"/>
          <w:szCs w:val="24"/>
        </w:rPr>
        <w:t>ropriate</w:t>
      </w:r>
      <w:r w:rsidRPr="004E3401">
        <w:rPr>
          <w:rFonts w:ascii="Times New Roman" w:hAnsi="Times New Roman" w:cs="Times New Roman"/>
          <w:i/>
          <w:sz w:val="24"/>
          <w:szCs w:val="24"/>
        </w:rPr>
        <w:t>?</w:t>
      </w:r>
    </w:p>
    <w:p w:rsidR="00D87632" w:rsidRDefault="00B81561" w:rsidP="002E286B">
      <w:pPr>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 It was common cause that the appellant was jointly owned by a Chinese incorporated company and a </w:t>
      </w:r>
      <w:r w:rsidR="008F18E5" w:rsidRPr="004E3401">
        <w:rPr>
          <w:rFonts w:ascii="Times New Roman" w:hAnsi="Times New Roman" w:cs="Times New Roman"/>
          <w:sz w:val="24"/>
          <w:szCs w:val="24"/>
        </w:rPr>
        <w:t>local parastatal in the ratio 65% and 35</w:t>
      </w:r>
      <w:r w:rsidRPr="004E3401">
        <w:rPr>
          <w:rFonts w:ascii="Times New Roman" w:hAnsi="Times New Roman" w:cs="Times New Roman"/>
          <w:sz w:val="24"/>
          <w:szCs w:val="24"/>
        </w:rPr>
        <w:t>%, respectively. The a</w:t>
      </w:r>
      <w:r w:rsidR="0091606B">
        <w:rPr>
          <w:rFonts w:ascii="Times New Roman" w:hAnsi="Times New Roman" w:cs="Times New Roman"/>
          <w:sz w:val="24"/>
          <w:szCs w:val="24"/>
        </w:rPr>
        <w:t>ppellant and these two shareholders</w:t>
      </w:r>
      <w:r w:rsidRPr="004E3401">
        <w:rPr>
          <w:rFonts w:ascii="Times New Roman" w:hAnsi="Times New Roman" w:cs="Times New Roman"/>
          <w:sz w:val="24"/>
          <w:szCs w:val="24"/>
        </w:rPr>
        <w:t xml:space="preserve"> concluded the Management Services Provision Contract</w:t>
      </w:r>
      <w:r w:rsidR="00EE045A" w:rsidRPr="004E3401">
        <w:rPr>
          <w:rFonts w:ascii="Times New Roman" w:hAnsi="Times New Roman" w:cs="Times New Roman"/>
          <w:sz w:val="24"/>
          <w:szCs w:val="24"/>
        </w:rPr>
        <w:t xml:space="preserve"> on 6 January 2009,</w:t>
      </w:r>
      <w:r w:rsidRPr="004E3401">
        <w:rPr>
          <w:rFonts w:ascii="Times New Roman" w:hAnsi="Times New Roman" w:cs="Times New Roman"/>
          <w:sz w:val="24"/>
          <w:szCs w:val="24"/>
        </w:rPr>
        <w:t xml:space="preserve"> which fixed the management fees payable to them at 2.5% of turnover to be apportioned between them in proportion to their shareholding.  </w:t>
      </w:r>
      <w:r w:rsidR="009E33A9" w:rsidRPr="004E3401">
        <w:rPr>
          <w:rFonts w:ascii="Times New Roman" w:hAnsi="Times New Roman" w:cs="Times New Roman"/>
          <w:sz w:val="24"/>
          <w:szCs w:val="24"/>
        </w:rPr>
        <w:t>In terms of clause 1 of the agreement</w:t>
      </w:r>
      <w:r w:rsidR="00343385">
        <w:rPr>
          <w:rFonts w:ascii="Times New Roman" w:hAnsi="Times New Roman" w:cs="Times New Roman"/>
          <w:sz w:val="24"/>
          <w:szCs w:val="24"/>
        </w:rPr>
        <w:t>,</w:t>
      </w:r>
      <w:r w:rsidR="009E33A9" w:rsidRPr="004E3401">
        <w:rPr>
          <w:rFonts w:ascii="Times New Roman" w:hAnsi="Times New Roman" w:cs="Times New Roman"/>
          <w:sz w:val="24"/>
          <w:szCs w:val="24"/>
        </w:rPr>
        <w:t xml:space="preserve"> the shareholders undertook to select and appoint the senior management team, select and delegate technical training experts, provide technical support in the production processes, provide staff </w:t>
      </w:r>
      <w:r w:rsidR="009E33A9" w:rsidRPr="004E3401">
        <w:rPr>
          <w:rFonts w:ascii="Times New Roman" w:hAnsi="Times New Roman" w:cs="Times New Roman"/>
          <w:sz w:val="24"/>
          <w:szCs w:val="24"/>
        </w:rPr>
        <w:lastRenderedPageBreak/>
        <w:t>training, provide support and assistance in financial services accessed at lower interest rates source and supply plant spares on cr</w:t>
      </w:r>
      <w:r w:rsidR="00C129AD" w:rsidRPr="004E3401">
        <w:rPr>
          <w:rFonts w:ascii="Times New Roman" w:hAnsi="Times New Roman" w:cs="Times New Roman"/>
          <w:sz w:val="24"/>
          <w:szCs w:val="24"/>
        </w:rPr>
        <w:t xml:space="preserve">edit without charging interest, </w:t>
      </w:r>
      <w:r w:rsidR="009E33A9" w:rsidRPr="004E3401">
        <w:rPr>
          <w:rFonts w:ascii="Times New Roman" w:hAnsi="Times New Roman" w:cs="Times New Roman"/>
          <w:sz w:val="24"/>
          <w:szCs w:val="24"/>
        </w:rPr>
        <w:t>provide internal audit services and share valuable global technical and administrative information and provide strategic direction to the appellant. The appellant undertook to pay 2.5% of monthly turnover as management fees</w:t>
      </w:r>
      <w:r w:rsidR="00756394" w:rsidRPr="004E3401">
        <w:rPr>
          <w:rFonts w:ascii="Times New Roman" w:hAnsi="Times New Roman" w:cs="Times New Roman"/>
          <w:sz w:val="24"/>
          <w:szCs w:val="24"/>
        </w:rPr>
        <w:t>, withhold the necessary taxes and remit the due amounts to both the shareholders as and when cash-</w:t>
      </w:r>
      <w:r w:rsidR="0091606B">
        <w:rPr>
          <w:rFonts w:ascii="Times New Roman" w:hAnsi="Times New Roman" w:cs="Times New Roman"/>
          <w:sz w:val="24"/>
          <w:szCs w:val="24"/>
        </w:rPr>
        <w:t>flow permitted and the Revenue A</w:t>
      </w:r>
      <w:r w:rsidR="00756394" w:rsidRPr="004E3401">
        <w:rPr>
          <w:rFonts w:ascii="Times New Roman" w:hAnsi="Times New Roman" w:cs="Times New Roman"/>
          <w:sz w:val="24"/>
          <w:szCs w:val="24"/>
        </w:rPr>
        <w:t>uthorities without fail.</w:t>
      </w:r>
      <w:r w:rsidR="009E33A9" w:rsidRPr="004E3401">
        <w:rPr>
          <w:rFonts w:ascii="Times New Roman" w:hAnsi="Times New Roman" w:cs="Times New Roman"/>
          <w:sz w:val="24"/>
          <w:szCs w:val="24"/>
        </w:rPr>
        <w:t xml:space="preserve"> </w:t>
      </w:r>
    </w:p>
    <w:p w:rsidR="00B25A3B" w:rsidRDefault="00C47A4A" w:rsidP="002E286B">
      <w:pPr>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It was also agreed that </w:t>
      </w:r>
      <w:r w:rsidR="0091606B">
        <w:rPr>
          <w:rFonts w:ascii="Times New Roman" w:hAnsi="Times New Roman" w:cs="Times New Roman"/>
          <w:sz w:val="24"/>
          <w:szCs w:val="24"/>
        </w:rPr>
        <w:t xml:space="preserve">on </w:t>
      </w:r>
      <w:r w:rsidRPr="004E3401">
        <w:rPr>
          <w:rFonts w:ascii="Times New Roman" w:hAnsi="Times New Roman" w:cs="Times New Roman"/>
          <w:sz w:val="24"/>
          <w:szCs w:val="24"/>
        </w:rPr>
        <w:t>25 November 2009, the appellant entered into an Agreement on Technical Training and Production Assurance</w:t>
      </w:r>
      <w:r w:rsidR="005F4BB8" w:rsidRPr="004E3401">
        <w:rPr>
          <w:rFonts w:ascii="Times New Roman" w:hAnsi="Times New Roman" w:cs="Times New Roman"/>
          <w:sz w:val="24"/>
          <w:szCs w:val="24"/>
        </w:rPr>
        <w:t xml:space="preserve">, which covered both the quarries and manufacturing plant, </w:t>
      </w:r>
      <w:r w:rsidRPr="004E3401">
        <w:rPr>
          <w:rFonts w:ascii="Times New Roman" w:hAnsi="Times New Roman" w:cs="Times New Roman"/>
          <w:sz w:val="24"/>
          <w:szCs w:val="24"/>
        </w:rPr>
        <w:t xml:space="preserve">with its foreign shareholder. </w:t>
      </w:r>
      <w:r w:rsidR="00CE3D17">
        <w:rPr>
          <w:rFonts w:ascii="Times New Roman" w:hAnsi="Times New Roman" w:cs="Times New Roman"/>
          <w:sz w:val="24"/>
          <w:szCs w:val="24"/>
        </w:rPr>
        <w:t xml:space="preserve">It ran for two years </w:t>
      </w:r>
      <w:r w:rsidR="0064472F">
        <w:rPr>
          <w:rFonts w:ascii="Times New Roman" w:hAnsi="Times New Roman" w:cs="Times New Roman"/>
          <w:sz w:val="24"/>
          <w:szCs w:val="24"/>
        </w:rPr>
        <w:t>from 1 December 2009 and according to an addendum signed on 24 September 2013, was renewed for a further two to 31 December 2013. In the latter agreement the</w:t>
      </w:r>
      <w:r w:rsidR="009779EC" w:rsidRPr="004E3401">
        <w:rPr>
          <w:rFonts w:ascii="Times New Roman" w:hAnsi="Times New Roman" w:cs="Times New Roman"/>
          <w:sz w:val="24"/>
          <w:szCs w:val="24"/>
        </w:rPr>
        <w:t xml:space="preserve"> foreign shareholder undertook to supply 25 training engineers and technicians listed</w:t>
      </w:r>
      <w:r w:rsidR="0064472F">
        <w:rPr>
          <w:rFonts w:ascii="Times New Roman" w:hAnsi="Times New Roman" w:cs="Times New Roman"/>
          <w:sz w:val="24"/>
          <w:szCs w:val="24"/>
        </w:rPr>
        <w:t xml:space="preserve"> in appendix 1</w:t>
      </w:r>
      <w:r w:rsidR="008A2B47" w:rsidRPr="004E3401">
        <w:rPr>
          <w:rFonts w:ascii="Times New Roman" w:hAnsi="Times New Roman" w:cs="Times New Roman"/>
          <w:sz w:val="24"/>
          <w:szCs w:val="24"/>
        </w:rPr>
        <w:t xml:space="preserve"> and </w:t>
      </w:r>
      <w:r w:rsidR="0064472F">
        <w:rPr>
          <w:rFonts w:ascii="Times New Roman" w:hAnsi="Times New Roman" w:cs="Times New Roman"/>
          <w:sz w:val="24"/>
          <w:szCs w:val="24"/>
        </w:rPr>
        <w:t xml:space="preserve">conduct the specific training programmes enumerated in </w:t>
      </w:r>
      <w:r w:rsidR="004E38E0" w:rsidRPr="004E3401">
        <w:rPr>
          <w:rFonts w:ascii="Times New Roman" w:hAnsi="Times New Roman" w:cs="Times New Roman"/>
          <w:sz w:val="24"/>
          <w:szCs w:val="24"/>
        </w:rPr>
        <w:t xml:space="preserve">appendix 2 to the agreement. </w:t>
      </w:r>
      <w:r w:rsidR="008A2B47" w:rsidRPr="004E3401">
        <w:rPr>
          <w:rFonts w:ascii="Times New Roman" w:hAnsi="Times New Roman" w:cs="Times New Roman"/>
          <w:sz w:val="24"/>
          <w:szCs w:val="24"/>
        </w:rPr>
        <w:t xml:space="preserve">In terms of clause 4, the foreign shareholder </w:t>
      </w:r>
      <w:r w:rsidR="0064472F">
        <w:rPr>
          <w:rFonts w:ascii="Times New Roman" w:hAnsi="Times New Roman" w:cs="Times New Roman"/>
          <w:sz w:val="24"/>
          <w:szCs w:val="24"/>
        </w:rPr>
        <w:t xml:space="preserve">would </w:t>
      </w:r>
      <w:r w:rsidR="008A2B47" w:rsidRPr="004E3401">
        <w:rPr>
          <w:rFonts w:ascii="Times New Roman" w:hAnsi="Times New Roman" w:cs="Times New Roman"/>
          <w:sz w:val="24"/>
          <w:szCs w:val="24"/>
        </w:rPr>
        <w:t xml:space="preserve">train </w:t>
      </w:r>
      <w:r w:rsidR="0064472F">
        <w:rPr>
          <w:rFonts w:ascii="Times New Roman" w:hAnsi="Times New Roman" w:cs="Times New Roman"/>
          <w:sz w:val="24"/>
          <w:szCs w:val="24"/>
        </w:rPr>
        <w:t xml:space="preserve">the </w:t>
      </w:r>
      <w:r w:rsidR="00511DA8">
        <w:rPr>
          <w:rFonts w:ascii="Times New Roman" w:hAnsi="Times New Roman" w:cs="Times New Roman"/>
          <w:sz w:val="24"/>
          <w:szCs w:val="24"/>
        </w:rPr>
        <w:t>local employe</w:t>
      </w:r>
      <w:r w:rsidR="0064472F">
        <w:rPr>
          <w:rFonts w:ascii="Times New Roman" w:hAnsi="Times New Roman" w:cs="Times New Roman"/>
          <w:sz w:val="24"/>
          <w:szCs w:val="24"/>
        </w:rPr>
        <w:t>es</w:t>
      </w:r>
      <w:r w:rsidR="008A2B47" w:rsidRPr="004E3401">
        <w:rPr>
          <w:rFonts w:ascii="Times New Roman" w:hAnsi="Times New Roman" w:cs="Times New Roman"/>
          <w:sz w:val="24"/>
          <w:szCs w:val="24"/>
        </w:rPr>
        <w:t xml:space="preserve"> on rectification of any production problems, daily production management, equipment operation and maintenance, managing the acquisition and inventory of spare parts, match drawings, documents and plant manuals to existing plant and equipment on site.  In terms of clause 5, the appellant would be responsible for procuring visas, air tickets, tools of trade, accommodation and insurance for the technical staff and the payment of the training </w:t>
      </w:r>
      <w:r w:rsidR="0079660D" w:rsidRPr="004E3401">
        <w:rPr>
          <w:rFonts w:ascii="Times New Roman" w:hAnsi="Times New Roman" w:cs="Times New Roman"/>
          <w:sz w:val="24"/>
          <w:szCs w:val="24"/>
        </w:rPr>
        <w:t>fees and</w:t>
      </w:r>
      <w:r w:rsidR="008A2B47" w:rsidRPr="004E3401">
        <w:rPr>
          <w:rFonts w:ascii="Times New Roman" w:hAnsi="Times New Roman" w:cs="Times New Roman"/>
          <w:sz w:val="24"/>
          <w:szCs w:val="24"/>
        </w:rPr>
        <w:t xml:space="preserve"> other expenses to the foreign shareholder.</w:t>
      </w:r>
      <w:r w:rsidR="0079660D" w:rsidRPr="004E3401">
        <w:rPr>
          <w:rFonts w:ascii="Times New Roman" w:hAnsi="Times New Roman" w:cs="Times New Roman"/>
          <w:sz w:val="24"/>
          <w:szCs w:val="24"/>
        </w:rPr>
        <w:t xml:space="preserve"> The contract price </w:t>
      </w:r>
      <w:r w:rsidR="0064472F">
        <w:rPr>
          <w:rFonts w:ascii="Times New Roman" w:hAnsi="Times New Roman" w:cs="Times New Roman"/>
          <w:sz w:val="24"/>
          <w:szCs w:val="24"/>
        </w:rPr>
        <w:t>of US$1.2 million and its method of computation and payment were stipulated in clause 7</w:t>
      </w:r>
      <w:r w:rsidR="00511DA8">
        <w:rPr>
          <w:rFonts w:ascii="Times New Roman" w:hAnsi="Times New Roman" w:cs="Times New Roman"/>
          <w:sz w:val="24"/>
          <w:szCs w:val="24"/>
        </w:rPr>
        <w:t xml:space="preserve"> of the agreement</w:t>
      </w:r>
      <w:r w:rsidR="00622DA3">
        <w:rPr>
          <w:rFonts w:ascii="Times New Roman" w:hAnsi="Times New Roman" w:cs="Times New Roman"/>
          <w:sz w:val="24"/>
          <w:szCs w:val="24"/>
        </w:rPr>
        <w:t xml:space="preserve">, </w:t>
      </w:r>
      <w:r w:rsidR="0079660D" w:rsidRPr="004E3401">
        <w:rPr>
          <w:rFonts w:ascii="Times New Roman" w:hAnsi="Times New Roman" w:cs="Times New Roman"/>
          <w:sz w:val="24"/>
          <w:szCs w:val="24"/>
        </w:rPr>
        <w:t xml:space="preserve">in the sum of US$1 200 000 and how it was calculated was stipulated in clause 7 of the agreement. </w:t>
      </w:r>
      <w:r w:rsidR="00F6588D" w:rsidRPr="004E3401">
        <w:rPr>
          <w:rFonts w:ascii="Times New Roman" w:hAnsi="Times New Roman" w:cs="Times New Roman"/>
          <w:sz w:val="24"/>
          <w:szCs w:val="24"/>
        </w:rPr>
        <w:t xml:space="preserve">It was payable in 24 monthly </w:t>
      </w:r>
      <w:r w:rsidR="00511DA8" w:rsidRPr="004E3401">
        <w:rPr>
          <w:rFonts w:ascii="Times New Roman" w:hAnsi="Times New Roman" w:cs="Times New Roman"/>
          <w:sz w:val="24"/>
          <w:szCs w:val="24"/>
        </w:rPr>
        <w:t>instalments</w:t>
      </w:r>
      <w:r w:rsidR="00F6588D" w:rsidRPr="004E3401">
        <w:rPr>
          <w:rFonts w:ascii="Times New Roman" w:hAnsi="Times New Roman" w:cs="Times New Roman"/>
          <w:sz w:val="24"/>
          <w:szCs w:val="24"/>
        </w:rPr>
        <w:t xml:space="preserve"> of US$50 000</w:t>
      </w:r>
      <w:r w:rsidR="00511DA8">
        <w:rPr>
          <w:rFonts w:ascii="Times New Roman" w:hAnsi="Times New Roman" w:cs="Times New Roman"/>
          <w:sz w:val="24"/>
          <w:szCs w:val="24"/>
        </w:rPr>
        <w:t xml:space="preserve"> over the duration of the agreement.</w:t>
      </w:r>
      <w:r w:rsidR="00FB27B3" w:rsidRPr="004E3401">
        <w:rPr>
          <w:rFonts w:ascii="Times New Roman" w:hAnsi="Times New Roman" w:cs="Times New Roman"/>
          <w:sz w:val="24"/>
          <w:szCs w:val="24"/>
        </w:rPr>
        <w:t xml:space="preserve"> </w:t>
      </w:r>
    </w:p>
    <w:p w:rsidR="00D727E2" w:rsidRDefault="00C129AD" w:rsidP="002E286B">
      <w:pPr>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The </w:t>
      </w:r>
      <w:r w:rsidR="00BD4AB7" w:rsidRPr="004E3401">
        <w:rPr>
          <w:rFonts w:ascii="Times New Roman" w:hAnsi="Times New Roman" w:cs="Times New Roman"/>
          <w:sz w:val="24"/>
          <w:szCs w:val="24"/>
        </w:rPr>
        <w:t>foreign shareholder invoiced the appellant management fees of US$189 184.77 for the 2009 tax year, US$262 740.08 for 2010, and US$348 001.35 for 2011 while the local sh</w:t>
      </w:r>
      <w:r w:rsidR="00DB3BD9" w:rsidRPr="004E3401">
        <w:rPr>
          <w:rFonts w:ascii="Times New Roman" w:hAnsi="Times New Roman" w:cs="Times New Roman"/>
          <w:sz w:val="24"/>
          <w:szCs w:val="24"/>
        </w:rPr>
        <w:t>areholder claimed US</w:t>
      </w:r>
      <w:r w:rsidR="00967AC4" w:rsidRPr="004E3401">
        <w:rPr>
          <w:rFonts w:ascii="Times New Roman" w:hAnsi="Times New Roman" w:cs="Times New Roman"/>
          <w:sz w:val="24"/>
          <w:szCs w:val="24"/>
        </w:rPr>
        <w:t xml:space="preserve">$10 000 </w:t>
      </w:r>
      <w:r w:rsidR="00BD4AB7" w:rsidRPr="004E3401">
        <w:rPr>
          <w:rFonts w:ascii="Times New Roman" w:hAnsi="Times New Roman" w:cs="Times New Roman"/>
          <w:sz w:val="24"/>
          <w:szCs w:val="24"/>
        </w:rPr>
        <w:t xml:space="preserve">in the 2012 tax year. </w:t>
      </w:r>
      <w:r w:rsidR="00A52C89">
        <w:rPr>
          <w:rFonts w:ascii="Times New Roman" w:hAnsi="Times New Roman" w:cs="Times New Roman"/>
          <w:sz w:val="24"/>
          <w:szCs w:val="24"/>
        </w:rPr>
        <w:t>The invoices did not specify the nature of the management services that the two shareholder</w:t>
      </w:r>
      <w:r w:rsidR="00A2191D">
        <w:rPr>
          <w:rFonts w:ascii="Times New Roman" w:hAnsi="Times New Roman" w:cs="Times New Roman"/>
          <w:sz w:val="24"/>
          <w:szCs w:val="24"/>
        </w:rPr>
        <w:t>s</w:t>
      </w:r>
      <w:r w:rsidR="00A52C89">
        <w:rPr>
          <w:rFonts w:ascii="Times New Roman" w:hAnsi="Times New Roman" w:cs="Times New Roman"/>
          <w:sz w:val="24"/>
          <w:szCs w:val="24"/>
        </w:rPr>
        <w:t xml:space="preserve"> provided. </w:t>
      </w:r>
      <w:r w:rsidR="00967AC4" w:rsidRPr="004E3401">
        <w:rPr>
          <w:rFonts w:ascii="Times New Roman" w:hAnsi="Times New Roman" w:cs="Times New Roman"/>
          <w:sz w:val="24"/>
          <w:szCs w:val="24"/>
        </w:rPr>
        <w:t xml:space="preserve">It was </w:t>
      </w:r>
      <w:r w:rsidR="00A52C89">
        <w:rPr>
          <w:rFonts w:ascii="Times New Roman" w:hAnsi="Times New Roman" w:cs="Times New Roman"/>
          <w:sz w:val="24"/>
          <w:szCs w:val="24"/>
        </w:rPr>
        <w:t xml:space="preserve">also </w:t>
      </w:r>
      <w:r w:rsidR="00967AC4" w:rsidRPr="004E3401">
        <w:rPr>
          <w:rFonts w:ascii="Times New Roman" w:hAnsi="Times New Roman" w:cs="Times New Roman"/>
          <w:sz w:val="24"/>
          <w:szCs w:val="24"/>
        </w:rPr>
        <w:t>common cause t</w:t>
      </w:r>
      <w:r w:rsidR="0038479B" w:rsidRPr="004E3401">
        <w:rPr>
          <w:rFonts w:ascii="Times New Roman" w:hAnsi="Times New Roman" w:cs="Times New Roman"/>
          <w:sz w:val="24"/>
          <w:szCs w:val="24"/>
        </w:rPr>
        <w:t>h</w:t>
      </w:r>
      <w:r w:rsidR="00967AC4" w:rsidRPr="004E3401">
        <w:rPr>
          <w:rFonts w:ascii="Times New Roman" w:hAnsi="Times New Roman" w:cs="Times New Roman"/>
          <w:sz w:val="24"/>
          <w:szCs w:val="24"/>
        </w:rPr>
        <w:t>at during the investigations the appellant did not produce any contemporaneous records of the management services provided by each of the shareholders</w:t>
      </w:r>
      <w:r w:rsidR="00A52C89">
        <w:rPr>
          <w:rFonts w:ascii="Times New Roman" w:hAnsi="Times New Roman" w:cs="Times New Roman"/>
          <w:sz w:val="24"/>
          <w:szCs w:val="24"/>
        </w:rPr>
        <w:t>, despite several requests for these documents, to the respondent</w:t>
      </w:r>
      <w:r w:rsidR="0038479B" w:rsidRPr="004E3401">
        <w:rPr>
          <w:rFonts w:ascii="Times New Roman" w:hAnsi="Times New Roman" w:cs="Times New Roman"/>
          <w:sz w:val="24"/>
          <w:szCs w:val="24"/>
        </w:rPr>
        <w:t xml:space="preserve"> for the 2009 to 2013 tax years.</w:t>
      </w:r>
      <w:r w:rsidR="00736913" w:rsidRPr="004E3401">
        <w:rPr>
          <w:rFonts w:ascii="Times New Roman" w:hAnsi="Times New Roman" w:cs="Times New Roman"/>
          <w:sz w:val="24"/>
          <w:szCs w:val="24"/>
        </w:rPr>
        <w:t xml:space="preserve"> What happened was that the appellant produced several </w:t>
      </w:r>
      <w:r w:rsidR="00465B51" w:rsidRPr="004E3401">
        <w:rPr>
          <w:rFonts w:ascii="Times New Roman" w:hAnsi="Times New Roman" w:cs="Times New Roman"/>
          <w:sz w:val="24"/>
          <w:szCs w:val="24"/>
        </w:rPr>
        <w:t>documents dated 16 November 2016</w:t>
      </w:r>
      <w:r w:rsidR="00736913" w:rsidRPr="004E3401">
        <w:rPr>
          <w:rFonts w:ascii="Times New Roman" w:hAnsi="Times New Roman" w:cs="Times New Roman"/>
          <w:sz w:val="24"/>
          <w:szCs w:val="24"/>
        </w:rPr>
        <w:t xml:space="preserve">, which highlighted the services that were </w:t>
      </w:r>
      <w:r w:rsidR="00A52C89">
        <w:rPr>
          <w:rFonts w:ascii="Times New Roman" w:hAnsi="Times New Roman" w:cs="Times New Roman"/>
          <w:sz w:val="24"/>
          <w:szCs w:val="24"/>
        </w:rPr>
        <w:t>alleged to have been provided by the</w:t>
      </w:r>
      <w:r w:rsidR="001B6A4C" w:rsidRPr="004E3401">
        <w:rPr>
          <w:rFonts w:ascii="Times New Roman" w:hAnsi="Times New Roman" w:cs="Times New Roman"/>
          <w:sz w:val="24"/>
          <w:szCs w:val="24"/>
        </w:rPr>
        <w:t xml:space="preserve"> top managemen</w:t>
      </w:r>
      <w:r w:rsidR="00A52C89">
        <w:rPr>
          <w:rFonts w:ascii="Times New Roman" w:hAnsi="Times New Roman" w:cs="Times New Roman"/>
          <w:sz w:val="24"/>
          <w:szCs w:val="24"/>
        </w:rPr>
        <w:t xml:space="preserve">t, corporate services division and </w:t>
      </w:r>
      <w:r w:rsidR="001B6A4C" w:rsidRPr="004E3401">
        <w:rPr>
          <w:rFonts w:ascii="Times New Roman" w:hAnsi="Times New Roman" w:cs="Times New Roman"/>
          <w:sz w:val="24"/>
          <w:szCs w:val="24"/>
        </w:rPr>
        <w:t>internal audit and finance division</w:t>
      </w:r>
      <w:r w:rsidR="00A52C89">
        <w:rPr>
          <w:rFonts w:ascii="Times New Roman" w:hAnsi="Times New Roman" w:cs="Times New Roman"/>
          <w:sz w:val="24"/>
          <w:szCs w:val="24"/>
        </w:rPr>
        <w:t xml:space="preserve"> of the local shareholder</w:t>
      </w:r>
      <w:r w:rsidR="001B6A4C" w:rsidRPr="004E3401">
        <w:rPr>
          <w:rFonts w:ascii="Times New Roman" w:hAnsi="Times New Roman" w:cs="Times New Roman"/>
          <w:sz w:val="24"/>
          <w:szCs w:val="24"/>
        </w:rPr>
        <w:t>.</w:t>
      </w:r>
      <w:r w:rsidR="00465B51" w:rsidRPr="004E3401">
        <w:rPr>
          <w:rFonts w:ascii="Times New Roman" w:hAnsi="Times New Roman" w:cs="Times New Roman"/>
          <w:sz w:val="24"/>
          <w:szCs w:val="24"/>
        </w:rPr>
        <w:t xml:space="preserve"> </w:t>
      </w:r>
      <w:r w:rsidR="00104132" w:rsidRPr="004E3401">
        <w:rPr>
          <w:rFonts w:ascii="Times New Roman" w:hAnsi="Times New Roman" w:cs="Times New Roman"/>
          <w:sz w:val="24"/>
          <w:szCs w:val="24"/>
        </w:rPr>
        <w:t>The</w:t>
      </w:r>
      <w:r w:rsidR="00894C88">
        <w:rPr>
          <w:rFonts w:ascii="Times New Roman" w:hAnsi="Times New Roman" w:cs="Times New Roman"/>
          <w:sz w:val="24"/>
          <w:szCs w:val="24"/>
        </w:rPr>
        <w:t xml:space="preserve">se documents </w:t>
      </w:r>
      <w:r w:rsidR="00894C88">
        <w:rPr>
          <w:rFonts w:ascii="Times New Roman" w:hAnsi="Times New Roman" w:cs="Times New Roman"/>
          <w:sz w:val="24"/>
          <w:szCs w:val="24"/>
        </w:rPr>
        <w:lastRenderedPageBreak/>
        <w:t>indicated that the</w:t>
      </w:r>
      <w:r w:rsidR="00104132" w:rsidRPr="004E3401">
        <w:rPr>
          <w:rFonts w:ascii="Times New Roman" w:hAnsi="Times New Roman" w:cs="Times New Roman"/>
          <w:sz w:val="24"/>
          <w:szCs w:val="24"/>
        </w:rPr>
        <w:t xml:space="preserve"> chief executive officer, chief financial officer and general manager</w:t>
      </w:r>
      <w:r w:rsidR="00D14F8C" w:rsidRPr="004E3401">
        <w:rPr>
          <w:rFonts w:ascii="Times New Roman" w:hAnsi="Times New Roman" w:cs="Times New Roman"/>
          <w:sz w:val="24"/>
          <w:szCs w:val="24"/>
        </w:rPr>
        <w:t xml:space="preserve"> </w:t>
      </w:r>
      <w:r w:rsidR="00894C88">
        <w:rPr>
          <w:rFonts w:ascii="Times New Roman" w:hAnsi="Times New Roman" w:cs="Times New Roman"/>
          <w:sz w:val="24"/>
          <w:szCs w:val="24"/>
        </w:rPr>
        <w:t>were responsible for the initial promotion and establishment of the appellant and were not relevant to the period under investigation.</w:t>
      </w:r>
      <w:r w:rsidR="00FC52DE" w:rsidRPr="004E3401">
        <w:rPr>
          <w:rFonts w:ascii="Times New Roman" w:hAnsi="Times New Roman" w:cs="Times New Roman"/>
          <w:sz w:val="24"/>
          <w:szCs w:val="24"/>
        </w:rPr>
        <w:t xml:space="preserve"> </w:t>
      </w:r>
      <w:r w:rsidR="00104132" w:rsidRPr="004E3401">
        <w:rPr>
          <w:rFonts w:ascii="Times New Roman" w:hAnsi="Times New Roman" w:cs="Times New Roman"/>
          <w:sz w:val="24"/>
          <w:szCs w:val="24"/>
        </w:rPr>
        <w:t xml:space="preserve">The </w:t>
      </w:r>
      <w:r w:rsidR="00894C88">
        <w:rPr>
          <w:rFonts w:ascii="Times New Roman" w:hAnsi="Times New Roman" w:cs="Times New Roman"/>
          <w:sz w:val="24"/>
          <w:szCs w:val="24"/>
        </w:rPr>
        <w:t xml:space="preserve">services attributed to the </w:t>
      </w:r>
      <w:r w:rsidR="00104132" w:rsidRPr="004E3401">
        <w:rPr>
          <w:rFonts w:ascii="Times New Roman" w:hAnsi="Times New Roman" w:cs="Times New Roman"/>
          <w:sz w:val="24"/>
          <w:szCs w:val="24"/>
        </w:rPr>
        <w:t>Corporate Services Division</w:t>
      </w:r>
      <w:r w:rsidR="00FC52DE" w:rsidRPr="004E3401">
        <w:rPr>
          <w:rFonts w:ascii="Times New Roman" w:hAnsi="Times New Roman" w:cs="Times New Roman"/>
          <w:sz w:val="24"/>
          <w:szCs w:val="24"/>
        </w:rPr>
        <w:t xml:space="preserve"> </w:t>
      </w:r>
      <w:r w:rsidR="00894C88">
        <w:rPr>
          <w:rFonts w:ascii="Times New Roman" w:hAnsi="Times New Roman" w:cs="Times New Roman"/>
          <w:sz w:val="24"/>
          <w:szCs w:val="24"/>
        </w:rPr>
        <w:t xml:space="preserve">during the period covered </w:t>
      </w:r>
      <w:r w:rsidR="00FC52DE" w:rsidRPr="004E3401">
        <w:rPr>
          <w:rFonts w:ascii="Times New Roman" w:hAnsi="Times New Roman" w:cs="Times New Roman"/>
          <w:sz w:val="24"/>
          <w:szCs w:val="24"/>
        </w:rPr>
        <w:t>human resources consultancy services such as HR guidelines and policies, skills audit, group training programmes, facilitation of work permits and marketing and public relations services</w:t>
      </w:r>
      <w:r w:rsidR="00894C88">
        <w:rPr>
          <w:rFonts w:ascii="Times New Roman" w:hAnsi="Times New Roman" w:cs="Times New Roman"/>
          <w:sz w:val="24"/>
          <w:szCs w:val="24"/>
        </w:rPr>
        <w:t>, which included arrangement of media tours and facilitation of</w:t>
      </w:r>
      <w:r w:rsidR="00FC52DE" w:rsidRPr="004E3401">
        <w:rPr>
          <w:rFonts w:ascii="Times New Roman" w:hAnsi="Times New Roman" w:cs="Times New Roman"/>
          <w:sz w:val="24"/>
          <w:szCs w:val="24"/>
        </w:rPr>
        <w:t xml:space="preserve"> exhibitions at the Zimbabwe Internat</w:t>
      </w:r>
      <w:r w:rsidR="00894C88">
        <w:rPr>
          <w:rFonts w:ascii="Times New Roman" w:hAnsi="Times New Roman" w:cs="Times New Roman"/>
          <w:sz w:val="24"/>
          <w:szCs w:val="24"/>
        </w:rPr>
        <w:t>ional Trade F</w:t>
      </w:r>
      <w:r w:rsidR="00104132" w:rsidRPr="004E3401">
        <w:rPr>
          <w:rFonts w:ascii="Times New Roman" w:hAnsi="Times New Roman" w:cs="Times New Roman"/>
          <w:sz w:val="24"/>
          <w:szCs w:val="24"/>
        </w:rPr>
        <w:t xml:space="preserve">air. </w:t>
      </w:r>
      <w:r w:rsidR="0059304B">
        <w:rPr>
          <w:rFonts w:ascii="Times New Roman" w:hAnsi="Times New Roman" w:cs="Times New Roman"/>
          <w:sz w:val="24"/>
          <w:szCs w:val="24"/>
        </w:rPr>
        <w:t>The documents tabulated the three dates in March, July and D</w:t>
      </w:r>
      <w:r w:rsidR="00763F84">
        <w:rPr>
          <w:rFonts w:ascii="Times New Roman" w:hAnsi="Times New Roman" w:cs="Times New Roman"/>
          <w:sz w:val="24"/>
          <w:szCs w:val="24"/>
        </w:rPr>
        <w:t xml:space="preserve">ecember 2011, the two dates in July and October 2012 and the three dates in August, September and December 2013 and the scope of the audit services that were attributed to the local shareholder. </w:t>
      </w:r>
      <w:r w:rsidR="00104132" w:rsidRPr="004E3401">
        <w:rPr>
          <w:rFonts w:ascii="Times New Roman" w:hAnsi="Times New Roman" w:cs="Times New Roman"/>
          <w:sz w:val="24"/>
          <w:szCs w:val="24"/>
        </w:rPr>
        <w:t xml:space="preserve">Lastly, the </w:t>
      </w:r>
      <w:r w:rsidR="00763F84">
        <w:rPr>
          <w:rFonts w:ascii="Times New Roman" w:hAnsi="Times New Roman" w:cs="Times New Roman"/>
          <w:sz w:val="24"/>
          <w:szCs w:val="24"/>
        </w:rPr>
        <w:t xml:space="preserve">documents highlighted the ten areas that were serviced by the Finance Division of the local shareholder in each tax year. The probative value </w:t>
      </w:r>
      <w:r w:rsidR="00A2393A">
        <w:rPr>
          <w:rFonts w:ascii="Times New Roman" w:hAnsi="Times New Roman" w:cs="Times New Roman"/>
          <w:sz w:val="24"/>
          <w:szCs w:val="24"/>
        </w:rPr>
        <w:t>of the document covering the Corporate Services Division was undermined by the lack of information on the duration of these services. The document pertaining</w:t>
      </w:r>
      <w:r w:rsidR="0079356A">
        <w:rPr>
          <w:rFonts w:ascii="Times New Roman" w:hAnsi="Times New Roman" w:cs="Times New Roman"/>
          <w:sz w:val="24"/>
          <w:szCs w:val="24"/>
        </w:rPr>
        <w:t xml:space="preserve"> to the Finance Division had three</w:t>
      </w:r>
      <w:r w:rsidR="00A2393A">
        <w:rPr>
          <w:rFonts w:ascii="Times New Roman" w:hAnsi="Times New Roman" w:cs="Times New Roman"/>
          <w:sz w:val="24"/>
          <w:szCs w:val="24"/>
        </w:rPr>
        <w:t xml:space="preserve"> weaknesses which adversely affected its weight. The first was that it gave the impression that Finance Division permanently managed the appellant</w:t>
      </w:r>
      <w:r w:rsidR="005A7394">
        <w:rPr>
          <w:rFonts w:ascii="Times New Roman" w:hAnsi="Times New Roman" w:cs="Times New Roman"/>
          <w:sz w:val="24"/>
          <w:szCs w:val="24"/>
        </w:rPr>
        <w:t>, yet the appellant had complement of highly skilled and competent personnel of its own.</w:t>
      </w:r>
      <w:r w:rsidR="00A2393A">
        <w:rPr>
          <w:rFonts w:ascii="Times New Roman" w:hAnsi="Times New Roman" w:cs="Times New Roman"/>
          <w:sz w:val="24"/>
          <w:szCs w:val="24"/>
        </w:rPr>
        <w:t xml:space="preserve"> The second was that in each year it provided the appellant a service identified as “directors valuations as at 1 January 2009.” </w:t>
      </w:r>
      <w:r w:rsidR="0079356A">
        <w:rPr>
          <w:rFonts w:ascii="Times New Roman" w:hAnsi="Times New Roman" w:cs="Times New Roman"/>
          <w:sz w:val="24"/>
          <w:szCs w:val="24"/>
        </w:rPr>
        <w:t xml:space="preserve">The third was that some of the listed services, such as sanction busting, advice to government on industrial and economic policy formulation, were services that the local shareholder provided to central government, which had absolutely nothing to do with the appellant. </w:t>
      </w:r>
    </w:p>
    <w:p w:rsidR="00256BF8" w:rsidRDefault="00C85EB3" w:rsidP="002E286B">
      <w:pPr>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The respondent disallowed the deductions </w:t>
      </w:r>
      <w:r w:rsidR="0077611B">
        <w:rPr>
          <w:rFonts w:ascii="Times New Roman" w:hAnsi="Times New Roman" w:cs="Times New Roman"/>
          <w:sz w:val="24"/>
          <w:szCs w:val="24"/>
        </w:rPr>
        <w:t xml:space="preserve">on management fees in the sum of </w:t>
      </w:r>
      <w:r w:rsidR="002E286B">
        <w:rPr>
          <w:rFonts w:ascii="Times New Roman" w:hAnsi="Times New Roman" w:cs="Times New Roman"/>
          <w:sz w:val="24"/>
          <w:szCs w:val="24"/>
        </w:rPr>
        <w:t xml:space="preserve">       </w:t>
      </w:r>
      <w:r w:rsidR="0077611B">
        <w:rPr>
          <w:rFonts w:ascii="Times New Roman" w:hAnsi="Times New Roman" w:cs="Times New Roman"/>
          <w:sz w:val="24"/>
          <w:szCs w:val="24"/>
        </w:rPr>
        <w:t xml:space="preserve">US$291 053.50 for the 2009 tax year, US$ 402 698.43 for the 2011 tax year and </w:t>
      </w:r>
      <w:r w:rsidR="002E286B">
        <w:rPr>
          <w:rFonts w:ascii="Times New Roman" w:hAnsi="Times New Roman" w:cs="Times New Roman"/>
          <w:sz w:val="24"/>
          <w:szCs w:val="24"/>
        </w:rPr>
        <w:t xml:space="preserve">                         </w:t>
      </w:r>
      <w:r w:rsidR="0077611B">
        <w:rPr>
          <w:rFonts w:ascii="Times New Roman" w:hAnsi="Times New Roman" w:cs="Times New Roman"/>
          <w:sz w:val="24"/>
          <w:szCs w:val="24"/>
        </w:rPr>
        <w:t xml:space="preserve">US$ 182 596.69 for the 2011 tax year </w:t>
      </w:r>
      <w:r w:rsidRPr="004E3401">
        <w:rPr>
          <w:rFonts w:ascii="Times New Roman" w:hAnsi="Times New Roman" w:cs="Times New Roman"/>
          <w:sz w:val="24"/>
          <w:szCs w:val="24"/>
        </w:rPr>
        <w:t>on two grounds. The first was that the appellant failed to show that the prescribed management services had indeed be</w:t>
      </w:r>
      <w:r w:rsidR="00B767D9">
        <w:rPr>
          <w:rFonts w:ascii="Times New Roman" w:hAnsi="Times New Roman" w:cs="Times New Roman"/>
          <w:sz w:val="24"/>
          <w:szCs w:val="24"/>
        </w:rPr>
        <w:t>en</w:t>
      </w:r>
      <w:r w:rsidRPr="004E3401">
        <w:rPr>
          <w:rFonts w:ascii="Times New Roman" w:hAnsi="Times New Roman" w:cs="Times New Roman"/>
          <w:sz w:val="24"/>
          <w:szCs w:val="24"/>
        </w:rPr>
        <w:t xml:space="preserve"> rendered and the second was that</w:t>
      </w:r>
      <w:r w:rsidR="002157A0">
        <w:rPr>
          <w:rFonts w:ascii="Times New Roman" w:hAnsi="Times New Roman" w:cs="Times New Roman"/>
          <w:sz w:val="24"/>
          <w:szCs w:val="24"/>
        </w:rPr>
        <w:t>,</w:t>
      </w:r>
      <w:r w:rsidRPr="004E3401">
        <w:rPr>
          <w:rFonts w:ascii="Times New Roman" w:hAnsi="Times New Roman" w:cs="Times New Roman"/>
          <w:sz w:val="24"/>
          <w:szCs w:val="24"/>
        </w:rPr>
        <w:t xml:space="preserve"> the </w:t>
      </w:r>
      <w:r w:rsidR="0079356A">
        <w:rPr>
          <w:rFonts w:ascii="Times New Roman" w:hAnsi="Times New Roman" w:cs="Times New Roman"/>
          <w:sz w:val="24"/>
          <w:szCs w:val="24"/>
        </w:rPr>
        <w:t xml:space="preserve">appellant failed to demonstrate the correlation between the </w:t>
      </w:r>
      <w:r w:rsidRPr="004E3401">
        <w:rPr>
          <w:rFonts w:ascii="Times New Roman" w:hAnsi="Times New Roman" w:cs="Times New Roman"/>
          <w:sz w:val="24"/>
          <w:szCs w:val="24"/>
        </w:rPr>
        <w:t xml:space="preserve">percentage of turnover </w:t>
      </w:r>
      <w:r w:rsidR="0079356A">
        <w:rPr>
          <w:rFonts w:ascii="Times New Roman" w:hAnsi="Times New Roman" w:cs="Times New Roman"/>
          <w:sz w:val="24"/>
          <w:szCs w:val="24"/>
        </w:rPr>
        <w:t xml:space="preserve">payment method and the </w:t>
      </w:r>
      <w:r w:rsidR="004D26F5">
        <w:rPr>
          <w:rFonts w:ascii="Times New Roman" w:hAnsi="Times New Roman" w:cs="Times New Roman"/>
          <w:sz w:val="24"/>
          <w:szCs w:val="24"/>
        </w:rPr>
        <w:t>actual expenditure incurred by the shareholders in providing those services. The evidence of the sole witness called by the appellant on the point was simply that the invoices and the statement of intention in the Management Services Contract adequately showed that the services were provided. While he accepted that some of the services such as the selection of the top management of the appellant and the technica</w:t>
      </w:r>
      <w:r w:rsidR="006D09CE">
        <w:rPr>
          <w:rFonts w:ascii="Times New Roman" w:hAnsi="Times New Roman" w:cs="Times New Roman"/>
          <w:sz w:val="24"/>
          <w:szCs w:val="24"/>
        </w:rPr>
        <w:t>l support personnel and trainers</w:t>
      </w:r>
      <w:r w:rsidR="004D26F5">
        <w:rPr>
          <w:rFonts w:ascii="Times New Roman" w:hAnsi="Times New Roman" w:cs="Times New Roman"/>
          <w:sz w:val="24"/>
          <w:szCs w:val="24"/>
        </w:rPr>
        <w:t xml:space="preserve"> could not have been provided yearly</w:t>
      </w:r>
      <w:r w:rsidR="00670258">
        <w:rPr>
          <w:rFonts w:ascii="Times New Roman" w:hAnsi="Times New Roman" w:cs="Times New Roman"/>
          <w:sz w:val="24"/>
          <w:szCs w:val="24"/>
        </w:rPr>
        <w:t>,</w:t>
      </w:r>
      <w:r w:rsidR="004D26F5">
        <w:rPr>
          <w:rFonts w:ascii="Times New Roman" w:hAnsi="Times New Roman" w:cs="Times New Roman"/>
          <w:sz w:val="24"/>
          <w:szCs w:val="24"/>
        </w:rPr>
        <w:t xml:space="preserve"> he then contradicted himself by listing these amongst the services that he said were provided yearly. </w:t>
      </w:r>
      <w:r w:rsidR="006D09CE">
        <w:rPr>
          <w:rFonts w:ascii="Times New Roman" w:hAnsi="Times New Roman" w:cs="Times New Roman"/>
          <w:sz w:val="24"/>
          <w:szCs w:val="24"/>
        </w:rPr>
        <w:t xml:space="preserve">He joined the appellant in June 2012 and was not privy to the services that were provided by the shareholders in the 2009, 2010 and </w:t>
      </w:r>
      <w:r w:rsidR="006D09CE">
        <w:rPr>
          <w:rFonts w:ascii="Times New Roman" w:hAnsi="Times New Roman" w:cs="Times New Roman"/>
          <w:sz w:val="24"/>
          <w:szCs w:val="24"/>
        </w:rPr>
        <w:lastRenderedPageBreak/>
        <w:t xml:space="preserve">2011 tax years. </w:t>
      </w:r>
      <w:r w:rsidR="008701F4">
        <w:rPr>
          <w:rFonts w:ascii="Times New Roman" w:hAnsi="Times New Roman" w:cs="Times New Roman"/>
          <w:sz w:val="24"/>
          <w:szCs w:val="24"/>
        </w:rPr>
        <w:t>The sole witness produced a document compiled by the respondent pertaining to the management fees payable to the foreigner shareholder in 2013 and the non-resident tax on fees extracted from the appellant by the respondent in respect of that year.</w:t>
      </w:r>
      <w:r w:rsidR="00CC1699">
        <w:rPr>
          <w:rFonts w:ascii="Times New Roman" w:hAnsi="Times New Roman" w:cs="Times New Roman"/>
          <w:sz w:val="24"/>
          <w:szCs w:val="24"/>
        </w:rPr>
        <w:t xml:space="preserve"> On the basis of this document, Mr </w:t>
      </w:r>
      <w:r w:rsidR="00CC1699" w:rsidRPr="00CC1699">
        <w:rPr>
          <w:rFonts w:ascii="Times New Roman" w:hAnsi="Times New Roman" w:cs="Times New Roman"/>
          <w:i/>
          <w:sz w:val="24"/>
          <w:szCs w:val="24"/>
        </w:rPr>
        <w:t xml:space="preserve">Tivadar </w:t>
      </w:r>
      <w:r w:rsidR="00CC1699">
        <w:rPr>
          <w:rFonts w:ascii="Times New Roman" w:hAnsi="Times New Roman" w:cs="Times New Roman"/>
          <w:sz w:val="24"/>
          <w:szCs w:val="24"/>
        </w:rPr>
        <w:t xml:space="preserve">contended the appellant had established that the management services were provided to the satisfaction of the respondent otherwise the respondent would not have retained those fees. There are two answers to that contention. </w:t>
      </w:r>
      <w:r w:rsidR="00320E14">
        <w:rPr>
          <w:rFonts w:ascii="Times New Roman" w:hAnsi="Times New Roman" w:cs="Times New Roman"/>
          <w:sz w:val="24"/>
          <w:szCs w:val="24"/>
        </w:rPr>
        <w:t>The first is that the respondent is obliged by law to levy withholding tax on management fees payable or paid, which it did in 2013 because the document showed, contrary to the sole witness testimony that other than the tax on fees for October to December 2013, the appellant voluntarily and timeously deducted and remitted the correct monthly tax to the respondent. The second was that the appellant did not establish that any non-resident tax on fees was levied in respect of the 2009 to 2011 tax year but even if it were so levied this would have been on the basis that such fees had actually been paid.</w:t>
      </w:r>
      <w:r w:rsidR="00A95C56">
        <w:rPr>
          <w:rFonts w:ascii="Times New Roman" w:hAnsi="Times New Roman" w:cs="Times New Roman"/>
          <w:sz w:val="24"/>
          <w:szCs w:val="24"/>
        </w:rPr>
        <w:t xml:space="preserve"> After all, in terms of para 1 (2) (b) as read with para 2 (1) of the Seventeenth Schedule to the Income Tax Act</w:t>
      </w:r>
      <w:r w:rsidR="00442498">
        <w:rPr>
          <w:rFonts w:ascii="Times New Roman" w:hAnsi="Times New Roman" w:cs="Times New Roman"/>
          <w:sz w:val="24"/>
          <w:szCs w:val="24"/>
        </w:rPr>
        <w:t>, a</w:t>
      </w:r>
      <w:r w:rsidR="00A95C56">
        <w:rPr>
          <w:rFonts w:ascii="Times New Roman" w:hAnsi="Times New Roman" w:cs="Times New Roman"/>
          <w:sz w:val="24"/>
          <w:szCs w:val="24"/>
        </w:rPr>
        <w:t xml:space="preserve"> payer is obliged to deduct non-resident tax on fees from the payee, defined therein as one to whom such fees are payable or paid, and remit it with</w:t>
      </w:r>
      <w:r w:rsidR="00256BF8">
        <w:rPr>
          <w:rFonts w:ascii="Times New Roman" w:hAnsi="Times New Roman" w:cs="Times New Roman"/>
          <w:sz w:val="24"/>
          <w:szCs w:val="24"/>
        </w:rPr>
        <w:t>in 10 days to the Commissioner.</w:t>
      </w:r>
    </w:p>
    <w:p w:rsidR="0040137C" w:rsidRDefault="00546DF3" w:rsidP="002E28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70258">
        <w:rPr>
          <w:rFonts w:ascii="Times New Roman" w:hAnsi="Times New Roman" w:cs="Times New Roman"/>
          <w:sz w:val="24"/>
          <w:szCs w:val="24"/>
        </w:rPr>
        <w:t>I am satisfied that the appellant failed to produce contemporaneous documents to Commissioner and this Court, which showed the services that were provided by the shareholders. The invoices and the documents produced on 16 November 2</w:t>
      </w:r>
      <w:r w:rsidR="005A7394">
        <w:rPr>
          <w:rFonts w:ascii="Times New Roman" w:hAnsi="Times New Roman" w:cs="Times New Roman"/>
          <w:sz w:val="24"/>
          <w:szCs w:val="24"/>
        </w:rPr>
        <w:t xml:space="preserve">016 lacked the necessary </w:t>
      </w:r>
      <w:r w:rsidR="007624F6">
        <w:rPr>
          <w:rFonts w:ascii="Times New Roman" w:hAnsi="Times New Roman" w:cs="Times New Roman"/>
          <w:sz w:val="24"/>
          <w:szCs w:val="24"/>
        </w:rPr>
        <w:t>detail of the services that were provided. Amongst the documents produced by the appellant on 16 November 2016</w:t>
      </w:r>
      <w:r w:rsidR="000A171C">
        <w:rPr>
          <w:rFonts w:ascii="Times New Roman" w:hAnsi="Times New Roman" w:cs="Times New Roman"/>
          <w:sz w:val="24"/>
          <w:szCs w:val="24"/>
        </w:rPr>
        <w:t>,</w:t>
      </w:r>
      <w:r w:rsidR="007624F6">
        <w:rPr>
          <w:rFonts w:ascii="Times New Roman" w:hAnsi="Times New Roman" w:cs="Times New Roman"/>
          <w:sz w:val="24"/>
          <w:szCs w:val="24"/>
        </w:rPr>
        <w:t xml:space="preserve"> the documents pertaining to the Corporate Service Division and Finance Division were too general. I had the distinct feeling that the document relating to the Finance Division was contrived. The appellant failed to produce </w:t>
      </w:r>
      <w:r w:rsidR="008701F4">
        <w:rPr>
          <w:rFonts w:ascii="Times New Roman" w:hAnsi="Times New Roman" w:cs="Times New Roman"/>
          <w:sz w:val="24"/>
          <w:szCs w:val="24"/>
        </w:rPr>
        <w:t>adequate and sufficient evidence to show that the management service that it paid for in 2009, 2010 and 2011 were ever rendered.</w:t>
      </w:r>
      <w:r w:rsidR="00B57D68" w:rsidRPr="004E3401">
        <w:rPr>
          <w:rFonts w:ascii="Times New Roman" w:hAnsi="Times New Roman" w:cs="Times New Roman"/>
          <w:sz w:val="24"/>
          <w:szCs w:val="24"/>
        </w:rPr>
        <w:t xml:space="preserve"> </w:t>
      </w:r>
    </w:p>
    <w:p w:rsidR="00840805" w:rsidRPr="004E3401" w:rsidRDefault="006A3C9C" w:rsidP="002E28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Accordingly, the Commissioner correctly disallowed the management fees claimed in the 2009, 2010 and 2011 tax years. </w:t>
      </w:r>
    </w:p>
    <w:p w:rsidR="007F0810" w:rsidRPr="004E3401" w:rsidRDefault="007F0810" w:rsidP="007F0810">
      <w:pPr>
        <w:spacing w:line="240" w:lineRule="auto"/>
        <w:jc w:val="both"/>
        <w:rPr>
          <w:rFonts w:ascii="Times New Roman" w:hAnsi="Times New Roman" w:cs="Times New Roman"/>
          <w:i/>
          <w:sz w:val="24"/>
          <w:szCs w:val="24"/>
        </w:rPr>
      </w:pPr>
      <w:r w:rsidRPr="004E3401">
        <w:rPr>
          <w:rFonts w:ascii="Times New Roman" w:hAnsi="Times New Roman" w:cs="Times New Roman"/>
          <w:i/>
          <w:sz w:val="24"/>
          <w:szCs w:val="24"/>
        </w:rPr>
        <w:t>Whether the appellant was entitled to claim the cost of provision of canteen meals as a deductible expense or whether it was to be regarded as “entertainment”?</w:t>
      </w:r>
    </w:p>
    <w:p w:rsidR="000728D9" w:rsidRDefault="007F0810" w:rsidP="000728D9">
      <w:pPr>
        <w:autoSpaceDE w:val="0"/>
        <w:autoSpaceDN w:val="0"/>
        <w:adjustRightInd w:val="0"/>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The appellant provided meals</w:t>
      </w:r>
      <w:r w:rsidR="00440710" w:rsidRPr="004E3401">
        <w:rPr>
          <w:rFonts w:ascii="Times New Roman" w:hAnsi="Times New Roman" w:cs="Times New Roman"/>
          <w:sz w:val="24"/>
          <w:szCs w:val="24"/>
        </w:rPr>
        <w:t xml:space="preserve"> </w:t>
      </w:r>
      <w:r w:rsidR="00E53FAF">
        <w:rPr>
          <w:rFonts w:ascii="Times New Roman" w:hAnsi="Times New Roman" w:cs="Times New Roman"/>
          <w:sz w:val="24"/>
          <w:szCs w:val="24"/>
        </w:rPr>
        <w:t>to its employees at a cumulative cost of US$1 039 316.36 from which PAYE was deducted and remitted to the respondent. The cumulative cost comprised of US$</w:t>
      </w:r>
      <w:r w:rsidR="00D44DE2" w:rsidRPr="004E3401">
        <w:rPr>
          <w:rFonts w:ascii="Times New Roman" w:hAnsi="Times New Roman" w:cs="Times New Roman"/>
          <w:sz w:val="24"/>
          <w:szCs w:val="24"/>
        </w:rPr>
        <w:t xml:space="preserve">768 162.62 </w:t>
      </w:r>
      <w:r w:rsidR="00E53FAF">
        <w:rPr>
          <w:rFonts w:ascii="Times New Roman" w:hAnsi="Times New Roman" w:cs="Times New Roman"/>
          <w:sz w:val="24"/>
          <w:szCs w:val="24"/>
        </w:rPr>
        <w:t xml:space="preserve">and US$271 153.74 </w:t>
      </w:r>
      <w:r w:rsidR="00591C74">
        <w:rPr>
          <w:rFonts w:ascii="Times New Roman" w:hAnsi="Times New Roman" w:cs="Times New Roman"/>
          <w:sz w:val="24"/>
          <w:szCs w:val="24"/>
        </w:rPr>
        <w:t>e</w:t>
      </w:r>
      <w:r w:rsidR="00E53FAF">
        <w:rPr>
          <w:rFonts w:ascii="Times New Roman" w:hAnsi="Times New Roman" w:cs="Times New Roman"/>
          <w:sz w:val="24"/>
          <w:szCs w:val="24"/>
        </w:rPr>
        <w:t>xpensed against general employees</w:t>
      </w:r>
      <w:r w:rsidR="00591C74">
        <w:rPr>
          <w:rFonts w:ascii="Times New Roman" w:hAnsi="Times New Roman" w:cs="Times New Roman"/>
          <w:sz w:val="24"/>
          <w:szCs w:val="24"/>
        </w:rPr>
        <w:t xml:space="preserve"> and administrative staff respectively.</w:t>
      </w:r>
      <w:r w:rsidRPr="004E3401">
        <w:rPr>
          <w:rFonts w:ascii="Times New Roman" w:hAnsi="Times New Roman" w:cs="Times New Roman"/>
          <w:sz w:val="24"/>
          <w:szCs w:val="24"/>
        </w:rPr>
        <w:t xml:space="preserve"> The respondent disallowed the deductions on the ground that </w:t>
      </w:r>
      <w:r w:rsidRPr="004E3401">
        <w:rPr>
          <w:rFonts w:ascii="Times New Roman" w:hAnsi="Times New Roman" w:cs="Times New Roman"/>
          <w:sz w:val="24"/>
          <w:szCs w:val="24"/>
        </w:rPr>
        <w:lastRenderedPageBreak/>
        <w:t xml:space="preserve">they constituted entertainment as contemplated by s 16 (1) (m) of the Act. </w:t>
      </w:r>
      <w:r w:rsidR="00D7424A" w:rsidRPr="004E3401">
        <w:rPr>
          <w:rFonts w:ascii="Times New Roman" w:hAnsi="Times New Roman" w:cs="Times New Roman"/>
          <w:sz w:val="24"/>
          <w:szCs w:val="24"/>
        </w:rPr>
        <w:t xml:space="preserve">In the objection, the appellant acknowledged that canteen provisions constituted entertainment under s 16 (1) (m) of the Act but equated the position at the mine and factory with the one enumerated in </w:t>
      </w:r>
      <w:r w:rsidR="00D7424A" w:rsidRPr="004E3401">
        <w:rPr>
          <w:rFonts w:ascii="Times New Roman" w:hAnsi="Times New Roman" w:cs="Times New Roman"/>
          <w:i/>
          <w:sz w:val="24"/>
          <w:szCs w:val="24"/>
        </w:rPr>
        <w:t>ITC 1394</w:t>
      </w:r>
      <w:r w:rsidR="00D7424A" w:rsidRPr="004E3401">
        <w:rPr>
          <w:rFonts w:ascii="Times New Roman" w:hAnsi="Times New Roman" w:cs="Times New Roman"/>
          <w:sz w:val="24"/>
          <w:szCs w:val="24"/>
        </w:rPr>
        <w:t xml:space="preserve"> (1985) </w:t>
      </w:r>
      <w:r w:rsidR="008346B3">
        <w:rPr>
          <w:rFonts w:ascii="Times New Roman" w:hAnsi="Times New Roman" w:cs="Times New Roman"/>
          <w:sz w:val="24"/>
          <w:szCs w:val="24"/>
        </w:rPr>
        <w:t xml:space="preserve">47 </w:t>
      </w:r>
      <w:r w:rsidR="00D7424A" w:rsidRPr="004E3401">
        <w:rPr>
          <w:rFonts w:ascii="Times New Roman" w:hAnsi="Times New Roman" w:cs="Times New Roman"/>
          <w:sz w:val="24"/>
          <w:szCs w:val="24"/>
        </w:rPr>
        <w:t>SATC 119</w:t>
      </w:r>
      <w:r w:rsidR="009D36FF" w:rsidRPr="004E3401">
        <w:rPr>
          <w:rFonts w:ascii="Times New Roman" w:hAnsi="Times New Roman" w:cs="Times New Roman"/>
          <w:sz w:val="24"/>
          <w:szCs w:val="24"/>
        </w:rPr>
        <w:t xml:space="preserve"> (Z) </w:t>
      </w:r>
      <w:r w:rsidR="00B6710C" w:rsidRPr="004E3401">
        <w:rPr>
          <w:rFonts w:ascii="Times New Roman" w:hAnsi="Times New Roman" w:cs="Times New Roman"/>
          <w:sz w:val="24"/>
          <w:szCs w:val="24"/>
        </w:rPr>
        <w:t>by averring that its employees were served at their work stations, which they could not leave to partake of their meals.</w:t>
      </w:r>
      <w:r w:rsidR="00D7424A" w:rsidRPr="004E3401">
        <w:rPr>
          <w:rFonts w:ascii="Times New Roman" w:hAnsi="Times New Roman" w:cs="Times New Roman"/>
          <w:sz w:val="24"/>
          <w:szCs w:val="24"/>
        </w:rPr>
        <w:t xml:space="preserve"> In that case it was held that the </w:t>
      </w:r>
      <w:r w:rsidR="00D47EC4" w:rsidRPr="004E3401">
        <w:rPr>
          <w:rFonts w:ascii="Times New Roman" w:hAnsi="Times New Roman" w:cs="Times New Roman"/>
          <w:sz w:val="24"/>
          <w:szCs w:val="24"/>
        </w:rPr>
        <w:t xml:space="preserve">test was whether it was necessary and reasonable for the staff to remain at their </w:t>
      </w:r>
      <w:r w:rsidR="00225C82" w:rsidRPr="004E3401">
        <w:rPr>
          <w:rFonts w:ascii="Times New Roman" w:hAnsi="Times New Roman" w:cs="Times New Roman"/>
          <w:sz w:val="24"/>
          <w:szCs w:val="24"/>
        </w:rPr>
        <w:t xml:space="preserve">work stations during the lunch-hour. </w:t>
      </w:r>
      <w:r w:rsidR="00CB0174" w:rsidRPr="004E3401">
        <w:rPr>
          <w:rFonts w:ascii="Times New Roman" w:hAnsi="Times New Roman" w:cs="Times New Roman"/>
          <w:sz w:val="24"/>
          <w:szCs w:val="24"/>
        </w:rPr>
        <w:t xml:space="preserve">The appellant contended </w:t>
      </w:r>
      <w:r w:rsidR="00225C82" w:rsidRPr="004E3401">
        <w:rPr>
          <w:rFonts w:ascii="Times New Roman" w:hAnsi="Times New Roman" w:cs="Times New Roman"/>
          <w:sz w:val="24"/>
          <w:szCs w:val="24"/>
        </w:rPr>
        <w:t xml:space="preserve">in the objection </w:t>
      </w:r>
      <w:r w:rsidR="00CB0174" w:rsidRPr="004E3401">
        <w:rPr>
          <w:rFonts w:ascii="Times New Roman" w:hAnsi="Times New Roman" w:cs="Times New Roman"/>
          <w:sz w:val="24"/>
          <w:szCs w:val="24"/>
        </w:rPr>
        <w:t xml:space="preserve">that the meals constituted staff welfare and </w:t>
      </w:r>
      <w:r w:rsidR="00B6710C" w:rsidRPr="004E3401">
        <w:rPr>
          <w:rFonts w:ascii="Times New Roman" w:hAnsi="Times New Roman" w:cs="Times New Roman"/>
          <w:sz w:val="24"/>
          <w:szCs w:val="24"/>
        </w:rPr>
        <w:t>their cost to the appellant was</w:t>
      </w:r>
      <w:r w:rsidR="00CB0174" w:rsidRPr="004E3401">
        <w:rPr>
          <w:rFonts w:ascii="Times New Roman" w:hAnsi="Times New Roman" w:cs="Times New Roman"/>
          <w:sz w:val="24"/>
          <w:szCs w:val="24"/>
        </w:rPr>
        <w:t xml:space="preserve"> deductible in terms of s 15 (2) (a)</w:t>
      </w:r>
      <w:r w:rsidR="00225C82" w:rsidRPr="004E3401">
        <w:rPr>
          <w:rFonts w:ascii="Times New Roman" w:hAnsi="Times New Roman" w:cs="Times New Roman"/>
          <w:sz w:val="24"/>
          <w:szCs w:val="24"/>
        </w:rPr>
        <w:t xml:space="preserve"> of the Act</w:t>
      </w:r>
      <w:r w:rsidR="00E51B7D">
        <w:rPr>
          <w:rFonts w:ascii="Times New Roman" w:hAnsi="Times New Roman" w:cs="Times New Roman"/>
          <w:sz w:val="24"/>
          <w:szCs w:val="24"/>
        </w:rPr>
        <w:t>.</w:t>
      </w:r>
    </w:p>
    <w:p w:rsidR="00672319" w:rsidRDefault="000F2DF1" w:rsidP="00672319">
      <w:pPr>
        <w:autoSpaceDE w:val="0"/>
        <w:autoSpaceDN w:val="0"/>
        <w:adjustRightInd w:val="0"/>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The respondent</w:t>
      </w:r>
      <w:r w:rsidR="00623148" w:rsidRPr="004E3401">
        <w:rPr>
          <w:rFonts w:ascii="Times New Roman" w:hAnsi="Times New Roman" w:cs="Times New Roman"/>
          <w:sz w:val="24"/>
          <w:szCs w:val="24"/>
        </w:rPr>
        <w:t xml:space="preserve"> correctly</w:t>
      </w:r>
      <w:r w:rsidRPr="004E3401">
        <w:rPr>
          <w:rFonts w:ascii="Times New Roman" w:hAnsi="Times New Roman" w:cs="Times New Roman"/>
          <w:sz w:val="24"/>
          <w:szCs w:val="24"/>
        </w:rPr>
        <w:t xml:space="preserve"> observed that the</w:t>
      </w:r>
      <w:r w:rsidR="00623148" w:rsidRPr="004E3401">
        <w:rPr>
          <w:rFonts w:ascii="Times New Roman" w:hAnsi="Times New Roman" w:cs="Times New Roman"/>
          <w:sz w:val="24"/>
          <w:szCs w:val="24"/>
        </w:rPr>
        <w:t xml:space="preserve"> nature of the employees functions at the mine and factory negated the provision of canteen meals at their respective work stations. </w:t>
      </w:r>
      <w:r w:rsidRPr="004E3401">
        <w:rPr>
          <w:rFonts w:ascii="Times New Roman" w:hAnsi="Times New Roman" w:cs="Times New Roman"/>
          <w:sz w:val="24"/>
          <w:szCs w:val="24"/>
        </w:rPr>
        <w:t xml:space="preserve"> </w:t>
      </w:r>
      <w:r w:rsidR="00623148" w:rsidRPr="004E3401">
        <w:rPr>
          <w:rFonts w:ascii="Times New Roman" w:hAnsi="Times New Roman" w:cs="Times New Roman"/>
          <w:sz w:val="24"/>
          <w:szCs w:val="24"/>
        </w:rPr>
        <w:t>It was only then that the appellant disclosed th</w:t>
      </w:r>
      <w:r w:rsidR="002904E2" w:rsidRPr="004E3401">
        <w:rPr>
          <w:rFonts w:ascii="Times New Roman" w:hAnsi="Times New Roman" w:cs="Times New Roman"/>
          <w:sz w:val="24"/>
          <w:szCs w:val="24"/>
        </w:rPr>
        <w:t>at th</w:t>
      </w:r>
      <w:r w:rsidR="00623148" w:rsidRPr="004E3401">
        <w:rPr>
          <w:rFonts w:ascii="Times New Roman" w:hAnsi="Times New Roman" w:cs="Times New Roman"/>
          <w:sz w:val="24"/>
          <w:szCs w:val="24"/>
        </w:rPr>
        <w:t>e employees</w:t>
      </w:r>
      <w:r w:rsidR="002904E2" w:rsidRPr="004E3401">
        <w:rPr>
          <w:rFonts w:ascii="Times New Roman" w:hAnsi="Times New Roman" w:cs="Times New Roman"/>
          <w:sz w:val="24"/>
          <w:szCs w:val="24"/>
        </w:rPr>
        <w:t xml:space="preserve"> took turns to partake of lunch so as to prevent disruptions in production during working hours</w:t>
      </w:r>
      <w:r w:rsidR="00AD35B6">
        <w:rPr>
          <w:rFonts w:ascii="Times New Roman" w:hAnsi="Times New Roman" w:cs="Times New Roman"/>
          <w:sz w:val="24"/>
          <w:szCs w:val="24"/>
        </w:rPr>
        <w:t>, an assertion which was disputed in oral testimony by the sole witness called by the appellant,</w:t>
      </w:r>
      <w:r w:rsidR="002904E2" w:rsidRPr="004E3401">
        <w:rPr>
          <w:rFonts w:ascii="Times New Roman" w:hAnsi="Times New Roman" w:cs="Times New Roman"/>
          <w:sz w:val="24"/>
          <w:szCs w:val="24"/>
        </w:rPr>
        <w:t xml:space="preserve"> and contended that the cost of the canteen meals was, therefore, incurred for the purposes of its trade or income production.</w:t>
      </w:r>
      <w:r w:rsidR="000E2C4A" w:rsidRPr="004E3401">
        <w:rPr>
          <w:rFonts w:ascii="Times New Roman" w:hAnsi="Times New Roman" w:cs="Times New Roman"/>
          <w:sz w:val="24"/>
          <w:szCs w:val="24"/>
        </w:rPr>
        <w:t xml:space="preserve"> </w:t>
      </w:r>
      <w:r w:rsidR="00225C82" w:rsidRPr="004E3401">
        <w:rPr>
          <w:rFonts w:ascii="Times New Roman" w:hAnsi="Times New Roman" w:cs="Times New Roman"/>
          <w:sz w:val="24"/>
          <w:szCs w:val="24"/>
        </w:rPr>
        <w:t>Clearly, the abandonment of the initial position taken by the appellant in preference to the second, demonstrated that the employees did take lunch breaks during which they took canteen meals. T</w:t>
      </w:r>
      <w:r w:rsidR="00266B7F" w:rsidRPr="004E3401">
        <w:rPr>
          <w:rFonts w:ascii="Times New Roman" w:hAnsi="Times New Roman" w:cs="Times New Roman"/>
          <w:sz w:val="24"/>
          <w:szCs w:val="24"/>
        </w:rPr>
        <w:t xml:space="preserve">o that extent, the facts in the present matter are distinguishable from those in </w:t>
      </w:r>
      <w:r w:rsidR="00266B7F" w:rsidRPr="004E3401">
        <w:rPr>
          <w:rFonts w:ascii="Times New Roman" w:hAnsi="Times New Roman" w:cs="Times New Roman"/>
          <w:i/>
          <w:sz w:val="24"/>
          <w:szCs w:val="24"/>
        </w:rPr>
        <w:t>ITC 1394</w:t>
      </w:r>
      <w:r w:rsidR="00266B7F" w:rsidRPr="004E3401">
        <w:rPr>
          <w:rFonts w:ascii="Times New Roman" w:hAnsi="Times New Roman" w:cs="Times New Roman"/>
          <w:sz w:val="24"/>
          <w:szCs w:val="24"/>
        </w:rPr>
        <w:t xml:space="preserve">, where it was necessary and reasonable to provide such meals to employees </w:t>
      </w:r>
      <w:r w:rsidR="00C7082E" w:rsidRPr="004E3401">
        <w:rPr>
          <w:rFonts w:ascii="Times New Roman" w:hAnsi="Times New Roman" w:cs="Times New Roman"/>
          <w:sz w:val="24"/>
          <w:szCs w:val="24"/>
        </w:rPr>
        <w:t>at their work stations</w:t>
      </w:r>
      <w:r w:rsidR="009862D7" w:rsidRPr="004E3401">
        <w:rPr>
          <w:rFonts w:ascii="Times New Roman" w:hAnsi="Times New Roman" w:cs="Times New Roman"/>
          <w:sz w:val="24"/>
          <w:szCs w:val="24"/>
        </w:rPr>
        <w:t xml:space="preserve"> and not “at their work place” as contended by Mr </w:t>
      </w:r>
      <w:r w:rsidR="009862D7" w:rsidRPr="004E3401">
        <w:rPr>
          <w:rFonts w:ascii="Times New Roman" w:hAnsi="Times New Roman" w:cs="Times New Roman"/>
          <w:i/>
          <w:sz w:val="24"/>
          <w:szCs w:val="24"/>
        </w:rPr>
        <w:t xml:space="preserve">Tivadar </w:t>
      </w:r>
      <w:r w:rsidR="009862D7" w:rsidRPr="004E3401">
        <w:rPr>
          <w:rFonts w:ascii="Times New Roman" w:hAnsi="Times New Roman" w:cs="Times New Roman"/>
          <w:sz w:val="24"/>
          <w:szCs w:val="24"/>
        </w:rPr>
        <w:t>in para 137 of his written heads</w:t>
      </w:r>
      <w:r w:rsidR="00C7082E" w:rsidRPr="004E3401">
        <w:rPr>
          <w:rFonts w:ascii="Times New Roman" w:hAnsi="Times New Roman" w:cs="Times New Roman"/>
          <w:sz w:val="24"/>
          <w:szCs w:val="24"/>
        </w:rPr>
        <w:t>, which they could not leave,</w:t>
      </w:r>
      <w:r w:rsidR="00266B7F" w:rsidRPr="004E3401">
        <w:rPr>
          <w:rFonts w:ascii="Times New Roman" w:hAnsi="Times New Roman" w:cs="Times New Roman"/>
          <w:sz w:val="24"/>
          <w:szCs w:val="24"/>
        </w:rPr>
        <w:t xml:space="preserve"> in order to serve customers</w:t>
      </w:r>
      <w:r w:rsidR="00C7082E" w:rsidRPr="004E3401">
        <w:rPr>
          <w:rFonts w:ascii="Times New Roman" w:hAnsi="Times New Roman" w:cs="Times New Roman"/>
          <w:sz w:val="24"/>
          <w:szCs w:val="24"/>
        </w:rPr>
        <w:t xml:space="preserve"> and do other backroom functions</w:t>
      </w:r>
      <w:r w:rsidR="00266B7F" w:rsidRPr="004E3401">
        <w:rPr>
          <w:rFonts w:ascii="Times New Roman" w:hAnsi="Times New Roman" w:cs="Times New Roman"/>
          <w:sz w:val="24"/>
          <w:szCs w:val="24"/>
        </w:rPr>
        <w:t xml:space="preserve"> during the universally designated lunch-hour</w:t>
      </w:r>
      <w:r w:rsidR="00356607" w:rsidRPr="004E3401">
        <w:rPr>
          <w:rFonts w:ascii="Times New Roman" w:hAnsi="Times New Roman" w:cs="Times New Roman"/>
          <w:sz w:val="24"/>
          <w:szCs w:val="24"/>
        </w:rPr>
        <w:t xml:space="preserve">. </w:t>
      </w:r>
      <w:r w:rsidR="00183A98">
        <w:rPr>
          <w:rFonts w:ascii="Times New Roman" w:hAnsi="Times New Roman" w:cs="Times New Roman"/>
          <w:sz w:val="24"/>
          <w:szCs w:val="24"/>
        </w:rPr>
        <w:t xml:space="preserve">In the present case, the workers were </w:t>
      </w:r>
      <w:r w:rsidR="006F0BC0" w:rsidRPr="004E3401">
        <w:rPr>
          <w:rFonts w:ascii="Times New Roman" w:hAnsi="Times New Roman" w:cs="Times New Roman"/>
          <w:sz w:val="24"/>
          <w:szCs w:val="24"/>
        </w:rPr>
        <w:t>contractual</w:t>
      </w:r>
      <w:r w:rsidR="00183A98">
        <w:rPr>
          <w:rFonts w:ascii="Times New Roman" w:hAnsi="Times New Roman" w:cs="Times New Roman"/>
          <w:sz w:val="24"/>
          <w:szCs w:val="24"/>
        </w:rPr>
        <w:t>ly</w:t>
      </w:r>
      <w:r w:rsidR="006F0BC0" w:rsidRPr="004E3401">
        <w:rPr>
          <w:rFonts w:ascii="Times New Roman" w:hAnsi="Times New Roman" w:cs="Times New Roman"/>
          <w:sz w:val="24"/>
          <w:szCs w:val="24"/>
        </w:rPr>
        <w:t xml:space="preserve"> required </w:t>
      </w:r>
      <w:r w:rsidR="00183A98">
        <w:rPr>
          <w:rFonts w:ascii="Times New Roman" w:hAnsi="Times New Roman" w:cs="Times New Roman"/>
          <w:sz w:val="24"/>
          <w:szCs w:val="24"/>
        </w:rPr>
        <w:t xml:space="preserve">to </w:t>
      </w:r>
      <w:r w:rsidR="006F0BC0" w:rsidRPr="004E3401">
        <w:rPr>
          <w:rFonts w:ascii="Times New Roman" w:hAnsi="Times New Roman" w:cs="Times New Roman"/>
          <w:sz w:val="24"/>
          <w:szCs w:val="24"/>
        </w:rPr>
        <w:t>have lunch break</w:t>
      </w:r>
      <w:r w:rsidR="00183A98">
        <w:rPr>
          <w:rFonts w:ascii="Times New Roman" w:hAnsi="Times New Roman" w:cs="Times New Roman"/>
          <w:sz w:val="24"/>
          <w:szCs w:val="24"/>
        </w:rPr>
        <w:t>s and did</w:t>
      </w:r>
      <w:r w:rsidR="006F0BC0" w:rsidRPr="004E3401">
        <w:rPr>
          <w:rFonts w:ascii="Times New Roman" w:hAnsi="Times New Roman" w:cs="Times New Roman"/>
          <w:sz w:val="24"/>
          <w:szCs w:val="24"/>
        </w:rPr>
        <w:t xml:space="preserve"> not work during the lunch break at bot</w:t>
      </w:r>
      <w:r w:rsidR="00183A98">
        <w:rPr>
          <w:rFonts w:ascii="Times New Roman" w:hAnsi="Times New Roman" w:cs="Times New Roman"/>
          <w:sz w:val="24"/>
          <w:szCs w:val="24"/>
        </w:rPr>
        <w:t>h mine and factory.</w:t>
      </w:r>
      <w:r w:rsidR="006F0BC0" w:rsidRPr="004E3401">
        <w:rPr>
          <w:rFonts w:ascii="Times New Roman" w:hAnsi="Times New Roman" w:cs="Times New Roman"/>
          <w:sz w:val="24"/>
          <w:szCs w:val="24"/>
        </w:rPr>
        <w:t xml:space="preserve"> </w:t>
      </w:r>
    </w:p>
    <w:p w:rsidR="00225C82" w:rsidRPr="004E3401" w:rsidRDefault="007C47B5" w:rsidP="00672319">
      <w:pPr>
        <w:autoSpaceDE w:val="0"/>
        <w:autoSpaceDN w:val="0"/>
        <w:adjustRightInd w:val="0"/>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Therefore, the provision of canteen meals in the present matter, which the </w:t>
      </w:r>
      <w:r w:rsidR="00AF5F72" w:rsidRPr="004E3401">
        <w:rPr>
          <w:rFonts w:ascii="Times New Roman" w:hAnsi="Times New Roman" w:cs="Times New Roman"/>
          <w:sz w:val="24"/>
          <w:szCs w:val="24"/>
        </w:rPr>
        <w:t>appellant</w:t>
      </w:r>
      <w:r w:rsidRPr="004E3401">
        <w:rPr>
          <w:rFonts w:ascii="Times New Roman" w:hAnsi="Times New Roman" w:cs="Times New Roman"/>
          <w:sz w:val="24"/>
          <w:szCs w:val="24"/>
        </w:rPr>
        <w:t xml:space="preserve"> characterised as </w:t>
      </w:r>
      <w:r w:rsidR="00AF5F72" w:rsidRPr="004E3401">
        <w:rPr>
          <w:rFonts w:ascii="Times New Roman" w:hAnsi="Times New Roman" w:cs="Times New Roman"/>
          <w:sz w:val="24"/>
          <w:szCs w:val="24"/>
        </w:rPr>
        <w:t xml:space="preserve">staff welfare, </w:t>
      </w:r>
      <w:r w:rsidR="0005746C" w:rsidRPr="004E3401">
        <w:rPr>
          <w:rFonts w:ascii="Times New Roman" w:hAnsi="Times New Roman" w:cs="Times New Roman"/>
          <w:sz w:val="24"/>
          <w:szCs w:val="24"/>
        </w:rPr>
        <w:t>was</w:t>
      </w:r>
      <w:r w:rsidR="00AF5F72" w:rsidRPr="004E3401">
        <w:rPr>
          <w:rFonts w:ascii="Times New Roman" w:hAnsi="Times New Roman" w:cs="Times New Roman"/>
          <w:sz w:val="24"/>
          <w:szCs w:val="24"/>
        </w:rPr>
        <w:t xml:space="preserve"> </w:t>
      </w:r>
      <w:r w:rsidR="00AD35B6">
        <w:rPr>
          <w:rFonts w:ascii="Times New Roman" w:hAnsi="Times New Roman" w:cs="Times New Roman"/>
          <w:sz w:val="24"/>
          <w:szCs w:val="24"/>
        </w:rPr>
        <w:t xml:space="preserve">a voluntary exercise </w:t>
      </w:r>
      <w:r w:rsidR="005560B8" w:rsidRPr="004E3401">
        <w:rPr>
          <w:rFonts w:ascii="Times New Roman" w:hAnsi="Times New Roman" w:cs="Times New Roman"/>
          <w:sz w:val="24"/>
          <w:szCs w:val="24"/>
        </w:rPr>
        <w:t>driven by sympathy</w:t>
      </w:r>
      <w:r w:rsidR="00F62D26" w:rsidRPr="004E3401">
        <w:rPr>
          <w:rFonts w:ascii="Times New Roman" w:hAnsi="Times New Roman" w:cs="Times New Roman"/>
          <w:sz w:val="24"/>
          <w:szCs w:val="24"/>
        </w:rPr>
        <w:t xml:space="preserve"> rather than the dictates of business</w:t>
      </w:r>
      <w:r w:rsidR="0005746C" w:rsidRPr="004E3401">
        <w:rPr>
          <w:rFonts w:ascii="Times New Roman" w:hAnsi="Times New Roman" w:cs="Times New Roman"/>
          <w:sz w:val="24"/>
          <w:szCs w:val="24"/>
        </w:rPr>
        <w:t xml:space="preserve"> necessity.</w:t>
      </w:r>
      <w:r w:rsidR="00AF5F72" w:rsidRPr="004E3401">
        <w:rPr>
          <w:rFonts w:ascii="Times New Roman" w:hAnsi="Times New Roman" w:cs="Times New Roman"/>
          <w:sz w:val="24"/>
          <w:szCs w:val="24"/>
        </w:rPr>
        <w:t xml:space="preserve"> </w:t>
      </w:r>
      <w:r w:rsidR="00D86E1C" w:rsidRPr="004E3401">
        <w:rPr>
          <w:rFonts w:ascii="Times New Roman" w:hAnsi="Times New Roman" w:cs="Times New Roman"/>
          <w:sz w:val="24"/>
          <w:szCs w:val="24"/>
        </w:rPr>
        <w:t>It</w:t>
      </w:r>
      <w:r w:rsidR="00C7082E" w:rsidRPr="004E3401">
        <w:rPr>
          <w:rFonts w:ascii="Times New Roman" w:hAnsi="Times New Roman" w:cs="Times New Roman"/>
          <w:sz w:val="24"/>
          <w:szCs w:val="24"/>
        </w:rPr>
        <w:t xml:space="preserve"> </w:t>
      </w:r>
      <w:r w:rsidR="00D86E1C" w:rsidRPr="004E3401">
        <w:rPr>
          <w:rFonts w:ascii="Times New Roman" w:hAnsi="Times New Roman" w:cs="Times New Roman"/>
          <w:sz w:val="24"/>
          <w:szCs w:val="24"/>
        </w:rPr>
        <w:t xml:space="preserve">fell into the wide </w:t>
      </w:r>
      <w:r w:rsidR="00C7082E" w:rsidRPr="004E3401">
        <w:rPr>
          <w:rFonts w:ascii="Times New Roman" w:hAnsi="Times New Roman" w:cs="Times New Roman"/>
          <w:sz w:val="24"/>
          <w:szCs w:val="24"/>
        </w:rPr>
        <w:t xml:space="preserve">definition of </w:t>
      </w:r>
      <w:r w:rsidR="00D86E1C" w:rsidRPr="004E3401">
        <w:rPr>
          <w:rFonts w:ascii="Times New Roman" w:hAnsi="Times New Roman" w:cs="Times New Roman"/>
          <w:sz w:val="24"/>
          <w:szCs w:val="24"/>
        </w:rPr>
        <w:t>“</w:t>
      </w:r>
      <w:r w:rsidR="00C7082E" w:rsidRPr="004E3401">
        <w:rPr>
          <w:rFonts w:ascii="Times New Roman" w:hAnsi="Times New Roman" w:cs="Times New Roman"/>
          <w:sz w:val="24"/>
          <w:szCs w:val="24"/>
        </w:rPr>
        <w:t>entertainment</w:t>
      </w:r>
      <w:r w:rsidR="00D86E1C" w:rsidRPr="004E3401">
        <w:rPr>
          <w:rFonts w:ascii="Times New Roman" w:hAnsi="Times New Roman" w:cs="Times New Roman"/>
          <w:sz w:val="24"/>
          <w:szCs w:val="24"/>
        </w:rPr>
        <w:t>”</w:t>
      </w:r>
      <w:r w:rsidR="00C7082E" w:rsidRPr="004E3401">
        <w:rPr>
          <w:rFonts w:ascii="Times New Roman" w:hAnsi="Times New Roman" w:cs="Times New Roman"/>
          <w:sz w:val="24"/>
          <w:szCs w:val="24"/>
        </w:rPr>
        <w:t xml:space="preserve"> re</w:t>
      </w:r>
      <w:r w:rsidR="00D86E1C" w:rsidRPr="004E3401">
        <w:rPr>
          <w:rFonts w:ascii="Times New Roman" w:hAnsi="Times New Roman" w:cs="Times New Roman"/>
          <w:sz w:val="24"/>
          <w:szCs w:val="24"/>
        </w:rPr>
        <w:t>ndered</w:t>
      </w:r>
      <w:r w:rsidR="00C7082E" w:rsidRPr="004E3401">
        <w:rPr>
          <w:rFonts w:ascii="Times New Roman" w:hAnsi="Times New Roman" w:cs="Times New Roman"/>
          <w:sz w:val="24"/>
          <w:szCs w:val="24"/>
        </w:rPr>
        <w:t xml:space="preserve"> in </w:t>
      </w:r>
      <w:r w:rsidR="00C7082E" w:rsidRPr="004E3401">
        <w:rPr>
          <w:rFonts w:ascii="Times New Roman" w:hAnsi="Times New Roman" w:cs="Times New Roman"/>
          <w:i/>
          <w:sz w:val="24"/>
          <w:szCs w:val="24"/>
        </w:rPr>
        <w:t>ITC 1394, supra</w:t>
      </w:r>
      <w:r w:rsidR="00D86E1C" w:rsidRPr="004E3401">
        <w:rPr>
          <w:rFonts w:ascii="Times New Roman" w:hAnsi="Times New Roman" w:cs="Times New Roman"/>
          <w:i/>
          <w:sz w:val="24"/>
          <w:szCs w:val="24"/>
        </w:rPr>
        <w:t xml:space="preserve">, </w:t>
      </w:r>
      <w:r w:rsidR="00D86E1C" w:rsidRPr="004E3401">
        <w:rPr>
          <w:rFonts w:ascii="Times New Roman" w:hAnsi="Times New Roman" w:cs="Times New Roman"/>
          <w:sz w:val="24"/>
          <w:szCs w:val="24"/>
        </w:rPr>
        <w:t xml:space="preserve">in respect of s 16 (1) (m) of the Income Tax Act. I </w:t>
      </w:r>
      <w:r w:rsidR="00C7082E" w:rsidRPr="004E3401">
        <w:rPr>
          <w:rFonts w:ascii="Times New Roman" w:hAnsi="Times New Roman" w:cs="Times New Roman"/>
          <w:sz w:val="24"/>
          <w:szCs w:val="24"/>
        </w:rPr>
        <w:t xml:space="preserve">uphold the determination of the Commissioner on the point. </w:t>
      </w:r>
    </w:p>
    <w:p w:rsidR="00723AAD" w:rsidRPr="004E3401" w:rsidRDefault="00723AAD" w:rsidP="000E2C4A">
      <w:pPr>
        <w:autoSpaceDE w:val="0"/>
        <w:autoSpaceDN w:val="0"/>
        <w:adjustRightInd w:val="0"/>
        <w:spacing w:after="0" w:line="240" w:lineRule="auto"/>
        <w:jc w:val="both"/>
        <w:rPr>
          <w:rFonts w:ascii="Times New Roman" w:hAnsi="Times New Roman" w:cs="Times New Roman"/>
          <w:sz w:val="24"/>
          <w:szCs w:val="24"/>
        </w:rPr>
      </w:pPr>
    </w:p>
    <w:p w:rsidR="00653CAF" w:rsidRPr="004E3401" w:rsidRDefault="00653CAF" w:rsidP="00653CAF">
      <w:pPr>
        <w:spacing w:line="240" w:lineRule="auto"/>
        <w:jc w:val="both"/>
        <w:rPr>
          <w:rFonts w:ascii="Times New Roman" w:hAnsi="Times New Roman" w:cs="Times New Roman"/>
          <w:i/>
          <w:sz w:val="24"/>
          <w:szCs w:val="24"/>
        </w:rPr>
      </w:pPr>
      <w:r w:rsidRPr="004E3401">
        <w:rPr>
          <w:rFonts w:ascii="Times New Roman" w:hAnsi="Times New Roman" w:cs="Times New Roman"/>
          <w:i/>
          <w:sz w:val="24"/>
          <w:szCs w:val="24"/>
        </w:rPr>
        <w:t>Whether the amounts w</w:t>
      </w:r>
      <w:r w:rsidR="005C377F">
        <w:rPr>
          <w:rFonts w:ascii="Times New Roman" w:hAnsi="Times New Roman" w:cs="Times New Roman"/>
          <w:i/>
          <w:sz w:val="24"/>
          <w:szCs w:val="24"/>
        </w:rPr>
        <w:t>ritten off in 2009 of US$ 60 821.24</w:t>
      </w:r>
      <w:r w:rsidRPr="004E3401">
        <w:rPr>
          <w:rFonts w:ascii="Times New Roman" w:hAnsi="Times New Roman" w:cs="Times New Roman"/>
          <w:i/>
          <w:sz w:val="24"/>
          <w:szCs w:val="24"/>
        </w:rPr>
        <w:t xml:space="preserve">, 2010 of US$291.76 and 2012 of US$102 628.14 constituted bad debts? </w:t>
      </w:r>
    </w:p>
    <w:p w:rsidR="005E23F9" w:rsidRDefault="001D1AD3" w:rsidP="005E23F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common cause that the appellant wrote off as bad debts US$60 821.24, </w:t>
      </w:r>
      <w:r w:rsidR="008A4E62">
        <w:rPr>
          <w:rFonts w:ascii="Times New Roman" w:hAnsi="Times New Roman" w:cs="Times New Roman"/>
          <w:sz w:val="24"/>
          <w:szCs w:val="24"/>
        </w:rPr>
        <w:t xml:space="preserve">              </w:t>
      </w:r>
      <w:r>
        <w:rPr>
          <w:rFonts w:ascii="Times New Roman" w:hAnsi="Times New Roman" w:cs="Times New Roman"/>
          <w:sz w:val="24"/>
          <w:szCs w:val="24"/>
        </w:rPr>
        <w:t xml:space="preserve">US$ 291.76 and US$ 209 681.94 in the 2009, 2010 and 2012 tax years, respectively. These </w:t>
      </w:r>
      <w:r>
        <w:rPr>
          <w:rFonts w:ascii="Times New Roman" w:hAnsi="Times New Roman" w:cs="Times New Roman"/>
          <w:sz w:val="24"/>
          <w:szCs w:val="24"/>
        </w:rPr>
        <w:lastRenderedPageBreak/>
        <w:t>were disallowed by the respondent and added back to income in the respective years in which they were deducted, on the ground that the respondent was not satisfied that they were bad debts</w:t>
      </w:r>
    </w:p>
    <w:p w:rsidR="005E23F9" w:rsidRDefault="00666480" w:rsidP="005E23F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averred that it recovered US$37 943.67of the 2009 debts accounted them in the 2010 taxable income but totally failed to recover bad debts in the sum of US$19 861. </w:t>
      </w:r>
      <w:r w:rsidR="00E70AE9">
        <w:rPr>
          <w:rFonts w:ascii="Times New Roman" w:hAnsi="Times New Roman" w:cs="Times New Roman"/>
          <w:sz w:val="24"/>
          <w:szCs w:val="24"/>
        </w:rPr>
        <w:t xml:space="preserve">It was common cause that the appellant did not disclose the information on the recovery and treatment of this amount to the respondent during the audit and objection but only raised it for the first time on appeal. </w:t>
      </w:r>
      <w:r>
        <w:rPr>
          <w:rFonts w:ascii="Times New Roman" w:hAnsi="Times New Roman" w:cs="Times New Roman"/>
          <w:sz w:val="24"/>
          <w:szCs w:val="24"/>
        </w:rPr>
        <w:t>The appellant further averred that the 2010 bad debts in the paltry sum of US$291.76 were owed by 5 ex-employees an</w:t>
      </w:r>
      <w:r w:rsidR="00503F3D">
        <w:rPr>
          <w:rFonts w:ascii="Times New Roman" w:hAnsi="Times New Roman" w:cs="Times New Roman"/>
          <w:sz w:val="24"/>
          <w:szCs w:val="24"/>
        </w:rPr>
        <w:t xml:space="preserve">d remained outstanding after </w:t>
      </w:r>
      <w:r>
        <w:rPr>
          <w:rFonts w:ascii="Times New Roman" w:hAnsi="Times New Roman" w:cs="Times New Roman"/>
          <w:sz w:val="24"/>
          <w:szCs w:val="24"/>
        </w:rPr>
        <w:t xml:space="preserve">recoveries had been made from their terminal benefits upon termination of their employment contracts. </w:t>
      </w:r>
      <w:r w:rsidR="00AA5814">
        <w:rPr>
          <w:rFonts w:ascii="Times New Roman" w:hAnsi="Times New Roman" w:cs="Times New Roman"/>
          <w:sz w:val="24"/>
          <w:szCs w:val="24"/>
        </w:rPr>
        <w:t>T</w:t>
      </w:r>
      <w:r w:rsidR="00503F3D">
        <w:rPr>
          <w:rFonts w:ascii="Times New Roman" w:hAnsi="Times New Roman" w:cs="Times New Roman"/>
          <w:sz w:val="24"/>
          <w:szCs w:val="24"/>
        </w:rPr>
        <w:t>he appellant indicated that it had pursued the outstanding 2009 debts without success before making a business decision to decla</w:t>
      </w:r>
      <w:r w:rsidR="00AA5814">
        <w:rPr>
          <w:rFonts w:ascii="Times New Roman" w:hAnsi="Times New Roman" w:cs="Times New Roman"/>
          <w:sz w:val="24"/>
          <w:szCs w:val="24"/>
        </w:rPr>
        <w:t>re them bad. I</w:t>
      </w:r>
      <w:r w:rsidR="00503F3D">
        <w:rPr>
          <w:rFonts w:ascii="Times New Roman" w:hAnsi="Times New Roman" w:cs="Times New Roman"/>
          <w:sz w:val="24"/>
          <w:szCs w:val="24"/>
        </w:rPr>
        <w:t xml:space="preserve">t did not establish in oral testimony or by documentary evidence how it had done so. </w:t>
      </w:r>
      <w:r w:rsidR="00AA5814">
        <w:rPr>
          <w:rFonts w:ascii="Times New Roman" w:hAnsi="Times New Roman" w:cs="Times New Roman"/>
          <w:sz w:val="24"/>
          <w:szCs w:val="24"/>
        </w:rPr>
        <w:t xml:space="preserve">The documentation in the r 11 documents show that it only wrote letters of demand and issued summons and obtained judgment in respect of some of the outstanding debts in the 2011 tax year. </w:t>
      </w:r>
      <w:r w:rsidR="00503F3D">
        <w:rPr>
          <w:rFonts w:ascii="Times New Roman" w:hAnsi="Times New Roman" w:cs="Times New Roman"/>
          <w:sz w:val="24"/>
          <w:szCs w:val="24"/>
        </w:rPr>
        <w:t>In regards to the paltry 2010 amounts, the appellant simply did not pursue the debtors because the cost of doing so far outweighed the benefits.</w:t>
      </w:r>
    </w:p>
    <w:p w:rsidR="00876E12" w:rsidRDefault="00503F3D" w:rsidP="00876E1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regards to the 2012 debts, it took the same cost and benefit position in regards to debts from</w:t>
      </w:r>
      <w:r w:rsidR="009B7FC3">
        <w:rPr>
          <w:rFonts w:ascii="Times New Roman" w:hAnsi="Times New Roman" w:cs="Times New Roman"/>
          <w:sz w:val="24"/>
          <w:szCs w:val="24"/>
        </w:rPr>
        <w:t xml:space="preserve"> one individual and six</w:t>
      </w:r>
      <w:r>
        <w:rPr>
          <w:rFonts w:ascii="Times New Roman" w:hAnsi="Times New Roman" w:cs="Times New Roman"/>
          <w:sz w:val="24"/>
          <w:szCs w:val="24"/>
        </w:rPr>
        <w:t xml:space="preserve"> companies in the cumulative sum of US$1 521.18.</w:t>
      </w:r>
      <w:r w:rsidR="009B7FC3">
        <w:rPr>
          <w:rFonts w:ascii="Times New Roman" w:hAnsi="Times New Roman" w:cs="Times New Roman"/>
          <w:sz w:val="24"/>
          <w:szCs w:val="24"/>
        </w:rPr>
        <w:t xml:space="preserve"> At the commencement of this appeal, Mr </w:t>
      </w:r>
      <w:r w:rsidR="009B7FC3" w:rsidRPr="009B7FC3">
        <w:rPr>
          <w:rFonts w:ascii="Times New Roman" w:hAnsi="Times New Roman" w:cs="Times New Roman"/>
          <w:i/>
          <w:sz w:val="24"/>
          <w:szCs w:val="24"/>
        </w:rPr>
        <w:t>Tivadar</w:t>
      </w:r>
      <w:r w:rsidR="009B7FC3">
        <w:rPr>
          <w:rFonts w:ascii="Times New Roman" w:hAnsi="Times New Roman" w:cs="Times New Roman"/>
          <w:sz w:val="24"/>
          <w:szCs w:val="24"/>
        </w:rPr>
        <w:t xml:space="preserve"> conceded the </w:t>
      </w:r>
      <w:r w:rsidR="00FD3CAF">
        <w:rPr>
          <w:rFonts w:ascii="Times New Roman" w:hAnsi="Times New Roman" w:cs="Times New Roman"/>
          <w:sz w:val="24"/>
          <w:szCs w:val="24"/>
        </w:rPr>
        <w:t>debts in the aggregate sum of</w:t>
      </w:r>
      <w:r w:rsidR="009B7FC3">
        <w:rPr>
          <w:rFonts w:ascii="Times New Roman" w:hAnsi="Times New Roman" w:cs="Times New Roman"/>
          <w:sz w:val="24"/>
          <w:szCs w:val="24"/>
        </w:rPr>
        <w:t xml:space="preserve"> </w:t>
      </w:r>
      <w:r w:rsidR="002E286B">
        <w:rPr>
          <w:rFonts w:ascii="Times New Roman" w:hAnsi="Times New Roman" w:cs="Times New Roman"/>
          <w:sz w:val="24"/>
          <w:szCs w:val="24"/>
        </w:rPr>
        <w:t xml:space="preserve">      </w:t>
      </w:r>
      <w:r w:rsidR="009B7FC3">
        <w:rPr>
          <w:rFonts w:ascii="Times New Roman" w:hAnsi="Times New Roman" w:cs="Times New Roman"/>
          <w:sz w:val="24"/>
          <w:szCs w:val="24"/>
        </w:rPr>
        <w:t>US$11 518.19 in respect of the 2012 debts</w:t>
      </w:r>
      <w:r w:rsidR="00FD3CAF">
        <w:rPr>
          <w:rFonts w:ascii="Times New Roman" w:hAnsi="Times New Roman" w:cs="Times New Roman"/>
          <w:sz w:val="24"/>
          <w:szCs w:val="24"/>
        </w:rPr>
        <w:t xml:space="preserve"> had been  wrongly claimed as bad debts in the 2012 tax year. The amounts that remained in contention related to the sum of US$191 988.10 owed in 2012 by a Botswana based company. </w:t>
      </w:r>
    </w:p>
    <w:p w:rsidR="00876E12" w:rsidRDefault="00FD3CAF" w:rsidP="00876E1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established it was owed US$720 824.94 by the Botswana company for cement, gypsum and clinker supplied at the special instance and request of that company. Apparently, the appellant also owed that company US$528 836.84 from the supply of coal fines. In December 2009, the two companies set off their respective accounts, with the result that the Botswana company remained indebted to the appellant </w:t>
      </w:r>
      <w:r w:rsidR="00420272">
        <w:rPr>
          <w:rFonts w:ascii="Times New Roman" w:hAnsi="Times New Roman" w:cs="Times New Roman"/>
          <w:sz w:val="24"/>
          <w:szCs w:val="24"/>
        </w:rPr>
        <w:t>in the sum of US$191 988.10.</w:t>
      </w:r>
      <w:r w:rsidR="009B7FC3">
        <w:rPr>
          <w:rFonts w:ascii="Times New Roman" w:hAnsi="Times New Roman" w:cs="Times New Roman"/>
          <w:sz w:val="24"/>
          <w:szCs w:val="24"/>
        </w:rPr>
        <w:t xml:space="preserve"> </w:t>
      </w:r>
      <w:r w:rsidR="00FC7964">
        <w:rPr>
          <w:rFonts w:ascii="Times New Roman" w:hAnsi="Times New Roman" w:cs="Times New Roman"/>
          <w:sz w:val="24"/>
          <w:szCs w:val="24"/>
        </w:rPr>
        <w:t xml:space="preserve"> The Botswana Company did not settle the outstanding amount prompting the appellant to issue a letter of demand on 24 August 2012. Thereafter</w:t>
      </w:r>
      <w:r w:rsidR="00757DC3">
        <w:rPr>
          <w:rFonts w:ascii="Times New Roman" w:hAnsi="Times New Roman" w:cs="Times New Roman"/>
          <w:sz w:val="24"/>
          <w:szCs w:val="24"/>
        </w:rPr>
        <w:t>,</w:t>
      </w:r>
      <w:r w:rsidR="00FC7964">
        <w:rPr>
          <w:rFonts w:ascii="Times New Roman" w:hAnsi="Times New Roman" w:cs="Times New Roman"/>
          <w:sz w:val="24"/>
          <w:szCs w:val="24"/>
        </w:rPr>
        <w:t xml:space="preserve"> the appellant sued the debtor in the Botswana High Court </w:t>
      </w:r>
      <w:r w:rsidR="00BD0598">
        <w:rPr>
          <w:rFonts w:ascii="Times New Roman" w:hAnsi="Times New Roman" w:cs="Times New Roman"/>
          <w:sz w:val="24"/>
          <w:szCs w:val="24"/>
        </w:rPr>
        <w:t xml:space="preserve">on some unspecified date in 2013 </w:t>
      </w:r>
      <w:r w:rsidR="00FC7964">
        <w:rPr>
          <w:rFonts w:ascii="Times New Roman" w:hAnsi="Times New Roman" w:cs="Times New Roman"/>
          <w:sz w:val="24"/>
          <w:szCs w:val="24"/>
        </w:rPr>
        <w:t xml:space="preserve">where judgment was </w:t>
      </w:r>
      <w:r w:rsidR="00133D06">
        <w:rPr>
          <w:rFonts w:ascii="Times New Roman" w:hAnsi="Times New Roman" w:cs="Times New Roman"/>
          <w:sz w:val="24"/>
          <w:szCs w:val="24"/>
        </w:rPr>
        <w:t xml:space="preserve">eventually </w:t>
      </w:r>
      <w:r w:rsidR="00FC7964">
        <w:rPr>
          <w:rFonts w:ascii="Times New Roman" w:hAnsi="Times New Roman" w:cs="Times New Roman"/>
          <w:sz w:val="24"/>
          <w:szCs w:val="24"/>
        </w:rPr>
        <w:t>obtained after contest on 3 April 2017</w:t>
      </w:r>
      <w:r w:rsidR="00AF47F2">
        <w:rPr>
          <w:rFonts w:ascii="Times New Roman" w:hAnsi="Times New Roman" w:cs="Times New Roman"/>
          <w:sz w:val="24"/>
          <w:szCs w:val="24"/>
        </w:rPr>
        <w:t>,</w:t>
      </w:r>
      <w:r w:rsidR="00FC7964">
        <w:rPr>
          <w:rFonts w:ascii="Times New Roman" w:hAnsi="Times New Roman" w:cs="Times New Roman"/>
          <w:sz w:val="24"/>
          <w:szCs w:val="24"/>
        </w:rPr>
        <w:t xml:space="preserve"> in the sum of US$90 000. </w:t>
      </w:r>
      <w:r w:rsidR="00A57F45">
        <w:rPr>
          <w:rFonts w:ascii="Times New Roman" w:hAnsi="Times New Roman" w:cs="Times New Roman"/>
          <w:sz w:val="24"/>
          <w:szCs w:val="24"/>
        </w:rPr>
        <w:t xml:space="preserve">The documentation supplied by the appellant which formed part of the r 11 documents showed that even as the contested action was in </w:t>
      </w:r>
      <w:r w:rsidR="00A57F45">
        <w:rPr>
          <w:rFonts w:ascii="Times New Roman" w:hAnsi="Times New Roman" w:cs="Times New Roman"/>
          <w:sz w:val="24"/>
          <w:szCs w:val="24"/>
        </w:rPr>
        <w:lastRenderedPageBreak/>
        <w:t xml:space="preserve">progress, the </w:t>
      </w:r>
      <w:r w:rsidR="00AA5814">
        <w:rPr>
          <w:rFonts w:ascii="Times New Roman" w:hAnsi="Times New Roman" w:cs="Times New Roman"/>
          <w:sz w:val="24"/>
          <w:szCs w:val="24"/>
        </w:rPr>
        <w:t>attempt at settlement failed.</w:t>
      </w:r>
      <w:r w:rsidR="0021536E">
        <w:rPr>
          <w:rFonts w:ascii="Times New Roman" w:hAnsi="Times New Roman" w:cs="Times New Roman"/>
          <w:sz w:val="24"/>
          <w:szCs w:val="24"/>
        </w:rPr>
        <w:t xml:space="preserve"> Indeed, in a letter written to the Reserve Bank of Zimbabwe on 18 December 2013, the appellant’s Botswana legal practitioners expressed optimism that the prospect of obtaining judgment in the sum claimed were “extremely bright and hoped to conclude the action by August 2014.  </w:t>
      </w:r>
    </w:p>
    <w:p w:rsidR="007B751C" w:rsidRDefault="00932C2D" w:rsidP="007B751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first contended that the respondent was precluded from reopening the assessment pertaining to the 2009 bad debts. In determining the first issue raised in this appeal, I held that the Commissioner could, once he had properly reopened a prescribed assessment, reassess all tax heads on which such an assessment was based. The first ground of appeal under this issue therefore falls away. </w:t>
      </w:r>
    </w:p>
    <w:p w:rsidR="00FB5254" w:rsidRDefault="009216F3" w:rsidP="00FB5254">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932C2D">
        <w:rPr>
          <w:rFonts w:ascii="Times New Roman" w:hAnsi="Times New Roman" w:cs="Times New Roman"/>
          <w:sz w:val="24"/>
          <w:szCs w:val="24"/>
        </w:rPr>
        <w:t xml:space="preserve">second </w:t>
      </w:r>
      <w:r>
        <w:rPr>
          <w:rFonts w:ascii="Times New Roman" w:hAnsi="Times New Roman" w:cs="Times New Roman"/>
          <w:sz w:val="24"/>
          <w:szCs w:val="24"/>
        </w:rPr>
        <w:t>contention by the appel</w:t>
      </w:r>
      <w:r w:rsidR="00932C2D">
        <w:rPr>
          <w:rFonts w:ascii="Times New Roman" w:hAnsi="Times New Roman" w:cs="Times New Roman"/>
          <w:sz w:val="24"/>
          <w:szCs w:val="24"/>
        </w:rPr>
        <w:t>lant, which was based on the s</w:t>
      </w:r>
      <w:r>
        <w:rPr>
          <w:rFonts w:ascii="Times New Roman" w:hAnsi="Times New Roman" w:cs="Times New Roman"/>
          <w:sz w:val="24"/>
          <w:szCs w:val="24"/>
        </w:rPr>
        <w:t xml:space="preserve">entiments in </w:t>
      </w:r>
      <w:r w:rsidRPr="00757DC3">
        <w:rPr>
          <w:rFonts w:ascii="Times New Roman" w:hAnsi="Times New Roman" w:cs="Times New Roman"/>
          <w:i/>
          <w:sz w:val="24"/>
          <w:szCs w:val="24"/>
        </w:rPr>
        <w:t xml:space="preserve">G Bank Zimbabwe Ltd </w:t>
      </w:r>
      <w:r w:rsidRPr="002E286B">
        <w:rPr>
          <w:rFonts w:ascii="Times New Roman" w:hAnsi="Times New Roman" w:cs="Times New Roman"/>
          <w:sz w:val="24"/>
          <w:szCs w:val="24"/>
        </w:rPr>
        <w:t>v</w:t>
      </w:r>
      <w:r w:rsidRPr="00757DC3">
        <w:rPr>
          <w:rFonts w:ascii="Times New Roman" w:hAnsi="Times New Roman" w:cs="Times New Roman"/>
          <w:i/>
          <w:sz w:val="24"/>
          <w:szCs w:val="24"/>
        </w:rPr>
        <w:t xml:space="preserve"> Zimra </w:t>
      </w:r>
      <w:r>
        <w:rPr>
          <w:rFonts w:ascii="Times New Roman" w:hAnsi="Times New Roman" w:cs="Times New Roman"/>
          <w:sz w:val="24"/>
          <w:szCs w:val="24"/>
        </w:rPr>
        <w:t>2015 (1) ZLR</w:t>
      </w:r>
      <w:r w:rsidR="009864FC">
        <w:rPr>
          <w:rFonts w:ascii="Times New Roman" w:hAnsi="Times New Roman" w:cs="Times New Roman"/>
          <w:sz w:val="24"/>
          <w:szCs w:val="24"/>
        </w:rPr>
        <w:t xml:space="preserve"> 348</w:t>
      </w:r>
      <w:r>
        <w:rPr>
          <w:rFonts w:ascii="Times New Roman" w:hAnsi="Times New Roman" w:cs="Times New Roman"/>
          <w:sz w:val="24"/>
          <w:szCs w:val="24"/>
        </w:rPr>
        <w:t xml:space="preserve"> (H) at </w:t>
      </w:r>
      <w:r w:rsidR="009864FC">
        <w:rPr>
          <w:rFonts w:ascii="Times New Roman" w:hAnsi="Times New Roman" w:cs="Times New Roman"/>
          <w:sz w:val="24"/>
          <w:szCs w:val="24"/>
        </w:rPr>
        <w:t>366D</w:t>
      </w:r>
      <w:r>
        <w:rPr>
          <w:rFonts w:ascii="Times New Roman" w:hAnsi="Times New Roman" w:cs="Times New Roman"/>
          <w:sz w:val="24"/>
          <w:szCs w:val="24"/>
        </w:rPr>
        <w:t xml:space="preserve"> and </w:t>
      </w:r>
      <w:r w:rsidRPr="002F075F">
        <w:rPr>
          <w:rFonts w:ascii="Times New Roman" w:hAnsi="Times New Roman" w:cs="Times New Roman"/>
          <w:i/>
          <w:sz w:val="24"/>
          <w:szCs w:val="24"/>
        </w:rPr>
        <w:t>CF</w:t>
      </w:r>
      <w:r w:rsidR="0072467F" w:rsidRPr="002F075F">
        <w:rPr>
          <w:rFonts w:ascii="Times New Roman" w:hAnsi="Times New Roman" w:cs="Times New Roman"/>
          <w:i/>
          <w:sz w:val="24"/>
          <w:szCs w:val="24"/>
        </w:rPr>
        <w:t xml:space="preserve"> (Pvt) Ltd </w:t>
      </w:r>
      <w:r w:rsidR="0072467F" w:rsidRPr="002E286B">
        <w:rPr>
          <w:rFonts w:ascii="Times New Roman" w:hAnsi="Times New Roman" w:cs="Times New Roman"/>
          <w:sz w:val="24"/>
          <w:szCs w:val="24"/>
        </w:rPr>
        <w:t>v</w:t>
      </w:r>
      <w:r w:rsidR="0072467F" w:rsidRPr="002F075F">
        <w:rPr>
          <w:rFonts w:ascii="Times New Roman" w:hAnsi="Times New Roman" w:cs="Times New Roman"/>
          <w:i/>
          <w:sz w:val="24"/>
          <w:szCs w:val="24"/>
        </w:rPr>
        <w:t xml:space="preserve"> Zimra</w:t>
      </w:r>
      <w:r w:rsidR="0072467F">
        <w:rPr>
          <w:rFonts w:ascii="Times New Roman" w:hAnsi="Times New Roman" w:cs="Times New Roman"/>
          <w:sz w:val="24"/>
          <w:szCs w:val="24"/>
        </w:rPr>
        <w:t xml:space="preserve"> HH 99/18</w:t>
      </w:r>
      <w:r w:rsidR="00932C2D">
        <w:rPr>
          <w:rFonts w:ascii="Times New Roman" w:hAnsi="Times New Roman" w:cs="Times New Roman"/>
          <w:sz w:val="24"/>
          <w:szCs w:val="24"/>
        </w:rPr>
        <w:t xml:space="preserve"> </w:t>
      </w:r>
      <w:r>
        <w:rPr>
          <w:rFonts w:ascii="Times New Roman" w:hAnsi="Times New Roman" w:cs="Times New Roman"/>
          <w:sz w:val="24"/>
          <w:szCs w:val="24"/>
        </w:rPr>
        <w:t xml:space="preserve"> that </w:t>
      </w:r>
      <w:r w:rsidR="00932C2D">
        <w:rPr>
          <w:rFonts w:ascii="Times New Roman" w:hAnsi="Times New Roman" w:cs="Times New Roman"/>
          <w:sz w:val="24"/>
          <w:szCs w:val="24"/>
        </w:rPr>
        <w:t xml:space="preserve">the </w:t>
      </w:r>
      <w:r>
        <w:rPr>
          <w:rFonts w:ascii="Times New Roman" w:hAnsi="Times New Roman" w:cs="Times New Roman"/>
          <w:sz w:val="24"/>
          <w:szCs w:val="24"/>
        </w:rPr>
        <w:t>Commissioner was precluded from directing how a taxpa</w:t>
      </w:r>
      <w:r w:rsidR="00932C2D">
        <w:rPr>
          <w:rFonts w:ascii="Times New Roman" w:hAnsi="Times New Roman" w:cs="Times New Roman"/>
          <w:sz w:val="24"/>
          <w:szCs w:val="24"/>
        </w:rPr>
        <w:t>yer should run its business, does not apply</w:t>
      </w:r>
      <w:r w:rsidR="00836D6A">
        <w:rPr>
          <w:rFonts w:ascii="Times New Roman" w:hAnsi="Times New Roman" w:cs="Times New Roman"/>
          <w:sz w:val="24"/>
          <w:szCs w:val="24"/>
        </w:rPr>
        <w:t xml:space="preserve"> to</w:t>
      </w:r>
      <w:r w:rsidR="00932C2D">
        <w:rPr>
          <w:rFonts w:ascii="Times New Roman" w:hAnsi="Times New Roman" w:cs="Times New Roman"/>
          <w:sz w:val="24"/>
          <w:szCs w:val="24"/>
        </w:rPr>
        <w:t xml:space="preserve"> bad debts.</w:t>
      </w:r>
      <w:r>
        <w:rPr>
          <w:rFonts w:ascii="Times New Roman" w:hAnsi="Times New Roman" w:cs="Times New Roman"/>
          <w:sz w:val="24"/>
          <w:szCs w:val="24"/>
        </w:rPr>
        <w:t xml:space="preserve"> This is because s 15 (2) (g) requires that the Commissioner must be satisfied that any debt declared bad by any taxpayer was truly bad on the date that the declaration is made.</w:t>
      </w:r>
      <w:r w:rsidR="00932C2D">
        <w:rPr>
          <w:rFonts w:ascii="Times New Roman" w:hAnsi="Times New Roman" w:cs="Times New Roman"/>
          <w:sz w:val="24"/>
          <w:szCs w:val="24"/>
        </w:rPr>
        <w:t xml:space="preserve"> In the present matter, the Commissioner was, therefore, entitled to exercise the authority conferred on him by s 15 (2) (g) of the Act. </w:t>
      </w:r>
    </w:p>
    <w:p w:rsidR="000260B5" w:rsidRDefault="00F531A2" w:rsidP="000260B5">
      <w:pPr>
        <w:autoSpaceDE w:val="0"/>
        <w:autoSpaceDN w:val="0"/>
        <w:adjustRightInd w:val="0"/>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The </w:t>
      </w:r>
      <w:r w:rsidR="00836D6A">
        <w:rPr>
          <w:rFonts w:ascii="Times New Roman" w:hAnsi="Times New Roman" w:cs="Times New Roman"/>
          <w:sz w:val="24"/>
          <w:szCs w:val="24"/>
        </w:rPr>
        <w:t xml:space="preserve">law governing bad debts was set out in </w:t>
      </w:r>
      <w:r w:rsidR="00836D6A" w:rsidRPr="005A2050">
        <w:rPr>
          <w:rFonts w:ascii="Times New Roman" w:hAnsi="Times New Roman" w:cs="Times New Roman"/>
          <w:i/>
          <w:sz w:val="24"/>
          <w:szCs w:val="24"/>
        </w:rPr>
        <w:t xml:space="preserve">BT (Pvt) Ltd </w:t>
      </w:r>
      <w:r w:rsidR="00836D6A" w:rsidRPr="002E286B">
        <w:rPr>
          <w:rFonts w:ascii="Times New Roman" w:hAnsi="Times New Roman" w:cs="Times New Roman"/>
          <w:sz w:val="24"/>
          <w:szCs w:val="24"/>
        </w:rPr>
        <w:t>v</w:t>
      </w:r>
      <w:r w:rsidR="00836D6A" w:rsidRPr="005A2050">
        <w:rPr>
          <w:rFonts w:ascii="Times New Roman" w:hAnsi="Times New Roman" w:cs="Times New Roman"/>
          <w:i/>
          <w:sz w:val="24"/>
          <w:szCs w:val="24"/>
        </w:rPr>
        <w:t xml:space="preserve"> Zimra</w:t>
      </w:r>
      <w:r w:rsidR="00836D6A">
        <w:rPr>
          <w:rFonts w:ascii="Times New Roman" w:hAnsi="Times New Roman" w:cs="Times New Roman"/>
          <w:sz w:val="24"/>
          <w:szCs w:val="24"/>
        </w:rPr>
        <w:t xml:space="preserve"> 2014 (2) ZLR </w:t>
      </w:r>
      <w:r w:rsidR="0015423B">
        <w:rPr>
          <w:rFonts w:ascii="Times New Roman" w:hAnsi="Times New Roman" w:cs="Times New Roman"/>
          <w:sz w:val="24"/>
          <w:szCs w:val="24"/>
        </w:rPr>
        <w:t xml:space="preserve">640 </w:t>
      </w:r>
      <w:r w:rsidR="00836D6A">
        <w:rPr>
          <w:rFonts w:ascii="Times New Roman" w:hAnsi="Times New Roman" w:cs="Times New Roman"/>
          <w:sz w:val="24"/>
          <w:szCs w:val="24"/>
        </w:rPr>
        <w:t xml:space="preserve">(H) at. </w:t>
      </w:r>
      <w:r w:rsidR="0015423B">
        <w:rPr>
          <w:rFonts w:ascii="Times New Roman" w:hAnsi="Times New Roman" w:cs="Times New Roman"/>
          <w:sz w:val="24"/>
          <w:szCs w:val="24"/>
        </w:rPr>
        <w:t xml:space="preserve">655D-F. </w:t>
      </w:r>
      <w:r w:rsidR="00836D6A">
        <w:rPr>
          <w:rFonts w:ascii="Times New Roman" w:hAnsi="Times New Roman" w:cs="Times New Roman"/>
          <w:sz w:val="24"/>
          <w:szCs w:val="24"/>
        </w:rPr>
        <w:t xml:space="preserve">The taxpayer is required to establish facts, which show on a balance of probabilities that the debt was unlikely ever to be paid.  It does not seem to me that the mere say so of the appellant discharges this onus. The appellant was required to set out the objective facts upon which the Commissioner, acting as a reasonable man, would have been satisfied that the debt was bad. The appellant did not provide any such evidence to the Commissioner during the audit and objection nor to this Court on appeal in respect of any of the three years in question. </w:t>
      </w:r>
      <w:r w:rsidR="005A2050">
        <w:rPr>
          <w:rFonts w:ascii="Times New Roman" w:hAnsi="Times New Roman" w:cs="Times New Roman"/>
          <w:sz w:val="24"/>
          <w:szCs w:val="24"/>
        </w:rPr>
        <w:t>It did not disclose the personnel circumstances of each debtor at the time the debts were written off to enable the Commissioner and this Court to assess whether indeed the debtors were unlik</w:t>
      </w:r>
      <w:r w:rsidR="00A44D8A">
        <w:rPr>
          <w:rFonts w:ascii="Times New Roman" w:hAnsi="Times New Roman" w:cs="Times New Roman"/>
          <w:sz w:val="24"/>
          <w:szCs w:val="24"/>
        </w:rPr>
        <w:t>ely to pay</w:t>
      </w:r>
      <w:r w:rsidR="005A2050">
        <w:rPr>
          <w:rFonts w:ascii="Times New Roman" w:hAnsi="Times New Roman" w:cs="Times New Roman"/>
          <w:sz w:val="24"/>
          <w:szCs w:val="24"/>
        </w:rPr>
        <w:t xml:space="preserve"> these debts. As it turned out the majority of the 2009 debtors had paid off their indebtedness in 2010. The majority of the remainder where pursued in 2011 and some had their property attached in execution. The appellant did not explain why it did not take these recovery measures in 2009. </w:t>
      </w:r>
    </w:p>
    <w:p w:rsidR="000260B5" w:rsidRDefault="005A2050" w:rsidP="000260B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Again, in regards to the 2010 paltry amounts, the basis for writing off was inadequate to sati</w:t>
      </w:r>
      <w:r w:rsidR="00F84AFD">
        <w:rPr>
          <w:rFonts w:ascii="Times New Roman" w:hAnsi="Times New Roman" w:cs="Times New Roman"/>
          <w:sz w:val="24"/>
          <w:szCs w:val="24"/>
        </w:rPr>
        <w:t>s</w:t>
      </w:r>
      <w:r>
        <w:rPr>
          <w:rFonts w:ascii="Times New Roman" w:hAnsi="Times New Roman" w:cs="Times New Roman"/>
          <w:sz w:val="24"/>
          <w:szCs w:val="24"/>
        </w:rPr>
        <w:t>fy the Commissioner and the Court that the amounts were indeed bad.  The ap</w:t>
      </w:r>
      <w:r w:rsidR="00DA4167">
        <w:rPr>
          <w:rFonts w:ascii="Times New Roman" w:hAnsi="Times New Roman" w:cs="Times New Roman"/>
          <w:sz w:val="24"/>
          <w:szCs w:val="24"/>
        </w:rPr>
        <w:t>pellant did not disclose</w:t>
      </w:r>
      <w:r>
        <w:rPr>
          <w:rFonts w:ascii="Times New Roman" w:hAnsi="Times New Roman" w:cs="Times New Roman"/>
          <w:sz w:val="24"/>
          <w:szCs w:val="24"/>
        </w:rPr>
        <w:t xml:space="preserve"> the employment </w:t>
      </w:r>
      <w:r w:rsidR="00F84AFD">
        <w:rPr>
          <w:rFonts w:ascii="Times New Roman" w:hAnsi="Times New Roman" w:cs="Times New Roman"/>
          <w:sz w:val="24"/>
          <w:szCs w:val="24"/>
        </w:rPr>
        <w:t>and personal status of these employees after it disengaged them.</w:t>
      </w:r>
    </w:p>
    <w:p w:rsidR="004D1245" w:rsidRDefault="00F84AFD" w:rsidP="004D124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respect to the 2012 debts, the smaller amounts were owed by companies, whose operational and trading status was not disclosed. One </w:t>
      </w:r>
      <w:r w:rsidR="00F93B13">
        <w:rPr>
          <w:rFonts w:ascii="Times New Roman" w:hAnsi="Times New Roman" w:cs="Times New Roman"/>
          <w:sz w:val="24"/>
          <w:szCs w:val="24"/>
        </w:rPr>
        <w:t xml:space="preserve">of </w:t>
      </w:r>
      <w:r>
        <w:rPr>
          <w:rFonts w:ascii="Times New Roman" w:hAnsi="Times New Roman" w:cs="Times New Roman"/>
          <w:sz w:val="24"/>
          <w:szCs w:val="24"/>
        </w:rPr>
        <w:t xml:space="preserve">the companies whose debt was written off was and remains to this day a household name in the Midlands, Masvingo and Matabeleland South Provinces. It does not appear to me that proper thought was given by the appellant to the declaration of these bad debts. In regards to the Botswana debtor, it is clear from the subsequent events that transpired after the set off arrangement, that the declaration of the debt as bad in 2012 was premature. The Botswana debtor was trading and had assets in Botswana, which the appellant could leverage against the debt. </w:t>
      </w:r>
    </w:p>
    <w:p w:rsidR="007A4826" w:rsidRDefault="00F84AFD" w:rsidP="004D124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cannot fault the treatment accorded </w:t>
      </w:r>
      <w:r w:rsidR="007A4826">
        <w:rPr>
          <w:rFonts w:ascii="Times New Roman" w:hAnsi="Times New Roman" w:cs="Times New Roman"/>
          <w:sz w:val="24"/>
          <w:szCs w:val="24"/>
        </w:rPr>
        <w:t xml:space="preserve">to bad debts disallowed in the 2009, 2010 and 2012 tax years by the Commissioner. The appellant did not lead any evidence to show that it added back the 2009 recovered debts to the 2010 tax year. I am therefore unable to </w:t>
      </w:r>
      <w:r w:rsidR="00130DC2">
        <w:rPr>
          <w:rFonts w:ascii="Times New Roman" w:hAnsi="Times New Roman" w:cs="Times New Roman"/>
          <w:sz w:val="24"/>
          <w:szCs w:val="24"/>
        </w:rPr>
        <w:t xml:space="preserve">find </w:t>
      </w:r>
      <w:r w:rsidR="007A4826">
        <w:rPr>
          <w:rFonts w:ascii="Times New Roman" w:hAnsi="Times New Roman" w:cs="Times New Roman"/>
          <w:sz w:val="24"/>
          <w:szCs w:val="24"/>
        </w:rPr>
        <w:t>that they were subjected to double taxation in both the 2009 and 2010 tax years. I uphold the determination made by</w:t>
      </w:r>
      <w:r w:rsidR="004D1245">
        <w:rPr>
          <w:rFonts w:ascii="Times New Roman" w:hAnsi="Times New Roman" w:cs="Times New Roman"/>
          <w:sz w:val="24"/>
          <w:szCs w:val="24"/>
        </w:rPr>
        <w:t xml:space="preserve"> the Commissioner on this issue</w:t>
      </w:r>
      <w:r w:rsidR="007A4826">
        <w:rPr>
          <w:rFonts w:ascii="Times New Roman" w:hAnsi="Times New Roman" w:cs="Times New Roman"/>
          <w:sz w:val="24"/>
          <w:szCs w:val="24"/>
        </w:rPr>
        <w:t xml:space="preserve">.    </w:t>
      </w:r>
    </w:p>
    <w:p w:rsidR="00AD4411" w:rsidRPr="004E3401" w:rsidRDefault="00AD4411" w:rsidP="00AD4411">
      <w:pPr>
        <w:spacing w:line="240" w:lineRule="auto"/>
        <w:jc w:val="both"/>
        <w:rPr>
          <w:rFonts w:ascii="Times New Roman" w:hAnsi="Times New Roman" w:cs="Times New Roman"/>
          <w:i/>
          <w:sz w:val="24"/>
          <w:szCs w:val="24"/>
        </w:rPr>
      </w:pPr>
      <w:r w:rsidRPr="004E3401">
        <w:rPr>
          <w:rFonts w:ascii="Times New Roman" w:hAnsi="Times New Roman" w:cs="Times New Roman"/>
          <w:i/>
          <w:sz w:val="24"/>
          <w:szCs w:val="24"/>
        </w:rPr>
        <w:t>Whether interest is, in principle, payable in respect of any established tax liability for the 2013 tax year?</w:t>
      </w:r>
    </w:p>
    <w:p w:rsidR="002926D3" w:rsidRDefault="00724218" w:rsidP="002926D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issue was abandoned by the appellant at the commencement of this appeal, but I believe it </w:t>
      </w:r>
      <w:r w:rsidR="00305B22">
        <w:rPr>
          <w:rFonts w:ascii="Times New Roman" w:hAnsi="Times New Roman" w:cs="Times New Roman"/>
          <w:sz w:val="24"/>
          <w:szCs w:val="24"/>
        </w:rPr>
        <w:t xml:space="preserve">is an important issue which requires determination. </w:t>
      </w:r>
      <w:r w:rsidR="00991628" w:rsidRPr="004E3401">
        <w:rPr>
          <w:rFonts w:ascii="Times New Roman" w:hAnsi="Times New Roman" w:cs="Times New Roman"/>
          <w:sz w:val="24"/>
          <w:szCs w:val="24"/>
        </w:rPr>
        <w:t xml:space="preserve">The respondent levied interest upon the appellant for failing to estimate Quarterly Payment Dates tax due within the 10% </w:t>
      </w:r>
      <w:r w:rsidR="00F6344D" w:rsidRPr="004E3401">
        <w:rPr>
          <w:rFonts w:ascii="Times New Roman" w:hAnsi="Times New Roman" w:cs="Times New Roman"/>
          <w:sz w:val="24"/>
          <w:szCs w:val="24"/>
        </w:rPr>
        <w:t>margin of error that is</w:t>
      </w:r>
      <w:r w:rsidR="00991628" w:rsidRPr="004E3401">
        <w:rPr>
          <w:rFonts w:ascii="Times New Roman" w:hAnsi="Times New Roman" w:cs="Times New Roman"/>
          <w:sz w:val="24"/>
          <w:szCs w:val="24"/>
        </w:rPr>
        <w:t xml:space="preserve"> stipulated in s 72 (11) of the Income Tax Act in respect of the 2011 and 2013 tax years. The respondent disallowed the appellant’s objection in respect of both tax years but conceded on the ba</w:t>
      </w:r>
      <w:r w:rsidR="00F6344D" w:rsidRPr="004E3401">
        <w:rPr>
          <w:rFonts w:ascii="Times New Roman" w:hAnsi="Times New Roman" w:cs="Times New Roman"/>
          <w:sz w:val="24"/>
          <w:szCs w:val="24"/>
        </w:rPr>
        <w:t>s</w:t>
      </w:r>
      <w:r w:rsidR="00991628" w:rsidRPr="004E3401">
        <w:rPr>
          <w:rFonts w:ascii="Times New Roman" w:hAnsi="Times New Roman" w:cs="Times New Roman"/>
          <w:sz w:val="24"/>
          <w:szCs w:val="24"/>
        </w:rPr>
        <w:t xml:space="preserve">is of the decision of the High Court </w:t>
      </w:r>
      <w:r w:rsidR="00F6344D" w:rsidRPr="004E3401">
        <w:rPr>
          <w:rFonts w:ascii="Times New Roman" w:hAnsi="Times New Roman" w:cs="Times New Roman"/>
          <w:sz w:val="24"/>
          <w:szCs w:val="24"/>
        </w:rPr>
        <w:t xml:space="preserve">in </w:t>
      </w:r>
      <w:r w:rsidR="00F6344D" w:rsidRPr="004E3401">
        <w:rPr>
          <w:rFonts w:ascii="Times New Roman" w:hAnsi="Times New Roman" w:cs="Times New Roman"/>
          <w:i/>
          <w:sz w:val="24"/>
          <w:szCs w:val="24"/>
        </w:rPr>
        <w:t xml:space="preserve">Delta </w:t>
      </w:r>
      <w:r w:rsidR="008D2312" w:rsidRPr="004E3401">
        <w:rPr>
          <w:rFonts w:ascii="Times New Roman" w:hAnsi="Times New Roman" w:cs="Times New Roman"/>
          <w:i/>
          <w:sz w:val="24"/>
          <w:szCs w:val="24"/>
        </w:rPr>
        <w:t xml:space="preserve"> Beverages (Pvt) Ltd </w:t>
      </w:r>
      <w:r w:rsidR="00F6344D" w:rsidRPr="008346B3">
        <w:rPr>
          <w:rFonts w:ascii="Times New Roman" w:hAnsi="Times New Roman" w:cs="Times New Roman"/>
          <w:sz w:val="24"/>
          <w:szCs w:val="24"/>
        </w:rPr>
        <w:t>v</w:t>
      </w:r>
      <w:r w:rsidR="00F6344D" w:rsidRPr="004E3401">
        <w:rPr>
          <w:rFonts w:ascii="Times New Roman" w:hAnsi="Times New Roman" w:cs="Times New Roman"/>
          <w:i/>
          <w:sz w:val="24"/>
          <w:szCs w:val="24"/>
        </w:rPr>
        <w:t xml:space="preserve"> Zimra</w:t>
      </w:r>
      <w:r w:rsidR="00F6344D" w:rsidRPr="004E3401">
        <w:rPr>
          <w:rFonts w:ascii="Times New Roman" w:hAnsi="Times New Roman" w:cs="Times New Roman"/>
          <w:sz w:val="24"/>
          <w:szCs w:val="24"/>
        </w:rPr>
        <w:t xml:space="preserve"> 2015 (1) ZLR</w:t>
      </w:r>
      <w:r w:rsidR="00112E9D" w:rsidRPr="004E3401">
        <w:rPr>
          <w:rFonts w:ascii="Times New Roman" w:hAnsi="Times New Roman" w:cs="Times New Roman"/>
          <w:sz w:val="24"/>
          <w:szCs w:val="24"/>
        </w:rPr>
        <w:t xml:space="preserve">117 </w:t>
      </w:r>
      <w:r w:rsidR="00F6344D" w:rsidRPr="004E3401">
        <w:rPr>
          <w:rFonts w:ascii="Times New Roman" w:hAnsi="Times New Roman" w:cs="Times New Roman"/>
          <w:sz w:val="24"/>
          <w:szCs w:val="24"/>
        </w:rPr>
        <w:t>that</w:t>
      </w:r>
      <w:r w:rsidR="00476147">
        <w:rPr>
          <w:rFonts w:ascii="Times New Roman" w:hAnsi="Times New Roman" w:cs="Times New Roman"/>
          <w:sz w:val="24"/>
          <w:szCs w:val="24"/>
        </w:rPr>
        <w:t>,</w:t>
      </w:r>
      <w:r w:rsidR="00F6344D" w:rsidRPr="004E3401">
        <w:rPr>
          <w:rFonts w:ascii="Times New Roman" w:hAnsi="Times New Roman" w:cs="Times New Roman"/>
          <w:sz w:val="24"/>
          <w:szCs w:val="24"/>
        </w:rPr>
        <w:t xml:space="preserve"> the 2011 interest was not payable. The interest levied in the 2013 tax year remained in contention between the parties. </w:t>
      </w:r>
    </w:p>
    <w:p w:rsidR="00F6344D" w:rsidRPr="004E3401" w:rsidRDefault="00F6344D" w:rsidP="002926D3">
      <w:pPr>
        <w:autoSpaceDE w:val="0"/>
        <w:autoSpaceDN w:val="0"/>
        <w:adjustRightInd w:val="0"/>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The </w:t>
      </w:r>
      <w:r w:rsidR="008346B3" w:rsidRPr="004E3401">
        <w:rPr>
          <w:rFonts w:ascii="Times New Roman" w:hAnsi="Times New Roman" w:cs="Times New Roman"/>
          <w:sz w:val="24"/>
          <w:szCs w:val="24"/>
        </w:rPr>
        <w:t>requ</w:t>
      </w:r>
      <w:r w:rsidR="008346B3">
        <w:rPr>
          <w:rFonts w:ascii="Times New Roman" w:hAnsi="Times New Roman" w:cs="Times New Roman"/>
          <w:sz w:val="24"/>
          <w:szCs w:val="24"/>
        </w:rPr>
        <w:t>i</w:t>
      </w:r>
      <w:r w:rsidR="008346B3" w:rsidRPr="004E3401">
        <w:rPr>
          <w:rFonts w:ascii="Times New Roman" w:hAnsi="Times New Roman" w:cs="Times New Roman"/>
          <w:sz w:val="24"/>
          <w:szCs w:val="24"/>
        </w:rPr>
        <w:t>site</w:t>
      </w:r>
      <w:r w:rsidRPr="004E3401">
        <w:rPr>
          <w:rFonts w:ascii="Times New Roman" w:hAnsi="Times New Roman" w:cs="Times New Roman"/>
          <w:sz w:val="24"/>
          <w:szCs w:val="24"/>
        </w:rPr>
        <w:t xml:space="preserve"> section provides that:</w:t>
      </w:r>
    </w:p>
    <w:p w:rsidR="00304B9F" w:rsidRPr="00B9590B" w:rsidRDefault="00F6344D" w:rsidP="00B9590B">
      <w:pPr>
        <w:autoSpaceDE w:val="0"/>
        <w:autoSpaceDN w:val="0"/>
        <w:adjustRightInd w:val="0"/>
        <w:spacing w:after="0" w:line="240" w:lineRule="auto"/>
        <w:ind w:left="1440" w:hanging="720"/>
        <w:jc w:val="both"/>
        <w:rPr>
          <w:rFonts w:ascii="Times New Roman" w:hAnsi="Times New Roman" w:cs="Times New Roman"/>
          <w:lang w:val="en-US"/>
        </w:rPr>
      </w:pPr>
      <w:r w:rsidRPr="00B9590B">
        <w:rPr>
          <w:rFonts w:ascii="Times New Roman" w:hAnsi="Times New Roman" w:cs="Times New Roman"/>
        </w:rPr>
        <w:t>“</w:t>
      </w:r>
      <w:r w:rsidR="00304B9F" w:rsidRPr="00B9590B">
        <w:rPr>
          <w:rFonts w:ascii="Times New Roman" w:hAnsi="Times New Roman" w:cs="Times New Roman"/>
          <w:lang w:val="en-US"/>
        </w:rPr>
        <w:t xml:space="preserve">(11) </w:t>
      </w:r>
      <w:r w:rsidR="00304B9F" w:rsidRPr="00B9590B">
        <w:rPr>
          <w:rFonts w:ascii="Times New Roman" w:hAnsi="Times New Roman" w:cs="Times New Roman"/>
          <w:lang w:val="en-US"/>
        </w:rPr>
        <w:tab/>
        <w:t>If the Commissioner-General is satisfied that a person required to pay provisional tax under this section---</w:t>
      </w:r>
    </w:p>
    <w:p w:rsidR="00267F8A" w:rsidRPr="00B9590B" w:rsidRDefault="00267F8A" w:rsidP="00B9590B">
      <w:pPr>
        <w:autoSpaceDE w:val="0"/>
        <w:autoSpaceDN w:val="0"/>
        <w:adjustRightInd w:val="0"/>
        <w:spacing w:after="0" w:line="240" w:lineRule="auto"/>
        <w:ind w:left="2160" w:hanging="660"/>
        <w:jc w:val="both"/>
        <w:rPr>
          <w:rFonts w:ascii="Times New Roman" w:hAnsi="Times New Roman" w:cs="Times New Roman"/>
          <w:lang w:val="en-US"/>
        </w:rPr>
      </w:pPr>
      <w:r w:rsidRPr="00B9590B">
        <w:rPr>
          <w:rFonts w:ascii="Times New Roman" w:hAnsi="Times New Roman" w:cs="Times New Roman"/>
          <w:lang w:val="en-US"/>
        </w:rPr>
        <w:t>(</w:t>
      </w:r>
      <w:r w:rsidRPr="00B9590B">
        <w:rPr>
          <w:rFonts w:ascii="Times New Roman" w:hAnsi="Times New Roman" w:cs="Times New Roman"/>
          <w:i/>
          <w:iCs/>
          <w:lang w:val="en-US"/>
        </w:rPr>
        <w:t>a</w:t>
      </w:r>
      <w:r w:rsidRPr="00B9590B">
        <w:rPr>
          <w:rFonts w:ascii="Times New Roman" w:hAnsi="Times New Roman" w:cs="Times New Roman"/>
          <w:lang w:val="en-US"/>
        </w:rPr>
        <w:t xml:space="preserve">) </w:t>
      </w:r>
      <w:r w:rsidR="00304B9F" w:rsidRPr="00B9590B">
        <w:rPr>
          <w:rFonts w:ascii="Times New Roman" w:hAnsi="Times New Roman" w:cs="Times New Roman"/>
          <w:lang w:val="en-US"/>
        </w:rPr>
        <w:tab/>
      </w:r>
      <w:r w:rsidRPr="00B9590B">
        <w:rPr>
          <w:rFonts w:ascii="Times New Roman" w:hAnsi="Times New Roman" w:cs="Times New Roman"/>
          <w:lang w:val="en-US"/>
        </w:rPr>
        <w:t>was, through special circumstances, unable to pay the whole or part of an instalment of provisional tax</w:t>
      </w:r>
      <w:r w:rsidR="00304B9F" w:rsidRPr="00B9590B">
        <w:rPr>
          <w:rFonts w:ascii="Times New Roman" w:hAnsi="Times New Roman" w:cs="Times New Roman"/>
          <w:lang w:val="en-US"/>
        </w:rPr>
        <w:t xml:space="preserve"> </w:t>
      </w:r>
      <w:r w:rsidRPr="00B9590B">
        <w:rPr>
          <w:rFonts w:ascii="Times New Roman" w:hAnsi="Times New Roman" w:cs="Times New Roman"/>
          <w:lang w:val="en-US"/>
        </w:rPr>
        <w:t>payable by him or her; or</w:t>
      </w:r>
    </w:p>
    <w:p w:rsidR="00267F8A" w:rsidRPr="00B9590B" w:rsidRDefault="00267F8A" w:rsidP="00B9590B">
      <w:pPr>
        <w:autoSpaceDE w:val="0"/>
        <w:autoSpaceDN w:val="0"/>
        <w:adjustRightInd w:val="0"/>
        <w:spacing w:after="0" w:line="240" w:lineRule="auto"/>
        <w:ind w:left="2160" w:hanging="720"/>
        <w:jc w:val="both"/>
        <w:rPr>
          <w:rFonts w:ascii="Times New Roman" w:hAnsi="Times New Roman" w:cs="Times New Roman"/>
          <w:lang w:val="en-US"/>
        </w:rPr>
      </w:pPr>
      <w:r w:rsidRPr="00B9590B">
        <w:rPr>
          <w:rFonts w:ascii="Times New Roman" w:hAnsi="Times New Roman" w:cs="Times New Roman"/>
          <w:lang w:val="en-US"/>
        </w:rPr>
        <w:t>(</w:t>
      </w:r>
      <w:r w:rsidRPr="00B9590B">
        <w:rPr>
          <w:rFonts w:ascii="Times New Roman" w:hAnsi="Times New Roman" w:cs="Times New Roman"/>
          <w:i/>
          <w:iCs/>
          <w:lang w:val="en-US"/>
        </w:rPr>
        <w:t>b</w:t>
      </w:r>
      <w:r w:rsidRPr="00B9590B">
        <w:rPr>
          <w:rFonts w:ascii="Times New Roman" w:hAnsi="Times New Roman" w:cs="Times New Roman"/>
          <w:lang w:val="en-US"/>
        </w:rPr>
        <w:t xml:space="preserve">) </w:t>
      </w:r>
      <w:r w:rsidR="00304B9F" w:rsidRPr="00B9590B">
        <w:rPr>
          <w:rFonts w:ascii="Times New Roman" w:hAnsi="Times New Roman" w:cs="Times New Roman"/>
          <w:lang w:val="en-US"/>
        </w:rPr>
        <w:tab/>
      </w:r>
      <w:r w:rsidRPr="00B9590B">
        <w:rPr>
          <w:rFonts w:ascii="Times New Roman" w:hAnsi="Times New Roman" w:cs="Times New Roman"/>
          <w:lang w:val="en-US"/>
        </w:rPr>
        <w:t>underestimated the amount of an instalment of provisional tax payable by him or her by not more than</w:t>
      </w:r>
      <w:r w:rsidR="00304B9F" w:rsidRPr="00B9590B">
        <w:rPr>
          <w:rFonts w:ascii="Times New Roman" w:hAnsi="Times New Roman" w:cs="Times New Roman"/>
          <w:lang w:val="en-US"/>
        </w:rPr>
        <w:t xml:space="preserve"> </w:t>
      </w:r>
      <w:r w:rsidRPr="00B9590B">
        <w:rPr>
          <w:rFonts w:ascii="Times New Roman" w:hAnsi="Times New Roman" w:cs="Times New Roman"/>
          <w:lang w:val="en-US"/>
        </w:rPr>
        <w:t xml:space="preserve">ten </w:t>
      </w:r>
      <w:r w:rsidRPr="00B9590B">
        <w:rPr>
          <w:rFonts w:ascii="Times New Roman" w:hAnsi="Times New Roman" w:cs="Times New Roman"/>
          <w:i/>
          <w:iCs/>
          <w:lang w:val="en-US"/>
        </w:rPr>
        <w:t xml:space="preserve">per centum </w:t>
      </w:r>
      <w:r w:rsidRPr="00B9590B">
        <w:rPr>
          <w:rFonts w:ascii="Times New Roman" w:hAnsi="Times New Roman" w:cs="Times New Roman"/>
          <w:lang w:val="en-US"/>
        </w:rPr>
        <w:t>or through an increase in the rates of tax or for any other sufficient cause;</w:t>
      </w:r>
    </w:p>
    <w:p w:rsidR="00F6344D" w:rsidRDefault="00267F8A" w:rsidP="00B9590B">
      <w:pPr>
        <w:autoSpaceDE w:val="0"/>
        <w:autoSpaceDN w:val="0"/>
        <w:adjustRightInd w:val="0"/>
        <w:spacing w:after="0" w:line="240" w:lineRule="auto"/>
        <w:ind w:left="720" w:firstLine="720"/>
        <w:jc w:val="both"/>
        <w:rPr>
          <w:rFonts w:ascii="Times New Roman" w:hAnsi="Times New Roman" w:cs="Times New Roman"/>
          <w:lang w:val="en-US"/>
        </w:rPr>
      </w:pPr>
      <w:r w:rsidRPr="00B9590B">
        <w:rPr>
          <w:rFonts w:ascii="Times New Roman" w:hAnsi="Times New Roman" w:cs="Times New Roman"/>
          <w:lang w:val="en-US"/>
        </w:rPr>
        <w:t>the Commissioner-General may waive the whole or part of any interest payable under section 71(2).</w:t>
      </w:r>
      <w:r w:rsidR="00304B9F" w:rsidRPr="00B9590B">
        <w:rPr>
          <w:rFonts w:ascii="Times New Roman" w:hAnsi="Times New Roman" w:cs="Times New Roman"/>
          <w:lang w:val="en-US"/>
        </w:rPr>
        <w:t xml:space="preserve"> </w:t>
      </w:r>
    </w:p>
    <w:p w:rsidR="008346B3" w:rsidRPr="00B9590B" w:rsidRDefault="008346B3" w:rsidP="00B9590B">
      <w:pPr>
        <w:autoSpaceDE w:val="0"/>
        <w:autoSpaceDN w:val="0"/>
        <w:adjustRightInd w:val="0"/>
        <w:spacing w:after="0" w:line="240" w:lineRule="auto"/>
        <w:ind w:left="720" w:firstLine="720"/>
        <w:jc w:val="both"/>
        <w:rPr>
          <w:rFonts w:ascii="Times New Roman" w:hAnsi="Times New Roman" w:cs="Times New Roman"/>
          <w:lang w:val="en-US"/>
        </w:rPr>
      </w:pPr>
    </w:p>
    <w:p w:rsidR="0054648D" w:rsidRDefault="00304B9F" w:rsidP="0054648D">
      <w:pPr>
        <w:autoSpaceDE w:val="0"/>
        <w:autoSpaceDN w:val="0"/>
        <w:adjustRightInd w:val="0"/>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The appellant </w:t>
      </w:r>
      <w:r w:rsidR="00E54532" w:rsidRPr="004E3401">
        <w:rPr>
          <w:rFonts w:ascii="Times New Roman" w:hAnsi="Times New Roman" w:cs="Times New Roman"/>
          <w:sz w:val="24"/>
          <w:szCs w:val="24"/>
        </w:rPr>
        <w:t>advanced five</w:t>
      </w:r>
      <w:r w:rsidRPr="004E3401">
        <w:rPr>
          <w:rFonts w:ascii="Times New Roman" w:hAnsi="Times New Roman" w:cs="Times New Roman"/>
          <w:sz w:val="24"/>
          <w:szCs w:val="24"/>
        </w:rPr>
        <w:t xml:space="preserve"> reasons for failing to forecast its annual tax liability </w:t>
      </w:r>
      <w:r w:rsidR="003D5DD1" w:rsidRPr="004E3401">
        <w:rPr>
          <w:rFonts w:ascii="Times New Roman" w:hAnsi="Times New Roman" w:cs="Times New Roman"/>
          <w:sz w:val="24"/>
          <w:szCs w:val="24"/>
        </w:rPr>
        <w:t xml:space="preserve">and underpaying the provisional tax due </w:t>
      </w:r>
      <w:r w:rsidRPr="004E3401">
        <w:rPr>
          <w:rFonts w:ascii="Times New Roman" w:hAnsi="Times New Roman" w:cs="Times New Roman"/>
          <w:sz w:val="24"/>
          <w:szCs w:val="24"/>
        </w:rPr>
        <w:t>within the 10% tole</w:t>
      </w:r>
      <w:r w:rsidR="00F4695E" w:rsidRPr="004E3401">
        <w:rPr>
          <w:rFonts w:ascii="Times New Roman" w:hAnsi="Times New Roman" w:cs="Times New Roman"/>
          <w:sz w:val="24"/>
          <w:szCs w:val="24"/>
        </w:rPr>
        <w:t>rance range stipulated in s 72 (</w:t>
      </w:r>
      <w:r w:rsidRPr="004E3401">
        <w:rPr>
          <w:rFonts w:ascii="Times New Roman" w:hAnsi="Times New Roman" w:cs="Times New Roman"/>
          <w:sz w:val="24"/>
          <w:szCs w:val="24"/>
        </w:rPr>
        <w:t>2) of the Act</w:t>
      </w:r>
      <w:r w:rsidR="00F4695E" w:rsidRPr="004E3401">
        <w:rPr>
          <w:rFonts w:ascii="Times New Roman" w:hAnsi="Times New Roman" w:cs="Times New Roman"/>
          <w:sz w:val="24"/>
          <w:szCs w:val="24"/>
        </w:rPr>
        <w:t xml:space="preserve">, which it contended constituted s 72 (11) (a) special circumstances for the full waiver </w:t>
      </w:r>
      <w:r w:rsidR="00F4695E" w:rsidRPr="004E3401">
        <w:rPr>
          <w:rFonts w:ascii="Times New Roman" w:hAnsi="Times New Roman" w:cs="Times New Roman"/>
          <w:sz w:val="24"/>
          <w:szCs w:val="24"/>
        </w:rPr>
        <w:lastRenderedPageBreak/>
        <w:t>of the interest imposed by the respondent</w:t>
      </w:r>
      <w:r w:rsidRPr="004E3401">
        <w:rPr>
          <w:rFonts w:ascii="Times New Roman" w:hAnsi="Times New Roman" w:cs="Times New Roman"/>
          <w:sz w:val="24"/>
          <w:szCs w:val="24"/>
        </w:rPr>
        <w:t>. The first was that</w:t>
      </w:r>
      <w:r w:rsidR="00171AF7">
        <w:rPr>
          <w:rFonts w:ascii="Times New Roman" w:hAnsi="Times New Roman" w:cs="Times New Roman"/>
          <w:sz w:val="24"/>
          <w:szCs w:val="24"/>
        </w:rPr>
        <w:t>,</w:t>
      </w:r>
      <w:r w:rsidRPr="004E3401">
        <w:rPr>
          <w:rFonts w:ascii="Times New Roman" w:hAnsi="Times New Roman" w:cs="Times New Roman"/>
          <w:sz w:val="24"/>
          <w:szCs w:val="24"/>
        </w:rPr>
        <w:t xml:space="preserve"> </w:t>
      </w:r>
      <w:r w:rsidR="00F4695E" w:rsidRPr="004E3401">
        <w:rPr>
          <w:rFonts w:ascii="Times New Roman" w:hAnsi="Times New Roman" w:cs="Times New Roman"/>
          <w:sz w:val="24"/>
          <w:szCs w:val="24"/>
        </w:rPr>
        <w:t>it made stock adjustments to the bulk materials of coal fines, slag, gypsum and clinker on 31 December of each year after the payment of the 4</w:t>
      </w:r>
      <w:r w:rsidR="00F4695E" w:rsidRPr="004E3401">
        <w:rPr>
          <w:rFonts w:ascii="Times New Roman" w:hAnsi="Times New Roman" w:cs="Times New Roman"/>
          <w:sz w:val="24"/>
          <w:szCs w:val="24"/>
          <w:vertAlign w:val="superscript"/>
        </w:rPr>
        <w:t>th</w:t>
      </w:r>
      <w:r w:rsidR="00F4695E" w:rsidRPr="004E3401">
        <w:rPr>
          <w:rFonts w:ascii="Times New Roman" w:hAnsi="Times New Roman" w:cs="Times New Roman"/>
          <w:sz w:val="24"/>
          <w:szCs w:val="24"/>
        </w:rPr>
        <w:t xml:space="preserve"> QPD. The second was that</w:t>
      </w:r>
      <w:r w:rsidR="00171AF7">
        <w:rPr>
          <w:rFonts w:ascii="Times New Roman" w:hAnsi="Times New Roman" w:cs="Times New Roman"/>
          <w:sz w:val="24"/>
          <w:szCs w:val="24"/>
        </w:rPr>
        <w:t>,</w:t>
      </w:r>
      <w:r w:rsidR="00F4695E" w:rsidRPr="004E3401">
        <w:rPr>
          <w:rFonts w:ascii="Times New Roman" w:hAnsi="Times New Roman" w:cs="Times New Roman"/>
          <w:sz w:val="24"/>
          <w:szCs w:val="24"/>
        </w:rPr>
        <w:t xml:space="preserve"> some customers make advance payments directly into its bank account before placing orders, which the appellant unknowingly include in taxable income.</w:t>
      </w:r>
      <w:r w:rsidR="00E54532" w:rsidRPr="004E3401">
        <w:rPr>
          <w:rFonts w:ascii="Times New Roman" w:hAnsi="Times New Roman" w:cs="Times New Roman"/>
          <w:sz w:val="24"/>
          <w:szCs w:val="24"/>
        </w:rPr>
        <w:t xml:space="preserve"> </w:t>
      </w:r>
      <w:r w:rsidR="00F4695E" w:rsidRPr="004E3401">
        <w:rPr>
          <w:rFonts w:ascii="Times New Roman" w:hAnsi="Times New Roman" w:cs="Times New Roman"/>
          <w:sz w:val="24"/>
          <w:szCs w:val="24"/>
        </w:rPr>
        <w:t>The third was that</w:t>
      </w:r>
      <w:r w:rsidR="00171AF7">
        <w:rPr>
          <w:rFonts w:ascii="Times New Roman" w:hAnsi="Times New Roman" w:cs="Times New Roman"/>
          <w:sz w:val="24"/>
          <w:szCs w:val="24"/>
        </w:rPr>
        <w:t>,</w:t>
      </w:r>
      <w:r w:rsidR="00F4695E" w:rsidRPr="004E3401">
        <w:rPr>
          <w:rFonts w:ascii="Times New Roman" w:hAnsi="Times New Roman" w:cs="Times New Roman"/>
          <w:sz w:val="24"/>
          <w:szCs w:val="24"/>
        </w:rPr>
        <w:t xml:space="preserve"> there was no predictable historic pattern that it could rely on for the estimation. </w:t>
      </w:r>
      <w:r w:rsidR="00E54532" w:rsidRPr="004E3401">
        <w:rPr>
          <w:rFonts w:ascii="Times New Roman" w:hAnsi="Times New Roman" w:cs="Times New Roman"/>
          <w:sz w:val="24"/>
          <w:szCs w:val="24"/>
        </w:rPr>
        <w:t>The fourth</w:t>
      </w:r>
      <w:r w:rsidR="00F4695E" w:rsidRPr="004E3401">
        <w:rPr>
          <w:rFonts w:ascii="Times New Roman" w:hAnsi="Times New Roman" w:cs="Times New Roman"/>
          <w:sz w:val="24"/>
          <w:szCs w:val="24"/>
        </w:rPr>
        <w:t xml:space="preserve"> was that</w:t>
      </w:r>
      <w:r w:rsidR="00171AF7">
        <w:rPr>
          <w:rFonts w:ascii="Times New Roman" w:hAnsi="Times New Roman" w:cs="Times New Roman"/>
          <w:sz w:val="24"/>
          <w:szCs w:val="24"/>
        </w:rPr>
        <w:t>,</w:t>
      </w:r>
      <w:r w:rsidR="00F4695E" w:rsidRPr="004E3401">
        <w:rPr>
          <w:rFonts w:ascii="Times New Roman" w:hAnsi="Times New Roman" w:cs="Times New Roman"/>
          <w:sz w:val="24"/>
          <w:szCs w:val="24"/>
        </w:rPr>
        <w:t xml:space="preserve"> </w:t>
      </w:r>
      <w:r w:rsidR="00E54532" w:rsidRPr="004E3401">
        <w:rPr>
          <w:rFonts w:ascii="Times New Roman" w:hAnsi="Times New Roman" w:cs="Times New Roman"/>
          <w:sz w:val="24"/>
          <w:szCs w:val="24"/>
        </w:rPr>
        <w:t xml:space="preserve">its assumptions were not challenged by the respondent at the time and the last was that the shortfall was settled in full as soon as the year end audit was completed and the final figures established.  </w:t>
      </w:r>
    </w:p>
    <w:p w:rsidR="00F877B7" w:rsidRDefault="00106441" w:rsidP="00F877B7">
      <w:pPr>
        <w:autoSpaceDE w:val="0"/>
        <w:autoSpaceDN w:val="0"/>
        <w:adjustRightInd w:val="0"/>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I agree with the Commissioner that none of the 5 grounds constituted special circumstances for waiver. The first 3 reasons were negated by the ability of the appellant to forecast its profits within the required margin for 3 of the 5 years under review, while operating under the same economic environment. In regards to the fourth, the appellant failed to establish the basis upon which the respondent </w:t>
      </w:r>
      <w:r w:rsidR="00690EF7" w:rsidRPr="004E3401">
        <w:rPr>
          <w:rFonts w:ascii="Times New Roman" w:hAnsi="Times New Roman" w:cs="Times New Roman"/>
          <w:sz w:val="24"/>
          <w:szCs w:val="24"/>
        </w:rPr>
        <w:t>could have</w:t>
      </w:r>
      <w:r w:rsidRPr="004E3401">
        <w:rPr>
          <w:rFonts w:ascii="Times New Roman" w:hAnsi="Times New Roman" w:cs="Times New Roman"/>
          <w:sz w:val="24"/>
          <w:szCs w:val="24"/>
        </w:rPr>
        <w:t xml:space="preserve"> challenged the estimates provided by the appellant. The fifth fails on </w:t>
      </w:r>
      <w:r w:rsidR="00690EF7" w:rsidRPr="004E3401">
        <w:rPr>
          <w:rFonts w:ascii="Times New Roman" w:hAnsi="Times New Roman" w:cs="Times New Roman"/>
          <w:sz w:val="24"/>
          <w:szCs w:val="24"/>
        </w:rPr>
        <w:t xml:space="preserve">the simple ground that payment of the difference was mandated by law. </w:t>
      </w:r>
    </w:p>
    <w:p w:rsidR="009245B6" w:rsidRDefault="0075203A" w:rsidP="009245B6">
      <w:pPr>
        <w:autoSpaceDE w:val="0"/>
        <w:autoSpaceDN w:val="0"/>
        <w:adjustRightInd w:val="0"/>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In disallowing the objection, the respondent</w:t>
      </w:r>
      <w:r w:rsidR="00C36513">
        <w:rPr>
          <w:rFonts w:ascii="Times New Roman" w:hAnsi="Times New Roman" w:cs="Times New Roman"/>
          <w:sz w:val="24"/>
          <w:szCs w:val="24"/>
        </w:rPr>
        <w:t>,</w:t>
      </w:r>
      <w:r w:rsidRPr="004E3401">
        <w:rPr>
          <w:rFonts w:ascii="Times New Roman" w:hAnsi="Times New Roman" w:cs="Times New Roman"/>
          <w:sz w:val="24"/>
          <w:szCs w:val="24"/>
        </w:rPr>
        <w:t xml:space="preserve"> </w:t>
      </w:r>
      <w:r w:rsidR="002F7025" w:rsidRPr="004E3401">
        <w:rPr>
          <w:rFonts w:ascii="Times New Roman" w:hAnsi="Times New Roman" w:cs="Times New Roman"/>
          <w:i/>
          <w:sz w:val="24"/>
          <w:szCs w:val="24"/>
        </w:rPr>
        <w:t>inter alia</w:t>
      </w:r>
      <w:r w:rsidR="00C36513">
        <w:rPr>
          <w:rFonts w:ascii="Times New Roman" w:hAnsi="Times New Roman" w:cs="Times New Roman"/>
          <w:i/>
          <w:sz w:val="24"/>
          <w:szCs w:val="24"/>
        </w:rPr>
        <w:t>,</w:t>
      </w:r>
      <w:r w:rsidR="002F7025" w:rsidRPr="004E3401">
        <w:rPr>
          <w:rFonts w:ascii="Times New Roman" w:hAnsi="Times New Roman" w:cs="Times New Roman"/>
          <w:i/>
          <w:sz w:val="24"/>
          <w:szCs w:val="24"/>
        </w:rPr>
        <w:t xml:space="preserve"> </w:t>
      </w:r>
      <w:r w:rsidRPr="004E3401">
        <w:rPr>
          <w:rFonts w:ascii="Times New Roman" w:hAnsi="Times New Roman" w:cs="Times New Roman"/>
          <w:sz w:val="24"/>
          <w:szCs w:val="24"/>
        </w:rPr>
        <w:t xml:space="preserve">determined that interest levied for the underpayment of provisional tax was neither an assessment </w:t>
      </w:r>
      <w:r w:rsidR="00D70B59" w:rsidRPr="004E3401">
        <w:rPr>
          <w:rFonts w:ascii="Times New Roman" w:hAnsi="Times New Roman" w:cs="Times New Roman"/>
          <w:sz w:val="24"/>
          <w:szCs w:val="24"/>
        </w:rPr>
        <w:t>nor one amongst the specified</w:t>
      </w:r>
      <w:r w:rsidRPr="004E3401">
        <w:rPr>
          <w:rFonts w:ascii="Times New Roman" w:hAnsi="Times New Roman" w:cs="Times New Roman"/>
          <w:sz w:val="24"/>
          <w:szCs w:val="24"/>
        </w:rPr>
        <w:t xml:space="preserve"> decision</w:t>
      </w:r>
      <w:r w:rsidR="00D70B59" w:rsidRPr="004E3401">
        <w:rPr>
          <w:rFonts w:ascii="Times New Roman" w:hAnsi="Times New Roman" w:cs="Times New Roman"/>
          <w:sz w:val="24"/>
          <w:szCs w:val="24"/>
        </w:rPr>
        <w:t>s</w:t>
      </w:r>
      <w:r w:rsidRPr="004E3401">
        <w:rPr>
          <w:rFonts w:ascii="Times New Roman" w:hAnsi="Times New Roman" w:cs="Times New Roman"/>
          <w:sz w:val="24"/>
          <w:szCs w:val="24"/>
        </w:rPr>
        <w:t xml:space="preserve"> that could be objected to i</w:t>
      </w:r>
      <w:r w:rsidR="002B3440" w:rsidRPr="004E3401">
        <w:rPr>
          <w:rFonts w:ascii="Times New Roman" w:hAnsi="Times New Roman" w:cs="Times New Roman"/>
          <w:sz w:val="24"/>
          <w:szCs w:val="24"/>
        </w:rPr>
        <w:t>n terms of s 62 (1)</w:t>
      </w:r>
      <w:r w:rsidRPr="004E3401">
        <w:rPr>
          <w:rFonts w:ascii="Times New Roman" w:hAnsi="Times New Roman" w:cs="Times New Roman"/>
          <w:sz w:val="24"/>
          <w:szCs w:val="24"/>
        </w:rPr>
        <w:t xml:space="preserve"> as read with the </w:t>
      </w:r>
      <w:r w:rsidR="002B3440" w:rsidRPr="004E3401">
        <w:rPr>
          <w:rFonts w:ascii="Times New Roman" w:hAnsi="Times New Roman" w:cs="Times New Roman"/>
          <w:sz w:val="24"/>
          <w:szCs w:val="24"/>
        </w:rPr>
        <w:t>Eleventh</w:t>
      </w:r>
      <w:r w:rsidRPr="004E3401">
        <w:rPr>
          <w:rFonts w:ascii="Times New Roman" w:hAnsi="Times New Roman" w:cs="Times New Roman"/>
          <w:sz w:val="24"/>
          <w:szCs w:val="24"/>
        </w:rPr>
        <w:t xml:space="preserve"> Schedule</w:t>
      </w:r>
      <w:r w:rsidR="002B3440" w:rsidRPr="004E3401">
        <w:rPr>
          <w:rFonts w:ascii="Times New Roman" w:hAnsi="Times New Roman" w:cs="Times New Roman"/>
          <w:sz w:val="24"/>
          <w:szCs w:val="24"/>
        </w:rPr>
        <w:t xml:space="preserve"> of the Income Tax Act</w:t>
      </w:r>
      <w:r w:rsidRPr="004E3401">
        <w:rPr>
          <w:rFonts w:ascii="Times New Roman" w:hAnsi="Times New Roman" w:cs="Times New Roman"/>
          <w:sz w:val="24"/>
          <w:szCs w:val="24"/>
        </w:rPr>
        <w:t xml:space="preserve">. </w:t>
      </w:r>
      <w:r w:rsidR="00D66085" w:rsidRPr="004E3401">
        <w:rPr>
          <w:rFonts w:ascii="Times New Roman" w:hAnsi="Times New Roman" w:cs="Times New Roman"/>
          <w:sz w:val="24"/>
          <w:szCs w:val="24"/>
        </w:rPr>
        <w:t xml:space="preserve">The appellant did not challenge this finding </w:t>
      </w:r>
      <w:r w:rsidR="008A753C" w:rsidRPr="004E3401">
        <w:rPr>
          <w:rFonts w:ascii="Times New Roman" w:hAnsi="Times New Roman" w:cs="Times New Roman"/>
          <w:sz w:val="24"/>
          <w:szCs w:val="24"/>
        </w:rPr>
        <w:t>and in his opening remarks</w:t>
      </w:r>
      <w:r w:rsidR="00A51678">
        <w:rPr>
          <w:rFonts w:ascii="Times New Roman" w:hAnsi="Times New Roman" w:cs="Times New Roman"/>
          <w:sz w:val="24"/>
          <w:szCs w:val="24"/>
        </w:rPr>
        <w:t>,</w:t>
      </w:r>
      <w:r w:rsidR="00D66085" w:rsidRPr="004E3401">
        <w:rPr>
          <w:rFonts w:ascii="Times New Roman" w:hAnsi="Times New Roman" w:cs="Times New Roman"/>
          <w:sz w:val="24"/>
          <w:szCs w:val="24"/>
        </w:rPr>
        <w:t xml:space="preserve"> Mr </w:t>
      </w:r>
      <w:r w:rsidR="00D66085" w:rsidRPr="004E3401">
        <w:rPr>
          <w:rFonts w:ascii="Times New Roman" w:hAnsi="Times New Roman" w:cs="Times New Roman"/>
          <w:i/>
          <w:sz w:val="24"/>
          <w:szCs w:val="24"/>
        </w:rPr>
        <w:t>Tivadar</w:t>
      </w:r>
      <w:r w:rsidR="00A51678">
        <w:rPr>
          <w:rFonts w:ascii="Times New Roman" w:hAnsi="Times New Roman" w:cs="Times New Roman"/>
          <w:i/>
          <w:sz w:val="24"/>
          <w:szCs w:val="24"/>
        </w:rPr>
        <w:t>,</w:t>
      </w:r>
      <w:r w:rsidR="00D66085" w:rsidRPr="004E3401">
        <w:rPr>
          <w:rFonts w:ascii="Times New Roman" w:hAnsi="Times New Roman" w:cs="Times New Roman"/>
          <w:sz w:val="24"/>
          <w:szCs w:val="24"/>
        </w:rPr>
        <w:t xml:space="preserve"> </w:t>
      </w:r>
      <w:r w:rsidR="008A753C" w:rsidRPr="004E3401">
        <w:rPr>
          <w:rFonts w:ascii="Times New Roman" w:hAnsi="Times New Roman" w:cs="Times New Roman"/>
          <w:sz w:val="24"/>
          <w:szCs w:val="24"/>
        </w:rPr>
        <w:t>conceded that interest followed the principal amount and could not be objected to or appealed against.</w:t>
      </w:r>
      <w:r w:rsidR="00D66085" w:rsidRPr="004E3401">
        <w:rPr>
          <w:rFonts w:ascii="Times New Roman" w:hAnsi="Times New Roman" w:cs="Times New Roman"/>
          <w:sz w:val="24"/>
          <w:szCs w:val="24"/>
        </w:rPr>
        <w:t xml:space="preserve"> </w:t>
      </w:r>
      <w:r w:rsidR="0032621A" w:rsidRPr="004E3401">
        <w:rPr>
          <w:rFonts w:ascii="Times New Roman" w:hAnsi="Times New Roman" w:cs="Times New Roman"/>
          <w:sz w:val="24"/>
          <w:szCs w:val="24"/>
        </w:rPr>
        <w:t>Accordingly, I hold that</w:t>
      </w:r>
      <w:r w:rsidR="00D66085" w:rsidRPr="004E3401">
        <w:rPr>
          <w:rFonts w:ascii="Times New Roman" w:hAnsi="Times New Roman" w:cs="Times New Roman"/>
          <w:sz w:val="24"/>
          <w:szCs w:val="24"/>
        </w:rPr>
        <w:t xml:space="preserve"> the imposition of interest by the Commissioner under </w:t>
      </w:r>
      <w:r w:rsidR="002B3440" w:rsidRPr="004E3401">
        <w:rPr>
          <w:rFonts w:ascii="Times New Roman" w:hAnsi="Times New Roman" w:cs="Times New Roman"/>
          <w:sz w:val="24"/>
          <w:szCs w:val="24"/>
        </w:rPr>
        <w:t>s 71</w:t>
      </w:r>
      <w:r w:rsidR="00D66085" w:rsidRPr="004E3401">
        <w:rPr>
          <w:rFonts w:ascii="Times New Roman" w:hAnsi="Times New Roman" w:cs="Times New Roman"/>
          <w:sz w:val="24"/>
          <w:szCs w:val="24"/>
        </w:rPr>
        <w:t xml:space="preserve"> (2) is not subject to objection or appeal as it does not constitute an assessment or any of the decision made in terms of 62 (1) (b) as read with the Eleventh Schedule o</w:t>
      </w:r>
      <w:r w:rsidR="002B3440" w:rsidRPr="004E3401">
        <w:rPr>
          <w:rFonts w:ascii="Times New Roman" w:hAnsi="Times New Roman" w:cs="Times New Roman"/>
          <w:sz w:val="24"/>
          <w:szCs w:val="24"/>
        </w:rPr>
        <w:t>r s 92, 93,</w:t>
      </w:r>
      <w:r w:rsidR="00D66085" w:rsidRPr="004E3401">
        <w:rPr>
          <w:rFonts w:ascii="Times New Roman" w:hAnsi="Times New Roman" w:cs="Times New Roman"/>
          <w:sz w:val="24"/>
          <w:szCs w:val="24"/>
        </w:rPr>
        <w:t xml:space="preserve"> 95 and 96 of the Income Tax Act.</w:t>
      </w:r>
      <w:r w:rsidRPr="004E3401">
        <w:rPr>
          <w:rFonts w:ascii="Times New Roman" w:hAnsi="Times New Roman" w:cs="Times New Roman"/>
          <w:sz w:val="24"/>
          <w:szCs w:val="24"/>
        </w:rPr>
        <w:t xml:space="preserve"> </w:t>
      </w:r>
    </w:p>
    <w:p w:rsidR="009E5393" w:rsidRPr="004E3401" w:rsidRDefault="00BD152D" w:rsidP="009245B6">
      <w:pPr>
        <w:autoSpaceDE w:val="0"/>
        <w:autoSpaceDN w:val="0"/>
        <w:adjustRightInd w:val="0"/>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The objection was properly disallowed by the Commissioner.</w:t>
      </w:r>
    </w:p>
    <w:p w:rsidR="009B5327" w:rsidRPr="004E3401" w:rsidRDefault="00AD4411" w:rsidP="008A4E62">
      <w:pPr>
        <w:spacing w:after="0" w:line="360" w:lineRule="auto"/>
        <w:jc w:val="both"/>
        <w:rPr>
          <w:rFonts w:ascii="Times New Roman" w:hAnsi="Times New Roman" w:cs="Times New Roman"/>
          <w:i/>
          <w:sz w:val="24"/>
          <w:szCs w:val="24"/>
        </w:rPr>
      </w:pPr>
      <w:r w:rsidRPr="004E3401">
        <w:rPr>
          <w:rFonts w:ascii="Times New Roman" w:hAnsi="Times New Roman" w:cs="Times New Roman"/>
          <w:i/>
          <w:sz w:val="24"/>
          <w:szCs w:val="24"/>
        </w:rPr>
        <w:t>What measure of penalty, if any, should be imposed?</w:t>
      </w:r>
    </w:p>
    <w:p w:rsidR="00095DEE" w:rsidRDefault="00CD312D" w:rsidP="008A4E62">
      <w:pPr>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The investigators initially imposed a penalty of 100% but reduced it to 50% during the audit. The appellant sought a total waiver of the penalty in the objection and on appeal. The Commissioner is empowered by s 46 (6) of the Act to impose any penalty below a 100% or waive the imposition of any penalty if he is satisfied that the failure to render an ac</w:t>
      </w:r>
      <w:r w:rsidR="0037456A" w:rsidRPr="004E3401">
        <w:rPr>
          <w:rFonts w:ascii="Times New Roman" w:hAnsi="Times New Roman" w:cs="Times New Roman"/>
          <w:sz w:val="24"/>
          <w:szCs w:val="24"/>
        </w:rPr>
        <w:t xml:space="preserve">curate return was not motivated by any desire to defraud the revenue, postpone the payment of correct tax or even to evade tax. In the objection, the appellant suggested that a total waiver was justified by the full co-operation and detailed disclosures that it made during the audit, which </w:t>
      </w:r>
      <w:r w:rsidR="0037456A" w:rsidRPr="004E3401">
        <w:rPr>
          <w:rFonts w:ascii="Times New Roman" w:hAnsi="Times New Roman" w:cs="Times New Roman"/>
          <w:sz w:val="24"/>
          <w:szCs w:val="24"/>
        </w:rPr>
        <w:lastRenderedPageBreak/>
        <w:t xml:space="preserve">commenced on 22 September 2014 and the genuine differences of opinion on the disputed tax issues. In disallowing the objection, the Commissioner </w:t>
      </w:r>
      <w:r w:rsidR="007A2683" w:rsidRPr="004E3401">
        <w:rPr>
          <w:rFonts w:ascii="Times New Roman" w:hAnsi="Times New Roman" w:cs="Times New Roman"/>
          <w:sz w:val="24"/>
          <w:szCs w:val="24"/>
        </w:rPr>
        <w:t xml:space="preserve">correctly </w:t>
      </w:r>
      <w:r w:rsidR="00192EBA" w:rsidRPr="004E3401">
        <w:rPr>
          <w:rFonts w:ascii="Times New Roman" w:hAnsi="Times New Roman" w:cs="Times New Roman"/>
          <w:sz w:val="24"/>
          <w:szCs w:val="24"/>
        </w:rPr>
        <w:t xml:space="preserve">relied on the cases of </w:t>
      </w:r>
      <w:r w:rsidR="00192EBA" w:rsidRPr="004E3401">
        <w:rPr>
          <w:rFonts w:ascii="Times New Roman" w:hAnsi="Times New Roman" w:cs="Times New Roman"/>
          <w:i/>
          <w:sz w:val="24"/>
          <w:szCs w:val="24"/>
        </w:rPr>
        <w:t xml:space="preserve">CIR </w:t>
      </w:r>
      <w:r w:rsidR="00192EBA" w:rsidRPr="008A4E62">
        <w:rPr>
          <w:rFonts w:ascii="Times New Roman" w:hAnsi="Times New Roman" w:cs="Times New Roman"/>
          <w:sz w:val="24"/>
          <w:szCs w:val="24"/>
        </w:rPr>
        <w:t>v</w:t>
      </w:r>
      <w:r w:rsidR="00192EBA" w:rsidRPr="004E3401">
        <w:rPr>
          <w:rFonts w:ascii="Times New Roman" w:hAnsi="Times New Roman" w:cs="Times New Roman"/>
          <w:i/>
          <w:sz w:val="24"/>
          <w:szCs w:val="24"/>
        </w:rPr>
        <w:t xml:space="preserve"> McNeil </w:t>
      </w:r>
      <w:r w:rsidR="00192EBA" w:rsidRPr="004E3401">
        <w:rPr>
          <w:rFonts w:ascii="Times New Roman" w:hAnsi="Times New Roman" w:cs="Times New Roman"/>
          <w:sz w:val="24"/>
          <w:szCs w:val="24"/>
        </w:rPr>
        <w:t>(1959)</w:t>
      </w:r>
      <w:r w:rsidR="008346B3">
        <w:rPr>
          <w:rFonts w:ascii="Times New Roman" w:hAnsi="Times New Roman" w:cs="Times New Roman"/>
          <w:sz w:val="24"/>
          <w:szCs w:val="24"/>
        </w:rPr>
        <w:t xml:space="preserve"> 23</w:t>
      </w:r>
      <w:r w:rsidR="00192EBA" w:rsidRPr="004E3401">
        <w:rPr>
          <w:rFonts w:ascii="Times New Roman" w:hAnsi="Times New Roman" w:cs="Times New Roman"/>
          <w:sz w:val="24"/>
          <w:szCs w:val="24"/>
        </w:rPr>
        <w:t xml:space="preserve"> SATC 481 and </w:t>
      </w:r>
      <w:r w:rsidR="00192EBA" w:rsidRPr="004E3401">
        <w:rPr>
          <w:rFonts w:ascii="Times New Roman" w:hAnsi="Times New Roman" w:cs="Times New Roman"/>
          <w:i/>
          <w:sz w:val="24"/>
          <w:szCs w:val="24"/>
        </w:rPr>
        <w:t xml:space="preserve">ITC 1351 </w:t>
      </w:r>
      <w:r w:rsidR="00192EBA" w:rsidRPr="004E3401">
        <w:rPr>
          <w:rFonts w:ascii="Times New Roman" w:hAnsi="Times New Roman" w:cs="Times New Roman"/>
          <w:sz w:val="24"/>
          <w:szCs w:val="24"/>
        </w:rPr>
        <w:t>(1982) 44 SATC 58</w:t>
      </w:r>
      <w:r w:rsidR="008E0194" w:rsidRPr="004E3401">
        <w:rPr>
          <w:rFonts w:ascii="Times New Roman" w:hAnsi="Times New Roman" w:cs="Times New Roman"/>
          <w:sz w:val="24"/>
          <w:szCs w:val="24"/>
        </w:rPr>
        <w:t xml:space="preserve"> at 63</w:t>
      </w:r>
      <w:r w:rsidR="000B14BE" w:rsidRPr="004E3401">
        <w:rPr>
          <w:rFonts w:ascii="Times New Roman" w:hAnsi="Times New Roman" w:cs="Times New Roman"/>
          <w:sz w:val="24"/>
          <w:szCs w:val="24"/>
        </w:rPr>
        <w:t xml:space="preserve"> and </w:t>
      </w:r>
      <w:r w:rsidR="000B14BE" w:rsidRPr="004E3401">
        <w:rPr>
          <w:rFonts w:ascii="Times New Roman" w:hAnsi="Times New Roman" w:cs="Times New Roman"/>
          <w:i/>
          <w:sz w:val="24"/>
          <w:szCs w:val="24"/>
        </w:rPr>
        <w:t xml:space="preserve">ITC 1489 </w:t>
      </w:r>
      <w:r w:rsidR="000B14BE" w:rsidRPr="004E3401">
        <w:rPr>
          <w:rFonts w:ascii="Times New Roman" w:hAnsi="Times New Roman" w:cs="Times New Roman"/>
          <w:sz w:val="24"/>
          <w:szCs w:val="24"/>
        </w:rPr>
        <w:t>(1992) 53 SATC 99 at</w:t>
      </w:r>
      <w:r w:rsidR="000C69A9" w:rsidRPr="004E3401">
        <w:rPr>
          <w:rFonts w:ascii="Times New Roman" w:hAnsi="Times New Roman" w:cs="Times New Roman"/>
          <w:sz w:val="24"/>
          <w:szCs w:val="24"/>
        </w:rPr>
        <w:t xml:space="preserve"> 107</w:t>
      </w:r>
      <w:r w:rsidR="007929F4">
        <w:rPr>
          <w:rFonts w:ascii="Times New Roman" w:hAnsi="Times New Roman" w:cs="Times New Roman"/>
          <w:sz w:val="24"/>
          <w:szCs w:val="24"/>
        </w:rPr>
        <w:t>,</w:t>
      </w:r>
      <w:r w:rsidR="00192EBA" w:rsidRPr="004E3401">
        <w:rPr>
          <w:rFonts w:ascii="Times New Roman" w:hAnsi="Times New Roman" w:cs="Times New Roman"/>
          <w:sz w:val="24"/>
          <w:szCs w:val="24"/>
        </w:rPr>
        <w:t xml:space="preserve"> for </w:t>
      </w:r>
      <w:r w:rsidR="0037456A" w:rsidRPr="004E3401">
        <w:rPr>
          <w:rFonts w:ascii="Times New Roman" w:hAnsi="Times New Roman" w:cs="Times New Roman"/>
          <w:sz w:val="24"/>
          <w:szCs w:val="24"/>
        </w:rPr>
        <w:t xml:space="preserve">the </w:t>
      </w:r>
      <w:r w:rsidR="00192EBA" w:rsidRPr="004E3401">
        <w:rPr>
          <w:rFonts w:ascii="Times New Roman" w:hAnsi="Times New Roman" w:cs="Times New Roman"/>
          <w:sz w:val="24"/>
          <w:szCs w:val="24"/>
        </w:rPr>
        <w:t xml:space="preserve">proposition </w:t>
      </w:r>
      <w:r w:rsidR="0037456A" w:rsidRPr="004E3401">
        <w:rPr>
          <w:rFonts w:ascii="Times New Roman" w:hAnsi="Times New Roman" w:cs="Times New Roman"/>
          <w:sz w:val="24"/>
          <w:szCs w:val="24"/>
        </w:rPr>
        <w:t>that the i</w:t>
      </w:r>
      <w:r w:rsidR="00192EBA" w:rsidRPr="004E3401">
        <w:rPr>
          <w:rFonts w:ascii="Times New Roman" w:hAnsi="Times New Roman" w:cs="Times New Roman"/>
          <w:sz w:val="24"/>
          <w:szCs w:val="24"/>
        </w:rPr>
        <w:t>mposition of penalty should</w:t>
      </w:r>
      <w:r w:rsidR="0037456A" w:rsidRPr="004E3401">
        <w:rPr>
          <w:rFonts w:ascii="Times New Roman" w:hAnsi="Times New Roman" w:cs="Times New Roman"/>
          <w:sz w:val="24"/>
          <w:szCs w:val="24"/>
        </w:rPr>
        <w:t xml:space="preserve"> and </w:t>
      </w:r>
      <w:r w:rsidR="00192EBA" w:rsidRPr="004E3401">
        <w:rPr>
          <w:rFonts w:ascii="Times New Roman" w:hAnsi="Times New Roman" w:cs="Times New Roman"/>
          <w:sz w:val="24"/>
          <w:szCs w:val="24"/>
        </w:rPr>
        <w:t xml:space="preserve">in the present case </w:t>
      </w:r>
      <w:r w:rsidR="0037456A" w:rsidRPr="004E3401">
        <w:rPr>
          <w:rFonts w:ascii="Times New Roman" w:hAnsi="Times New Roman" w:cs="Times New Roman"/>
          <w:sz w:val="24"/>
          <w:szCs w:val="24"/>
        </w:rPr>
        <w:t xml:space="preserve">did take into account the appellant’s “personal”   circumstances, nature of the offence, the benefit </w:t>
      </w:r>
      <w:r w:rsidR="00192EBA" w:rsidRPr="004E3401">
        <w:rPr>
          <w:rFonts w:ascii="Times New Roman" w:hAnsi="Times New Roman" w:cs="Times New Roman"/>
          <w:sz w:val="24"/>
          <w:szCs w:val="24"/>
        </w:rPr>
        <w:t>that accrued to the tax payer and the corresponding loss incurred by the fiscus</w:t>
      </w:r>
      <w:r w:rsidR="0037456A" w:rsidRPr="004E3401">
        <w:rPr>
          <w:rFonts w:ascii="Times New Roman" w:hAnsi="Times New Roman" w:cs="Times New Roman"/>
          <w:sz w:val="24"/>
          <w:szCs w:val="24"/>
        </w:rPr>
        <w:t xml:space="preserve"> </w:t>
      </w:r>
      <w:r w:rsidR="00192EBA" w:rsidRPr="004E3401">
        <w:rPr>
          <w:rFonts w:ascii="Times New Roman" w:hAnsi="Times New Roman" w:cs="Times New Roman"/>
          <w:sz w:val="24"/>
          <w:szCs w:val="24"/>
        </w:rPr>
        <w:t>and moral turpitude.</w:t>
      </w:r>
    </w:p>
    <w:p w:rsidR="00095DEE" w:rsidRDefault="000B14BE" w:rsidP="008A4E62">
      <w:pPr>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The proposition propounded and applied by the Commissioner coincides with the principles I </w:t>
      </w:r>
      <w:r w:rsidR="00C45EFC" w:rsidRPr="004E3401">
        <w:rPr>
          <w:rFonts w:ascii="Times New Roman" w:hAnsi="Times New Roman" w:cs="Times New Roman"/>
          <w:sz w:val="24"/>
          <w:szCs w:val="24"/>
        </w:rPr>
        <w:t xml:space="preserve">collated </w:t>
      </w:r>
      <w:r w:rsidRPr="004E3401">
        <w:rPr>
          <w:rFonts w:ascii="Times New Roman" w:hAnsi="Times New Roman" w:cs="Times New Roman"/>
          <w:sz w:val="24"/>
          <w:szCs w:val="24"/>
        </w:rPr>
        <w:t xml:space="preserve">in </w:t>
      </w:r>
      <w:r w:rsidRPr="004E3401">
        <w:rPr>
          <w:rFonts w:ascii="Times New Roman" w:hAnsi="Times New Roman" w:cs="Times New Roman"/>
          <w:i/>
          <w:sz w:val="24"/>
          <w:szCs w:val="24"/>
        </w:rPr>
        <w:t xml:space="preserve">PL Mines </w:t>
      </w:r>
      <w:r w:rsidR="00A859D1" w:rsidRPr="004E3401">
        <w:rPr>
          <w:rFonts w:ascii="Times New Roman" w:hAnsi="Times New Roman" w:cs="Times New Roman"/>
          <w:i/>
          <w:sz w:val="24"/>
          <w:szCs w:val="24"/>
        </w:rPr>
        <w:t xml:space="preserve">(Pvt) </w:t>
      </w:r>
      <w:r w:rsidRPr="004E3401">
        <w:rPr>
          <w:rFonts w:ascii="Times New Roman" w:hAnsi="Times New Roman" w:cs="Times New Roman"/>
          <w:i/>
          <w:sz w:val="24"/>
          <w:szCs w:val="24"/>
        </w:rPr>
        <w:t xml:space="preserve">Ltd </w:t>
      </w:r>
      <w:r w:rsidRPr="008A4E62">
        <w:rPr>
          <w:rFonts w:ascii="Times New Roman" w:hAnsi="Times New Roman" w:cs="Times New Roman"/>
          <w:sz w:val="24"/>
          <w:szCs w:val="24"/>
        </w:rPr>
        <w:t xml:space="preserve">v </w:t>
      </w:r>
      <w:r w:rsidRPr="004E3401">
        <w:rPr>
          <w:rFonts w:ascii="Times New Roman" w:hAnsi="Times New Roman" w:cs="Times New Roman"/>
          <w:i/>
          <w:sz w:val="24"/>
          <w:szCs w:val="24"/>
        </w:rPr>
        <w:t>Zimbabwe Revenue Authority</w:t>
      </w:r>
      <w:r w:rsidR="00B3677D">
        <w:rPr>
          <w:rFonts w:ascii="Times New Roman" w:hAnsi="Times New Roman" w:cs="Times New Roman"/>
          <w:i/>
          <w:sz w:val="24"/>
          <w:szCs w:val="24"/>
        </w:rPr>
        <w:t xml:space="preserve"> </w:t>
      </w:r>
      <w:r w:rsidR="00A859D1" w:rsidRPr="004E3401">
        <w:rPr>
          <w:rFonts w:ascii="Times New Roman" w:hAnsi="Times New Roman" w:cs="Times New Roman"/>
          <w:sz w:val="24"/>
          <w:szCs w:val="24"/>
        </w:rPr>
        <w:t>2015 (1) ZLR 708 (H) at 730C of the triad of the infraction, the offender and the interests of society</w:t>
      </w:r>
      <w:r w:rsidR="00C45EFC" w:rsidRPr="004E3401">
        <w:rPr>
          <w:rFonts w:ascii="Times New Roman" w:hAnsi="Times New Roman" w:cs="Times New Roman"/>
          <w:sz w:val="24"/>
          <w:szCs w:val="24"/>
        </w:rPr>
        <w:t xml:space="preserve"> and ap</w:t>
      </w:r>
      <w:r w:rsidR="00D27042" w:rsidRPr="004E3401">
        <w:rPr>
          <w:rFonts w:ascii="Times New Roman" w:hAnsi="Times New Roman" w:cs="Times New Roman"/>
          <w:sz w:val="24"/>
          <w:szCs w:val="24"/>
        </w:rPr>
        <w:t>plied at pp723D-E and 733G-734F</w:t>
      </w:r>
      <w:r w:rsidR="00A859D1" w:rsidRPr="004E3401">
        <w:rPr>
          <w:rFonts w:ascii="Times New Roman" w:hAnsi="Times New Roman" w:cs="Times New Roman"/>
          <w:sz w:val="24"/>
          <w:szCs w:val="24"/>
        </w:rPr>
        <w:t xml:space="preserve">. </w:t>
      </w:r>
    </w:p>
    <w:p w:rsidR="00EC5103" w:rsidRPr="004E3401" w:rsidRDefault="00EC5103" w:rsidP="008A4E62">
      <w:pPr>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In the present case, after weighing these factors, the moral turpitude of the appellant arising from the high </w:t>
      </w:r>
      <w:r w:rsidR="00A30273" w:rsidRPr="004E3401">
        <w:rPr>
          <w:rFonts w:ascii="Times New Roman" w:hAnsi="Times New Roman" w:cs="Times New Roman"/>
          <w:sz w:val="24"/>
          <w:szCs w:val="24"/>
        </w:rPr>
        <w:t>overstatement of expenses and the corresponding underpayment</w:t>
      </w:r>
      <w:r w:rsidR="00B209E8" w:rsidRPr="004E3401">
        <w:rPr>
          <w:rFonts w:ascii="Times New Roman" w:hAnsi="Times New Roman" w:cs="Times New Roman"/>
          <w:sz w:val="24"/>
          <w:szCs w:val="24"/>
        </w:rPr>
        <w:t xml:space="preserve"> </w:t>
      </w:r>
      <w:r w:rsidR="00104FF2" w:rsidRPr="004E3401">
        <w:rPr>
          <w:rFonts w:ascii="Times New Roman" w:hAnsi="Times New Roman" w:cs="Times New Roman"/>
          <w:sz w:val="24"/>
          <w:szCs w:val="24"/>
        </w:rPr>
        <w:t xml:space="preserve">of </w:t>
      </w:r>
      <w:r w:rsidR="00A30273" w:rsidRPr="004E3401">
        <w:rPr>
          <w:rFonts w:ascii="Times New Roman" w:hAnsi="Times New Roman" w:cs="Times New Roman"/>
          <w:sz w:val="24"/>
          <w:szCs w:val="24"/>
        </w:rPr>
        <w:t xml:space="preserve">taxes in the principal sum of </w:t>
      </w:r>
      <w:r w:rsidR="00104FF2" w:rsidRPr="004E3401">
        <w:rPr>
          <w:rFonts w:ascii="Times New Roman" w:hAnsi="Times New Roman" w:cs="Times New Roman"/>
          <w:sz w:val="24"/>
          <w:szCs w:val="24"/>
        </w:rPr>
        <w:t>US$ 1 329 426.47</w:t>
      </w:r>
      <w:r w:rsidRPr="004E3401">
        <w:rPr>
          <w:rFonts w:ascii="Times New Roman" w:hAnsi="Times New Roman" w:cs="Times New Roman"/>
          <w:sz w:val="24"/>
          <w:szCs w:val="24"/>
        </w:rPr>
        <w:t xml:space="preserve"> tilts the scales of justice in favour of a penalty of 50%. I confirm and uphold the penalty imposed by the Commissioner.</w:t>
      </w:r>
    </w:p>
    <w:p w:rsidR="00EC5103" w:rsidRPr="004E3401" w:rsidRDefault="00EC5103" w:rsidP="008A4E62">
      <w:pPr>
        <w:spacing w:after="0" w:line="360" w:lineRule="auto"/>
        <w:jc w:val="both"/>
        <w:rPr>
          <w:rFonts w:ascii="Times New Roman" w:hAnsi="Times New Roman" w:cs="Times New Roman"/>
          <w:sz w:val="24"/>
          <w:szCs w:val="24"/>
          <w:u w:val="single"/>
        </w:rPr>
      </w:pPr>
      <w:r w:rsidRPr="004E3401">
        <w:rPr>
          <w:rFonts w:ascii="Times New Roman" w:hAnsi="Times New Roman" w:cs="Times New Roman"/>
          <w:sz w:val="24"/>
          <w:szCs w:val="24"/>
          <w:u w:val="single"/>
        </w:rPr>
        <w:t xml:space="preserve">Costs </w:t>
      </w:r>
    </w:p>
    <w:p w:rsidR="00B36A2E" w:rsidRPr="004E3401" w:rsidRDefault="007355F1" w:rsidP="008A4E62">
      <w:pPr>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I do not find the grounds of appeal to have been frivolous</w:t>
      </w:r>
      <w:r w:rsidR="00B36A2E" w:rsidRPr="004E3401">
        <w:rPr>
          <w:rFonts w:ascii="Times New Roman" w:hAnsi="Times New Roman" w:cs="Times New Roman"/>
          <w:sz w:val="24"/>
          <w:szCs w:val="24"/>
        </w:rPr>
        <w:t xml:space="preserve">. I will not impose any adverse order for </w:t>
      </w:r>
      <w:r w:rsidR="003B2EF9" w:rsidRPr="004E3401">
        <w:rPr>
          <w:rFonts w:ascii="Times New Roman" w:hAnsi="Times New Roman" w:cs="Times New Roman"/>
          <w:sz w:val="24"/>
          <w:szCs w:val="24"/>
        </w:rPr>
        <w:t>costs</w:t>
      </w:r>
      <w:r w:rsidR="00B36A2E" w:rsidRPr="004E3401">
        <w:rPr>
          <w:rFonts w:ascii="Times New Roman" w:hAnsi="Times New Roman" w:cs="Times New Roman"/>
          <w:sz w:val="24"/>
          <w:szCs w:val="24"/>
        </w:rPr>
        <w:t xml:space="preserve"> against the appellant but will direct each party to bear its own costs.</w:t>
      </w:r>
    </w:p>
    <w:p w:rsidR="00B36A2E" w:rsidRPr="004E3401" w:rsidRDefault="00B36A2E" w:rsidP="008A4E62">
      <w:pPr>
        <w:spacing w:after="0" w:line="360" w:lineRule="auto"/>
        <w:jc w:val="both"/>
        <w:rPr>
          <w:rFonts w:ascii="Times New Roman" w:hAnsi="Times New Roman" w:cs="Times New Roman"/>
          <w:sz w:val="24"/>
          <w:szCs w:val="24"/>
          <w:u w:val="single"/>
        </w:rPr>
      </w:pPr>
      <w:r w:rsidRPr="004E3401">
        <w:rPr>
          <w:rFonts w:ascii="Times New Roman" w:hAnsi="Times New Roman" w:cs="Times New Roman"/>
          <w:sz w:val="24"/>
          <w:szCs w:val="24"/>
          <w:u w:val="single"/>
        </w:rPr>
        <w:t>Disposition</w:t>
      </w:r>
    </w:p>
    <w:p w:rsidR="00B36A2E" w:rsidRPr="004E3401" w:rsidRDefault="00B36A2E" w:rsidP="008A4E62">
      <w:pPr>
        <w:spacing w:after="0" w:line="360" w:lineRule="auto"/>
        <w:ind w:firstLine="720"/>
        <w:jc w:val="both"/>
        <w:rPr>
          <w:rFonts w:ascii="Times New Roman" w:hAnsi="Times New Roman" w:cs="Times New Roman"/>
          <w:sz w:val="24"/>
          <w:szCs w:val="24"/>
        </w:rPr>
      </w:pPr>
      <w:r w:rsidRPr="004E3401">
        <w:rPr>
          <w:rFonts w:ascii="Times New Roman" w:hAnsi="Times New Roman" w:cs="Times New Roman"/>
          <w:sz w:val="24"/>
          <w:szCs w:val="24"/>
        </w:rPr>
        <w:t xml:space="preserve"> Accordingly, it is ordered that:</w:t>
      </w:r>
    </w:p>
    <w:p w:rsidR="00B36A2E" w:rsidRPr="004E3401" w:rsidRDefault="00B36A2E" w:rsidP="00685A93">
      <w:pPr>
        <w:pStyle w:val="ListParagraph"/>
        <w:numPr>
          <w:ilvl w:val="0"/>
          <w:numId w:val="14"/>
        </w:numPr>
        <w:spacing w:line="360" w:lineRule="auto"/>
        <w:jc w:val="both"/>
        <w:rPr>
          <w:rFonts w:ascii="Times New Roman" w:hAnsi="Times New Roman" w:cs="Times New Roman"/>
          <w:sz w:val="24"/>
          <w:szCs w:val="24"/>
        </w:rPr>
      </w:pPr>
      <w:r w:rsidRPr="004E3401">
        <w:rPr>
          <w:rFonts w:ascii="Times New Roman" w:hAnsi="Times New Roman" w:cs="Times New Roman"/>
          <w:sz w:val="24"/>
          <w:szCs w:val="24"/>
        </w:rPr>
        <w:t>The appeal be and is hereby dismissed in its entirety.</w:t>
      </w:r>
    </w:p>
    <w:p w:rsidR="00B36A2E" w:rsidRPr="004E3401" w:rsidRDefault="00B36A2E" w:rsidP="00685A93">
      <w:pPr>
        <w:pStyle w:val="ListParagraph"/>
        <w:numPr>
          <w:ilvl w:val="0"/>
          <w:numId w:val="14"/>
        </w:numPr>
        <w:spacing w:line="360" w:lineRule="auto"/>
        <w:jc w:val="both"/>
        <w:rPr>
          <w:rFonts w:ascii="Times New Roman" w:hAnsi="Times New Roman" w:cs="Times New Roman"/>
          <w:sz w:val="24"/>
          <w:szCs w:val="24"/>
        </w:rPr>
      </w:pPr>
      <w:r w:rsidRPr="004E3401">
        <w:rPr>
          <w:rFonts w:ascii="Times New Roman" w:hAnsi="Times New Roman" w:cs="Times New Roman"/>
          <w:sz w:val="24"/>
          <w:szCs w:val="24"/>
        </w:rPr>
        <w:t xml:space="preserve">The additional assessments issued by the Commissioner on </w:t>
      </w:r>
      <w:r w:rsidR="00373220">
        <w:rPr>
          <w:rFonts w:ascii="Times New Roman" w:hAnsi="Times New Roman" w:cs="Times New Roman"/>
          <w:sz w:val="24"/>
          <w:szCs w:val="24"/>
        </w:rPr>
        <w:t xml:space="preserve">12 December 2016 in respect of the 2009 to 2013 tax years </w:t>
      </w:r>
      <w:r w:rsidRPr="004E3401">
        <w:rPr>
          <w:rFonts w:ascii="Times New Roman" w:hAnsi="Times New Roman" w:cs="Times New Roman"/>
          <w:sz w:val="24"/>
          <w:szCs w:val="24"/>
        </w:rPr>
        <w:t>are confirmed</w:t>
      </w:r>
      <w:r w:rsidR="009461C4">
        <w:rPr>
          <w:rFonts w:ascii="Times New Roman" w:hAnsi="Times New Roman" w:cs="Times New Roman"/>
          <w:sz w:val="24"/>
          <w:szCs w:val="24"/>
        </w:rPr>
        <w:t>.</w:t>
      </w:r>
    </w:p>
    <w:p w:rsidR="00B36A2E" w:rsidRPr="004E3401" w:rsidRDefault="00B36A2E" w:rsidP="00685A93">
      <w:pPr>
        <w:pStyle w:val="ListParagraph"/>
        <w:numPr>
          <w:ilvl w:val="0"/>
          <w:numId w:val="14"/>
        </w:numPr>
        <w:spacing w:line="360" w:lineRule="auto"/>
        <w:jc w:val="both"/>
        <w:rPr>
          <w:rFonts w:ascii="Times New Roman" w:hAnsi="Times New Roman" w:cs="Times New Roman"/>
          <w:sz w:val="24"/>
          <w:szCs w:val="24"/>
        </w:rPr>
      </w:pPr>
      <w:r w:rsidRPr="004E3401">
        <w:rPr>
          <w:rFonts w:ascii="Times New Roman" w:hAnsi="Times New Roman" w:cs="Times New Roman"/>
          <w:sz w:val="24"/>
          <w:szCs w:val="24"/>
        </w:rPr>
        <w:t>Each party shall bear its own costs.</w:t>
      </w:r>
      <w:r w:rsidR="009461C4">
        <w:rPr>
          <w:rFonts w:ascii="Times New Roman" w:hAnsi="Times New Roman" w:cs="Times New Roman"/>
          <w:sz w:val="24"/>
          <w:szCs w:val="24"/>
        </w:rPr>
        <w:t xml:space="preserve"> </w:t>
      </w:r>
    </w:p>
    <w:p w:rsidR="00B36A2E" w:rsidRPr="004E3401" w:rsidRDefault="00B36A2E" w:rsidP="00B36A2E">
      <w:pPr>
        <w:spacing w:line="240" w:lineRule="auto"/>
        <w:jc w:val="both"/>
        <w:rPr>
          <w:rFonts w:ascii="Times New Roman" w:hAnsi="Times New Roman" w:cs="Times New Roman"/>
          <w:sz w:val="24"/>
          <w:szCs w:val="24"/>
        </w:rPr>
      </w:pPr>
    </w:p>
    <w:p w:rsidR="00B36A2E" w:rsidRDefault="00B36A2E" w:rsidP="00B36A2E">
      <w:pPr>
        <w:spacing w:line="240" w:lineRule="auto"/>
        <w:jc w:val="both"/>
        <w:rPr>
          <w:rFonts w:ascii="Times New Roman" w:hAnsi="Times New Roman" w:cs="Times New Roman"/>
          <w:sz w:val="24"/>
          <w:szCs w:val="24"/>
        </w:rPr>
      </w:pPr>
    </w:p>
    <w:p w:rsidR="008A4E62" w:rsidRPr="004E3401" w:rsidRDefault="008A4E62" w:rsidP="00B36A2E">
      <w:pPr>
        <w:spacing w:line="240" w:lineRule="auto"/>
        <w:jc w:val="both"/>
        <w:rPr>
          <w:rFonts w:ascii="Times New Roman" w:hAnsi="Times New Roman" w:cs="Times New Roman"/>
          <w:sz w:val="24"/>
          <w:szCs w:val="24"/>
        </w:rPr>
      </w:pPr>
    </w:p>
    <w:p w:rsidR="00B36A2E" w:rsidRPr="004E3401" w:rsidRDefault="00B36A2E" w:rsidP="008A4E62">
      <w:pPr>
        <w:spacing w:after="0" w:line="240" w:lineRule="auto"/>
        <w:jc w:val="both"/>
        <w:rPr>
          <w:rFonts w:ascii="Times New Roman" w:hAnsi="Times New Roman" w:cs="Times New Roman"/>
          <w:sz w:val="24"/>
          <w:szCs w:val="24"/>
        </w:rPr>
      </w:pPr>
      <w:r w:rsidRPr="004E3401">
        <w:rPr>
          <w:rFonts w:ascii="Times New Roman" w:hAnsi="Times New Roman" w:cs="Times New Roman"/>
          <w:i/>
          <w:sz w:val="24"/>
          <w:szCs w:val="24"/>
        </w:rPr>
        <w:t>Gill Godlonton and Gerrans</w:t>
      </w:r>
      <w:r w:rsidRPr="004E3401">
        <w:rPr>
          <w:rFonts w:ascii="Times New Roman" w:hAnsi="Times New Roman" w:cs="Times New Roman"/>
          <w:sz w:val="24"/>
          <w:szCs w:val="24"/>
        </w:rPr>
        <w:t>, the appellant’s legal practitioners</w:t>
      </w:r>
    </w:p>
    <w:p w:rsidR="00D87FA3" w:rsidRDefault="00B36A2E" w:rsidP="008A4E62">
      <w:pPr>
        <w:spacing w:after="0" w:line="240" w:lineRule="auto"/>
        <w:jc w:val="both"/>
        <w:rPr>
          <w:rFonts w:ascii="Times New Roman" w:hAnsi="Times New Roman" w:cs="Times New Roman"/>
          <w:sz w:val="24"/>
          <w:szCs w:val="24"/>
        </w:rPr>
      </w:pPr>
      <w:r w:rsidRPr="004E3401">
        <w:rPr>
          <w:rFonts w:ascii="Times New Roman" w:hAnsi="Times New Roman" w:cs="Times New Roman"/>
          <w:i/>
          <w:sz w:val="24"/>
          <w:szCs w:val="24"/>
        </w:rPr>
        <w:t>Kantor &amp; Immerman</w:t>
      </w:r>
      <w:r w:rsidRPr="004E3401">
        <w:rPr>
          <w:rFonts w:ascii="Times New Roman" w:hAnsi="Times New Roman" w:cs="Times New Roman"/>
          <w:sz w:val="24"/>
          <w:szCs w:val="24"/>
        </w:rPr>
        <w:t>, the respondent’s legal practitioners</w:t>
      </w:r>
      <w:r w:rsidR="007355F1" w:rsidRPr="004E3401">
        <w:rPr>
          <w:rFonts w:ascii="Times New Roman" w:hAnsi="Times New Roman" w:cs="Times New Roman"/>
          <w:sz w:val="24"/>
          <w:szCs w:val="24"/>
        </w:rPr>
        <w:t xml:space="preserve"> </w:t>
      </w:r>
    </w:p>
    <w:p w:rsidR="00D87FA3" w:rsidRDefault="00D87FA3" w:rsidP="00D87FA3">
      <w:pPr>
        <w:spacing w:line="240" w:lineRule="auto"/>
        <w:jc w:val="both"/>
        <w:rPr>
          <w:rFonts w:ascii="Times New Roman" w:hAnsi="Times New Roman" w:cs="Times New Roman"/>
          <w:sz w:val="24"/>
          <w:szCs w:val="24"/>
        </w:rPr>
      </w:pPr>
    </w:p>
    <w:p w:rsidR="007A67C3" w:rsidRDefault="007A67C3" w:rsidP="00A624EB">
      <w:pPr>
        <w:spacing w:line="480" w:lineRule="auto"/>
        <w:jc w:val="both"/>
        <w:rPr>
          <w:rFonts w:ascii="Times New Roman" w:hAnsi="Times New Roman" w:cs="Times New Roman"/>
          <w:sz w:val="24"/>
          <w:szCs w:val="24"/>
        </w:rPr>
      </w:pPr>
    </w:p>
    <w:sectPr w:rsidR="007A67C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FAA" w:rsidRDefault="00B65FAA" w:rsidP="00FF4280">
      <w:pPr>
        <w:spacing w:after="0" w:line="240" w:lineRule="auto"/>
      </w:pPr>
      <w:r>
        <w:separator/>
      </w:r>
    </w:p>
  </w:endnote>
  <w:endnote w:type="continuationSeparator" w:id="0">
    <w:p w:rsidR="00B65FAA" w:rsidRDefault="00B65FAA" w:rsidP="00FF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FAA" w:rsidRDefault="00B65FAA" w:rsidP="00FF4280">
      <w:pPr>
        <w:spacing w:after="0" w:line="240" w:lineRule="auto"/>
      </w:pPr>
      <w:r>
        <w:separator/>
      </w:r>
    </w:p>
  </w:footnote>
  <w:footnote w:type="continuationSeparator" w:id="0">
    <w:p w:rsidR="00B65FAA" w:rsidRDefault="00B65FAA" w:rsidP="00FF4280">
      <w:pPr>
        <w:spacing w:after="0" w:line="240" w:lineRule="auto"/>
      </w:pPr>
      <w:r>
        <w:continuationSeparator/>
      </w:r>
    </w:p>
  </w:footnote>
  <w:footnote w:id="1">
    <w:p w:rsidR="00932C2D" w:rsidRDefault="00932C2D" w:rsidP="00D065DD">
      <w:pPr>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“mineral” includes any valuable crystalline or earthy substance forming part of or found within the earth’s</w:t>
      </w:r>
    </w:p>
    <w:p w:rsidR="00932C2D" w:rsidRDefault="00932C2D" w:rsidP="00D065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surface and produced or deposited there by natural agencies but does not include petroleum or any clay</w:t>
      </w:r>
    </w:p>
    <w:p w:rsidR="00932C2D" w:rsidRDefault="00932C2D" w:rsidP="00D065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(other than fire-clay), gravel, sand, stone (other than limestone) or other like substance ordinarily won by</w:t>
      </w:r>
    </w:p>
    <w:p w:rsidR="00932C2D" w:rsidRDefault="00932C2D" w:rsidP="00D065DD">
      <w:pPr>
        <w:pStyle w:val="FootnoteText"/>
      </w:pPr>
      <w:r>
        <w:rPr>
          <w:rFonts w:ascii="Times New Roman" w:hAnsi="Times New Roman" w:cs="Times New Roman"/>
        </w:rPr>
        <w:t>the method of surface working known as quarrying.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660786"/>
      <w:docPartObj>
        <w:docPartGallery w:val="Page Numbers (Top of Page)"/>
        <w:docPartUnique/>
      </w:docPartObj>
    </w:sdtPr>
    <w:sdtEndPr>
      <w:rPr>
        <w:noProof/>
      </w:rPr>
    </w:sdtEndPr>
    <w:sdtContent>
      <w:p w:rsidR="002E286B" w:rsidRDefault="00932C2D">
        <w:pPr>
          <w:pStyle w:val="Header"/>
          <w:jc w:val="right"/>
          <w:rPr>
            <w:noProof/>
          </w:rPr>
        </w:pPr>
        <w:r>
          <w:fldChar w:fldCharType="begin"/>
        </w:r>
        <w:r>
          <w:instrText xml:space="preserve"> PAGE   \* MERGEFORMAT </w:instrText>
        </w:r>
        <w:r>
          <w:fldChar w:fldCharType="separate"/>
        </w:r>
        <w:r w:rsidR="00A844EC">
          <w:rPr>
            <w:noProof/>
          </w:rPr>
          <w:t>1</w:t>
        </w:r>
        <w:r>
          <w:rPr>
            <w:noProof/>
          </w:rPr>
          <w:fldChar w:fldCharType="end"/>
        </w:r>
      </w:p>
      <w:p w:rsidR="002E286B" w:rsidRDefault="002E286B">
        <w:pPr>
          <w:pStyle w:val="Header"/>
          <w:jc w:val="right"/>
          <w:rPr>
            <w:noProof/>
          </w:rPr>
        </w:pPr>
        <w:r>
          <w:rPr>
            <w:noProof/>
          </w:rPr>
          <w:t>HH</w:t>
        </w:r>
        <w:r w:rsidR="008A4E62">
          <w:rPr>
            <w:noProof/>
          </w:rPr>
          <w:t xml:space="preserve"> </w:t>
        </w:r>
        <w:r w:rsidR="00452B38">
          <w:rPr>
            <w:noProof/>
          </w:rPr>
          <w:t>142-20</w:t>
        </w:r>
      </w:p>
      <w:p w:rsidR="00932C2D" w:rsidRDefault="002E286B">
        <w:pPr>
          <w:pStyle w:val="Header"/>
          <w:jc w:val="right"/>
        </w:pPr>
        <w:r>
          <w:rPr>
            <w:noProof/>
          </w:rPr>
          <w:t>ITC 10/2017</w:t>
        </w:r>
      </w:p>
    </w:sdtContent>
  </w:sdt>
  <w:p w:rsidR="00932C2D" w:rsidRDefault="00932C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8C4"/>
    <w:multiLevelType w:val="hybridMultilevel"/>
    <w:tmpl w:val="264EE900"/>
    <w:lvl w:ilvl="0" w:tplc="543023E4">
      <w:start w:val="1"/>
      <w:numFmt w:val="lowerLetter"/>
      <w:lvlText w:val="(%1)"/>
      <w:lvlJc w:val="left"/>
      <w:pPr>
        <w:ind w:left="1800" w:hanging="360"/>
      </w:pPr>
      <w:rPr>
        <w:rFonts w:hint="default"/>
        <w:i/>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15:restartNumberingAfterBreak="0">
    <w:nsid w:val="0ED11373"/>
    <w:multiLevelType w:val="hybridMultilevel"/>
    <w:tmpl w:val="A636F70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75E2D63"/>
    <w:multiLevelType w:val="hybridMultilevel"/>
    <w:tmpl w:val="A636F70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77349FE"/>
    <w:multiLevelType w:val="hybridMultilevel"/>
    <w:tmpl w:val="05CA82E6"/>
    <w:lvl w:ilvl="0" w:tplc="4564833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249E7FA8"/>
    <w:multiLevelType w:val="hybridMultilevel"/>
    <w:tmpl w:val="A1025E74"/>
    <w:lvl w:ilvl="0" w:tplc="E998061C">
      <w:start w:val="1"/>
      <w:numFmt w:val="upperLetter"/>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5" w15:restartNumberingAfterBreak="0">
    <w:nsid w:val="27EE1EDE"/>
    <w:multiLevelType w:val="hybridMultilevel"/>
    <w:tmpl w:val="E98E90E4"/>
    <w:lvl w:ilvl="0" w:tplc="BE2C1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2A42CA"/>
    <w:multiLevelType w:val="hybridMultilevel"/>
    <w:tmpl w:val="A636F70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2D2773A1"/>
    <w:multiLevelType w:val="hybridMultilevel"/>
    <w:tmpl w:val="E14A59FA"/>
    <w:lvl w:ilvl="0" w:tplc="685634EE">
      <w:start w:val="1"/>
      <w:numFmt w:val="upperLetter"/>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8" w15:restartNumberingAfterBreak="0">
    <w:nsid w:val="300747F8"/>
    <w:multiLevelType w:val="hybridMultilevel"/>
    <w:tmpl w:val="A636F70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304F164A"/>
    <w:multiLevelType w:val="hybridMultilevel"/>
    <w:tmpl w:val="A636F70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07F3598"/>
    <w:multiLevelType w:val="hybridMultilevel"/>
    <w:tmpl w:val="A636F70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41227725"/>
    <w:multiLevelType w:val="hybridMultilevel"/>
    <w:tmpl w:val="DCEAA858"/>
    <w:lvl w:ilvl="0" w:tplc="B216A2C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56710853"/>
    <w:multiLevelType w:val="hybridMultilevel"/>
    <w:tmpl w:val="191C8BB8"/>
    <w:lvl w:ilvl="0" w:tplc="D5303FD4">
      <w:start w:val="1"/>
      <w:numFmt w:val="lowerLetter"/>
      <w:lvlText w:val="(%1)"/>
      <w:lvlJc w:val="left"/>
      <w:pPr>
        <w:ind w:left="2160" w:hanging="720"/>
      </w:pPr>
      <w:rPr>
        <w:rFonts w:hint="default"/>
        <w:i/>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3" w15:restartNumberingAfterBreak="0">
    <w:nsid w:val="58101884"/>
    <w:multiLevelType w:val="hybridMultilevel"/>
    <w:tmpl w:val="A636F70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7F274319"/>
    <w:multiLevelType w:val="hybridMultilevel"/>
    <w:tmpl w:val="A636F70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10"/>
  </w:num>
  <w:num w:numId="5">
    <w:abstractNumId w:val="0"/>
  </w:num>
  <w:num w:numId="6">
    <w:abstractNumId w:val="7"/>
  </w:num>
  <w:num w:numId="7">
    <w:abstractNumId w:val="8"/>
  </w:num>
  <w:num w:numId="8">
    <w:abstractNumId w:val="6"/>
  </w:num>
  <w:num w:numId="9">
    <w:abstractNumId w:val="5"/>
  </w:num>
  <w:num w:numId="10">
    <w:abstractNumId w:val="14"/>
  </w:num>
  <w:num w:numId="11">
    <w:abstractNumId w:val="2"/>
  </w:num>
  <w:num w:numId="12">
    <w:abstractNumId w:val="9"/>
  </w:num>
  <w:num w:numId="13">
    <w:abstractNumId w:val="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49"/>
    <w:rsid w:val="000028CE"/>
    <w:rsid w:val="000039F5"/>
    <w:rsid w:val="00003EBF"/>
    <w:rsid w:val="00007CEC"/>
    <w:rsid w:val="0001270C"/>
    <w:rsid w:val="00013DD9"/>
    <w:rsid w:val="000149C5"/>
    <w:rsid w:val="00015551"/>
    <w:rsid w:val="00020B94"/>
    <w:rsid w:val="00021038"/>
    <w:rsid w:val="000236F7"/>
    <w:rsid w:val="00024138"/>
    <w:rsid w:val="000260B5"/>
    <w:rsid w:val="00040D09"/>
    <w:rsid w:val="000425F6"/>
    <w:rsid w:val="00042F37"/>
    <w:rsid w:val="000451C4"/>
    <w:rsid w:val="00056B99"/>
    <w:rsid w:val="0005746C"/>
    <w:rsid w:val="0005795D"/>
    <w:rsid w:val="000615D9"/>
    <w:rsid w:val="00063D84"/>
    <w:rsid w:val="000647D9"/>
    <w:rsid w:val="00066BED"/>
    <w:rsid w:val="0006703A"/>
    <w:rsid w:val="000728D9"/>
    <w:rsid w:val="000729CB"/>
    <w:rsid w:val="000807F0"/>
    <w:rsid w:val="00081B29"/>
    <w:rsid w:val="00082D8D"/>
    <w:rsid w:val="00082F15"/>
    <w:rsid w:val="00083578"/>
    <w:rsid w:val="0008430A"/>
    <w:rsid w:val="000872F3"/>
    <w:rsid w:val="0009141C"/>
    <w:rsid w:val="00094B7B"/>
    <w:rsid w:val="00095DEE"/>
    <w:rsid w:val="000971E1"/>
    <w:rsid w:val="000A171C"/>
    <w:rsid w:val="000A3C52"/>
    <w:rsid w:val="000A4554"/>
    <w:rsid w:val="000B14BE"/>
    <w:rsid w:val="000B4077"/>
    <w:rsid w:val="000B4216"/>
    <w:rsid w:val="000B7761"/>
    <w:rsid w:val="000C169B"/>
    <w:rsid w:val="000C1D51"/>
    <w:rsid w:val="000C4472"/>
    <w:rsid w:val="000C5874"/>
    <w:rsid w:val="000C69A9"/>
    <w:rsid w:val="000D091D"/>
    <w:rsid w:val="000D18C4"/>
    <w:rsid w:val="000D28C2"/>
    <w:rsid w:val="000D4C7D"/>
    <w:rsid w:val="000D5985"/>
    <w:rsid w:val="000E0D59"/>
    <w:rsid w:val="000E2C4A"/>
    <w:rsid w:val="000E2E1E"/>
    <w:rsid w:val="000E4CF2"/>
    <w:rsid w:val="000E5E87"/>
    <w:rsid w:val="000E639D"/>
    <w:rsid w:val="000E70EB"/>
    <w:rsid w:val="000F095F"/>
    <w:rsid w:val="000F0B9E"/>
    <w:rsid w:val="000F2DF1"/>
    <w:rsid w:val="000F34C0"/>
    <w:rsid w:val="000F3A2E"/>
    <w:rsid w:val="000F6009"/>
    <w:rsid w:val="000F7D24"/>
    <w:rsid w:val="00102BF9"/>
    <w:rsid w:val="001033D7"/>
    <w:rsid w:val="001034D5"/>
    <w:rsid w:val="00104132"/>
    <w:rsid w:val="00104FF2"/>
    <w:rsid w:val="00106441"/>
    <w:rsid w:val="00107146"/>
    <w:rsid w:val="00110EA4"/>
    <w:rsid w:val="00112E9D"/>
    <w:rsid w:val="00121BDB"/>
    <w:rsid w:val="00123C02"/>
    <w:rsid w:val="001240BD"/>
    <w:rsid w:val="00124BB1"/>
    <w:rsid w:val="00125DB6"/>
    <w:rsid w:val="001270E8"/>
    <w:rsid w:val="0013035B"/>
    <w:rsid w:val="00130DC2"/>
    <w:rsid w:val="00131265"/>
    <w:rsid w:val="00132F4D"/>
    <w:rsid w:val="00133D06"/>
    <w:rsid w:val="00133EF0"/>
    <w:rsid w:val="00135FBF"/>
    <w:rsid w:val="00136813"/>
    <w:rsid w:val="00142AC6"/>
    <w:rsid w:val="00147088"/>
    <w:rsid w:val="0015423B"/>
    <w:rsid w:val="00154EAF"/>
    <w:rsid w:val="00155A90"/>
    <w:rsid w:val="001606B2"/>
    <w:rsid w:val="0016171A"/>
    <w:rsid w:val="001634AC"/>
    <w:rsid w:val="001711A7"/>
    <w:rsid w:val="00171AF7"/>
    <w:rsid w:val="00174212"/>
    <w:rsid w:val="00174B98"/>
    <w:rsid w:val="00175A71"/>
    <w:rsid w:val="00181783"/>
    <w:rsid w:val="00182DA2"/>
    <w:rsid w:val="00183A98"/>
    <w:rsid w:val="0018749A"/>
    <w:rsid w:val="001901A3"/>
    <w:rsid w:val="0019215E"/>
    <w:rsid w:val="00192989"/>
    <w:rsid w:val="00192EBA"/>
    <w:rsid w:val="0019498A"/>
    <w:rsid w:val="001A064C"/>
    <w:rsid w:val="001A2F08"/>
    <w:rsid w:val="001A30B6"/>
    <w:rsid w:val="001A3AF3"/>
    <w:rsid w:val="001A50C2"/>
    <w:rsid w:val="001A5485"/>
    <w:rsid w:val="001A772A"/>
    <w:rsid w:val="001B5D32"/>
    <w:rsid w:val="001B5F31"/>
    <w:rsid w:val="001B6A4C"/>
    <w:rsid w:val="001C3E23"/>
    <w:rsid w:val="001D1AD3"/>
    <w:rsid w:val="001D46EE"/>
    <w:rsid w:val="001D4939"/>
    <w:rsid w:val="001E0587"/>
    <w:rsid w:val="001E337F"/>
    <w:rsid w:val="001E6137"/>
    <w:rsid w:val="001E75C4"/>
    <w:rsid w:val="001F699F"/>
    <w:rsid w:val="001F790B"/>
    <w:rsid w:val="00201811"/>
    <w:rsid w:val="002026FC"/>
    <w:rsid w:val="00211D97"/>
    <w:rsid w:val="00213C51"/>
    <w:rsid w:val="0021536E"/>
    <w:rsid w:val="002157A0"/>
    <w:rsid w:val="00220867"/>
    <w:rsid w:val="00220A7A"/>
    <w:rsid w:val="002220A3"/>
    <w:rsid w:val="002224B5"/>
    <w:rsid w:val="00225C82"/>
    <w:rsid w:val="00225EF7"/>
    <w:rsid w:val="00226C0C"/>
    <w:rsid w:val="00231717"/>
    <w:rsid w:val="0023216B"/>
    <w:rsid w:val="00237A73"/>
    <w:rsid w:val="00237B82"/>
    <w:rsid w:val="002404BF"/>
    <w:rsid w:val="00244BA0"/>
    <w:rsid w:val="00246B9D"/>
    <w:rsid w:val="00252EA1"/>
    <w:rsid w:val="00256BF8"/>
    <w:rsid w:val="00257670"/>
    <w:rsid w:val="0026317A"/>
    <w:rsid w:val="002654B0"/>
    <w:rsid w:val="00265705"/>
    <w:rsid w:val="00266B7F"/>
    <w:rsid w:val="00267F8A"/>
    <w:rsid w:val="00272AA3"/>
    <w:rsid w:val="00277A73"/>
    <w:rsid w:val="00280779"/>
    <w:rsid w:val="002809A0"/>
    <w:rsid w:val="00280DA5"/>
    <w:rsid w:val="00284496"/>
    <w:rsid w:val="00284D5C"/>
    <w:rsid w:val="002904E2"/>
    <w:rsid w:val="00291EFA"/>
    <w:rsid w:val="002926D3"/>
    <w:rsid w:val="00292915"/>
    <w:rsid w:val="00293317"/>
    <w:rsid w:val="002962D7"/>
    <w:rsid w:val="002A0A2B"/>
    <w:rsid w:val="002A16A0"/>
    <w:rsid w:val="002A3317"/>
    <w:rsid w:val="002A3328"/>
    <w:rsid w:val="002A33DA"/>
    <w:rsid w:val="002A3C3D"/>
    <w:rsid w:val="002A4B8C"/>
    <w:rsid w:val="002A55C7"/>
    <w:rsid w:val="002A566F"/>
    <w:rsid w:val="002B3440"/>
    <w:rsid w:val="002B51E1"/>
    <w:rsid w:val="002C0892"/>
    <w:rsid w:val="002C1EA2"/>
    <w:rsid w:val="002C52DC"/>
    <w:rsid w:val="002C62DF"/>
    <w:rsid w:val="002C6438"/>
    <w:rsid w:val="002C7BEF"/>
    <w:rsid w:val="002D3137"/>
    <w:rsid w:val="002D5A9F"/>
    <w:rsid w:val="002D6BBA"/>
    <w:rsid w:val="002D7A44"/>
    <w:rsid w:val="002E0550"/>
    <w:rsid w:val="002E119D"/>
    <w:rsid w:val="002E1F85"/>
    <w:rsid w:val="002E286B"/>
    <w:rsid w:val="002E3544"/>
    <w:rsid w:val="002F075F"/>
    <w:rsid w:val="002F447F"/>
    <w:rsid w:val="002F5486"/>
    <w:rsid w:val="002F7025"/>
    <w:rsid w:val="00304B9F"/>
    <w:rsid w:val="00305B22"/>
    <w:rsid w:val="003071F8"/>
    <w:rsid w:val="003126EB"/>
    <w:rsid w:val="00314168"/>
    <w:rsid w:val="00315E0C"/>
    <w:rsid w:val="00317F0E"/>
    <w:rsid w:val="00320C99"/>
    <w:rsid w:val="00320E14"/>
    <w:rsid w:val="0032580D"/>
    <w:rsid w:val="0032621A"/>
    <w:rsid w:val="00330749"/>
    <w:rsid w:val="00331328"/>
    <w:rsid w:val="0033389E"/>
    <w:rsid w:val="003377D7"/>
    <w:rsid w:val="00343385"/>
    <w:rsid w:val="003462AB"/>
    <w:rsid w:val="003502BB"/>
    <w:rsid w:val="003502F9"/>
    <w:rsid w:val="0035048C"/>
    <w:rsid w:val="003531E0"/>
    <w:rsid w:val="00354CC6"/>
    <w:rsid w:val="003561F4"/>
    <w:rsid w:val="00356607"/>
    <w:rsid w:val="00363135"/>
    <w:rsid w:val="00370DE7"/>
    <w:rsid w:val="003726BD"/>
    <w:rsid w:val="00373220"/>
    <w:rsid w:val="0037456A"/>
    <w:rsid w:val="00375EA7"/>
    <w:rsid w:val="00382498"/>
    <w:rsid w:val="003825CB"/>
    <w:rsid w:val="00383CDA"/>
    <w:rsid w:val="0038479B"/>
    <w:rsid w:val="00391CB9"/>
    <w:rsid w:val="00394990"/>
    <w:rsid w:val="00395191"/>
    <w:rsid w:val="00395950"/>
    <w:rsid w:val="003967F5"/>
    <w:rsid w:val="00397D63"/>
    <w:rsid w:val="003A0C1C"/>
    <w:rsid w:val="003A48E7"/>
    <w:rsid w:val="003A6DB8"/>
    <w:rsid w:val="003A7BA5"/>
    <w:rsid w:val="003B065B"/>
    <w:rsid w:val="003B0875"/>
    <w:rsid w:val="003B2840"/>
    <w:rsid w:val="003B2EF9"/>
    <w:rsid w:val="003B67A0"/>
    <w:rsid w:val="003C57A4"/>
    <w:rsid w:val="003D23F5"/>
    <w:rsid w:val="003D5346"/>
    <w:rsid w:val="003D5DD1"/>
    <w:rsid w:val="003E0755"/>
    <w:rsid w:val="003E4193"/>
    <w:rsid w:val="003E60C8"/>
    <w:rsid w:val="003F4ADC"/>
    <w:rsid w:val="003F65C9"/>
    <w:rsid w:val="00400E54"/>
    <w:rsid w:val="0040137C"/>
    <w:rsid w:val="00401E03"/>
    <w:rsid w:val="004035C9"/>
    <w:rsid w:val="00413EFE"/>
    <w:rsid w:val="00414819"/>
    <w:rsid w:val="00417706"/>
    <w:rsid w:val="00420272"/>
    <w:rsid w:val="00423416"/>
    <w:rsid w:val="00423E6B"/>
    <w:rsid w:val="004248F4"/>
    <w:rsid w:val="00424E27"/>
    <w:rsid w:val="0042791D"/>
    <w:rsid w:val="00427951"/>
    <w:rsid w:val="00431D13"/>
    <w:rsid w:val="004320FD"/>
    <w:rsid w:val="004339FA"/>
    <w:rsid w:val="00435734"/>
    <w:rsid w:val="00440710"/>
    <w:rsid w:val="0044182B"/>
    <w:rsid w:val="00442498"/>
    <w:rsid w:val="00442C73"/>
    <w:rsid w:val="004500E0"/>
    <w:rsid w:val="00451C91"/>
    <w:rsid w:val="00452B38"/>
    <w:rsid w:val="004604C7"/>
    <w:rsid w:val="00460D99"/>
    <w:rsid w:val="00463F03"/>
    <w:rsid w:val="00465B51"/>
    <w:rsid w:val="00467BCF"/>
    <w:rsid w:val="00470649"/>
    <w:rsid w:val="00472C23"/>
    <w:rsid w:val="00472EA2"/>
    <w:rsid w:val="00476147"/>
    <w:rsid w:val="0047647C"/>
    <w:rsid w:val="0047669F"/>
    <w:rsid w:val="004843B4"/>
    <w:rsid w:val="004A06D4"/>
    <w:rsid w:val="004A0D55"/>
    <w:rsid w:val="004B0EDC"/>
    <w:rsid w:val="004B2B04"/>
    <w:rsid w:val="004B32BD"/>
    <w:rsid w:val="004C0334"/>
    <w:rsid w:val="004C299E"/>
    <w:rsid w:val="004C5C52"/>
    <w:rsid w:val="004C6420"/>
    <w:rsid w:val="004C64C7"/>
    <w:rsid w:val="004D0252"/>
    <w:rsid w:val="004D07C2"/>
    <w:rsid w:val="004D1245"/>
    <w:rsid w:val="004D26F5"/>
    <w:rsid w:val="004D3CD6"/>
    <w:rsid w:val="004D54CB"/>
    <w:rsid w:val="004E19BA"/>
    <w:rsid w:val="004E3401"/>
    <w:rsid w:val="004E34EB"/>
    <w:rsid w:val="004E351D"/>
    <w:rsid w:val="004E38E0"/>
    <w:rsid w:val="004E5192"/>
    <w:rsid w:val="004E588F"/>
    <w:rsid w:val="004E5F1A"/>
    <w:rsid w:val="004F37D0"/>
    <w:rsid w:val="004F53BA"/>
    <w:rsid w:val="004F6940"/>
    <w:rsid w:val="004F73AA"/>
    <w:rsid w:val="004F754C"/>
    <w:rsid w:val="00501336"/>
    <w:rsid w:val="0050165E"/>
    <w:rsid w:val="00503F3D"/>
    <w:rsid w:val="00504DA7"/>
    <w:rsid w:val="00505D26"/>
    <w:rsid w:val="00511DA8"/>
    <w:rsid w:val="00512529"/>
    <w:rsid w:val="00512F2B"/>
    <w:rsid w:val="005149DD"/>
    <w:rsid w:val="005160D3"/>
    <w:rsid w:val="00516481"/>
    <w:rsid w:val="00521F99"/>
    <w:rsid w:val="00527883"/>
    <w:rsid w:val="0053283A"/>
    <w:rsid w:val="00532B63"/>
    <w:rsid w:val="00536C10"/>
    <w:rsid w:val="00545960"/>
    <w:rsid w:val="00545A61"/>
    <w:rsid w:val="0054648D"/>
    <w:rsid w:val="00546DF3"/>
    <w:rsid w:val="00553433"/>
    <w:rsid w:val="00554FE7"/>
    <w:rsid w:val="005560B8"/>
    <w:rsid w:val="005579C8"/>
    <w:rsid w:val="00560796"/>
    <w:rsid w:val="005628C4"/>
    <w:rsid w:val="005644FC"/>
    <w:rsid w:val="005703F1"/>
    <w:rsid w:val="00577BCE"/>
    <w:rsid w:val="005828CB"/>
    <w:rsid w:val="00584EB8"/>
    <w:rsid w:val="00586467"/>
    <w:rsid w:val="00591C74"/>
    <w:rsid w:val="00592244"/>
    <w:rsid w:val="0059304B"/>
    <w:rsid w:val="00593362"/>
    <w:rsid w:val="005942C4"/>
    <w:rsid w:val="00595094"/>
    <w:rsid w:val="00595B31"/>
    <w:rsid w:val="005A1962"/>
    <w:rsid w:val="005A2050"/>
    <w:rsid w:val="005A4315"/>
    <w:rsid w:val="005A60E4"/>
    <w:rsid w:val="005A7394"/>
    <w:rsid w:val="005B18C5"/>
    <w:rsid w:val="005B5E1B"/>
    <w:rsid w:val="005C377F"/>
    <w:rsid w:val="005C39FC"/>
    <w:rsid w:val="005C587F"/>
    <w:rsid w:val="005C5B06"/>
    <w:rsid w:val="005C69F4"/>
    <w:rsid w:val="005C6FA9"/>
    <w:rsid w:val="005D079C"/>
    <w:rsid w:val="005D16C7"/>
    <w:rsid w:val="005D1D00"/>
    <w:rsid w:val="005D4E59"/>
    <w:rsid w:val="005D6C98"/>
    <w:rsid w:val="005E15C8"/>
    <w:rsid w:val="005E1A0E"/>
    <w:rsid w:val="005E23F9"/>
    <w:rsid w:val="005E3AF9"/>
    <w:rsid w:val="005F4BB8"/>
    <w:rsid w:val="005F512D"/>
    <w:rsid w:val="00601353"/>
    <w:rsid w:val="00601596"/>
    <w:rsid w:val="0060310F"/>
    <w:rsid w:val="00607EA5"/>
    <w:rsid w:val="006228C0"/>
    <w:rsid w:val="00622DA3"/>
    <w:rsid w:val="00623148"/>
    <w:rsid w:val="00627397"/>
    <w:rsid w:val="00631F7B"/>
    <w:rsid w:val="006327FE"/>
    <w:rsid w:val="00633B3D"/>
    <w:rsid w:val="00635892"/>
    <w:rsid w:val="0064472F"/>
    <w:rsid w:val="00645626"/>
    <w:rsid w:val="00653CAF"/>
    <w:rsid w:val="00655135"/>
    <w:rsid w:val="00655666"/>
    <w:rsid w:val="006609DF"/>
    <w:rsid w:val="00663DD2"/>
    <w:rsid w:val="00663F4E"/>
    <w:rsid w:val="00666480"/>
    <w:rsid w:val="00670258"/>
    <w:rsid w:val="0067027E"/>
    <w:rsid w:val="00672319"/>
    <w:rsid w:val="00674D13"/>
    <w:rsid w:val="00677BC8"/>
    <w:rsid w:val="0068457F"/>
    <w:rsid w:val="00685A93"/>
    <w:rsid w:val="00690CB6"/>
    <w:rsid w:val="00690EF7"/>
    <w:rsid w:val="00691F7E"/>
    <w:rsid w:val="00692D6F"/>
    <w:rsid w:val="00693C4C"/>
    <w:rsid w:val="006963A5"/>
    <w:rsid w:val="006A0999"/>
    <w:rsid w:val="006A2B93"/>
    <w:rsid w:val="006A3C9C"/>
    <w:rsid w:val="006A67DA"/>
    <w:rsid w:val="006B5176"/>
    <w:rsid w:val="006B795E"/>
    <w:rsid w:val="006C3740"/>
    <w:rsid w:val="006C7602"/>
    <w:rsid w:val="006D09CE"/>
    <w:rsid w:val="006D1410"/>
    <w:rsid w:val="006D22BA"/>
    <w:rsid w:val="006D45E5"/>
    <w:rsid w:val="006D4B29"/>
    <w:rsid w:val="006D7E34"/>
    <w:rsid w:val="006E0B65"/>
    <w:rsid w:val="006E125F"/>
    <w:rsid w:val="006E459E"/>
    <w:rsid w:val="006E4A68"/>
    <w:rsid w:val="006E512F"/>
    <w:rsid w:val="006F0BC0"/>
    <w:rsid w:val="006F3C77"/>
    <w:rsid w:val="00703F25"/>
    <w:rsid w:val="00704A47"/>
    <w:rsid w:val="007051F5"/>
    <w:rsid w:val="007070AE"/>
    <w:rsid w:val="00713B71"/>
    <w:rsid w:val="0071451D"/>
    <w:rsid w:val="0071664B"/>
    <w:rsid w:val="007169E9"/>
    <w:rsid w:val="00722570"/>
    <w:rsid w:val="00722B24"/>
    <w:rsid w:val="00723AAD"/>
    <w:rsid w:val="00724218"/>
    <w:rsid w:val="0072467F"/>
    <w:rsid w:val="00725618"/>
    <w:rsid w:val="00732D77"/>
    <w:rsid w:val="007344CC"/>
    <w:rsid w:val="007355F1"/>
    <w:rsid w:val="00736253"/>
    <w:rsid w:val="00736913"/>
    <w:rsid w:val="00742FD1"/>
    <w:rsid w:val="00744CDB"/>
    <w:rsid w:val="00746A04"/>
    <w:rsid w:val="00750559"/>
    <w:rsid w:val="0075203A"/>
    <w:rsid w:val="00756394"/>
    <w:rsid w:val="00757DC3"/>
    <w:rsid w:val="00761D07"/>
    <w:rsid w:val="007624F6"/>
    <w:rsid w:val="00763F84"/>
    <w:rsid w:val="0076406C"/>
    <w:rsid w:val="00764206"/>
    <w:rsid w:val="00765012"/>
    <w:rsid w:val="00766A4F"/>
    <w:rsid w:val="007726A3"/>
    <w:rsid w:val="007730AB"/>
    <w:rsid w:val="00774DF2"/>
    <w:rsid w:val="0077611B"/>
    <w:rsid w:val="0078009D"/>
    <w:rsid w:val="00781C87"/>
    <w:rsid w:val="0078324A"/>
    <w:rsid w:val="007871DC"/>
    <w:rsid w:val="00787CF1"/>
    <w:rsid w:val="007928B6"/>
    <w:rsid w:val="007929F4"/>
    <w:rsid w:val="0079356A"/>
    <w:rsid w:val="007949B2"/>
    <w:rsid w:val="0079660D"/>
    <w:rsid w:val="007A0121"/>
    <w:rsid w:val="007A2683"/>
    <w:rsid w:val="007A4826"/>
    <w:rsid w:val="007A67C3"/>
    <w:rsid w:val="007A7014"/>
    <w:rsid w:val="007B5681"/>
    <w:rsid w:val="007B751C"/>
    <w:rsid w:val="007C47B5"/>
    <w:rsid w:val="007C5718"/>
    <w:rsid w:val="007D7119"/>
    <w:rsid w:val="007E3F14"/>
    <w:rsid w:val="007F0810"/>
    <w:rsid w:val="007F0F18"/>
    <w:rsid w:val="007F1675"/>
    <w:rsid w:val="007F295F"/>
    <w:rsid w:val="00800219"/>
    <w:rsid w:val="00802225"/>
    <w:rsid w:val="008042C9"/>
    <w:rsid w:val="00804E5D"/>
    <w:rsid w:val="00810266"/>
    <w:rsid w:val="00810B95"/>
    <w:rsid w:val="00812456"/>
    <w:rsid w:val="0081586B"/>
    <w:rsid w:val="00816996"/>
    <w:rsid w:val="00820496"/>
    <w:rsid w:val="00822436"/>
    <w:rsid w:val="00824279"/>
    <w:rsid w:val="00825976"/>
    <w:rsid w:val="00833180"/>
    <w:rsid w:val="008346B3"/>
    <w:rsid w:val="00835367"/>
    <w:rsid w:val="00836D6A"/>
    <w:rsid w:val="00840805"/>
    <w:rsid w:val="008411D2"/>
    <w:rsid w:val="00841DF1"/>
    <w:rsid w:val="00843798"/>
    <w:rsid w:val="00844B42"/>
    <w:rsid w:val="008465A5"/>
    <w:rsid w:val="00846DE8"/>
    <w:rsid w:val="00851A69"/>
    <w:rsid w:val="008522C5"/>
    <w:rsid w:val="00852991"/>
    <w:rsid w:val="008538A9"/>
    <w:rsid w:val="0085672D"/>
    <w:rsid w:val="00861658"/>
    <w:rsid w:val="00866091"/>
    <w:rsid w:val="008701F4"/>
    <w:rsid w:val="00871EDB"/>
    <w:rsid w:val="00876E12"/>
    <w:rsid w:val="00877901"/>
    <w:rsid w:val="00885FAE"/>
    <w:rsid w:val="008862AF"/>
    <w:rsid w:val="008864BF"/>
    <w:rsid w:val="008872E8"/>
    <w:rsid w:val="008904C6"/>
    <w:rsid w:val="008916EF"/>
    <w:rsid w:val="00891C2B"/>
    <w:rsid w:val="00894C88"/>
    <w:rsid w:val="008970F6"/>
    <w:rsid w:val="008A0D5D"/>
    <w:rsid w:val="008A2B47"/>
    <w:rsid w:val="008A4E62"/>
    <w:rsid w:val="008A753C"/>
    <w:rsid w:val="008A77AD"/>
    <w:rsid w:val="008B0917"/>
    <w:rsid w:val="008B1DBD"/>
    <w:rsid w:val="008B3400"/>
    <w:rsid w:val="008B40AA"/>
    <w:rsid w:val="008B4D2C"/>
    <w:rsid w:val="008C1EB9"/>
    <w:rsid w:val="008C2C8D"/>
    <w:rsid w:val="008C30A2"/>
    <w:rsid w:val="008C73A8"/>
    <w:rsid w:val="008D0B4D"/>
    <w:rsid w:val="008D0C52"/>
    <w:rsid w:val="008D17B0"/>
    <w:rsid w:val="008D2312"/>
    <w:rsid w:val="008D690D"/>
    <w:rsid w:val="008D70F9"/>
    <w:rsid w:val="008E0194"/>
    <w:rsid w:val="008E48CB"/>
    <w:rsid w:val="008E5866"/>
    <w:rsid w:val="008F18E5"/>
    <w:rsid w:val="008F3280"/>
    <w:rsid w:val="008F5F04"/>
    <w:rsid w:val="008F75EF"/>
    <w:rsid w:val="00903898"/>
    <w:rsid w:val="00903D13"/>
    <w:rsid w:val="00905218"/>
    <w:rsid w:val="0090642B"/>
    <w:rsid w:val="009114B9"/>
    <w:rsid w:val="0091606B"/>
    <w:rsid w:val="00920C30"/>
    <w:rsid w:val="009216F3"/>
    <w:rsid w:val="00923F7C"/>
    <w:rsid w:val="009245B6"/>
    <w:rsid w:val="00930151"/>
    <w:rsid w:val="00932A52"/>
    <w:rsid w:val="00932C2D"/>
    <w:rsid w:val="00935DF0"/>
    <w:rsid w:val="00937F69"/>
    <w:rsid w:val="009461C4"/>
    <w:rsid w:val="00955829"/>
    <w:rsid w:val="00957EF0"/>
    <w:rsid w:val="00967AC4"/>
    <w:rsid w:val="00967C1F"/>
    <w:rsid w:val="009737E5"/>
    <w:rsid w:val="00975C66"/>
    <w:rsid w:val="00975F01"/>
    <w:rsid w:val="00976C19"/>
    <w:rsid w:val="0097797A"/>
    <w:rsid w:val="009779EC"/>
    <w:rsid w:val="009811C7"/>
    <w:rsid w:val="00981DAF"/>
    <w:rsid w:val="009862D7"/>
    <w:rsid w:val="009864FC"/>
    <w:rsid w:val="0098686A"/>
    <w:rsid w:val="009879E6"/>
    <w:rsid w:val="00990CFA"/>
    <w:rsid w:val="00991628"/>
    <w:rsid w:val="009A07AF"/>
    <w:rsid w:val="009A1C03"/>
    <w:rsid w:val="009A212E"/>
    <w:rsid w:val="009A63FD"/>
    <w:rsid w:val="009B054F"/>
    <w:rsid w:val="009B2A2F"/>
    <w:rsid w:val="009B4243"/>
    <w:rsid w:val="009B5327"/>
    <w:rsid w:val="009B6DF7"/>
    <w:rsid w:val="009B7FC3"/>
    <w:rsid w:val="009C5C8A"/>
    <w:rsid w:val="009D1606"/>
    <w:rsid w:val="009D36FF"/>
    <w:rsid w:val="009D6437"/>
    <w:rsid w:val="009D657D"/>
    <w:rsid w:val="009E33A9"/>
    <w:rsid w:val="009E5393"/>
    <w:rsid w:val="009F02D1"/>
    <w:rsid w:val="009F38C3"/>
    <w:rsid w:val="009F4179"/>
    <w:rsid w:val="00A00B04"/>
    <w:rsid w:val="00A0383A"/>
    <w:rsid w:val="00A05251"/>
    <w:rsid w:val="00A065DB"/>
    <w:rsid w:val="00A07B11"/>
    <w:rsid w:val="00A2191D"/>
    <w:rsid w:val="00A22315"/>
    <w:rsid w:val="00A23817"/>
    <w:rsid w:val="00A2393A"/>
    <w:rsid w:val="00A26213"/>
    <w:rsid w:val="00A262A9"/>
    <w:rsid w:val="00A27EC8"/>
    <w:rsid w:val="00A30273"/>
    <w:rsid w:val="00A37F29"/>
    <w:rsid w:val="00A4147F"/>
    <w:rsid w:val="00A4188F"/>
    <w:rsid w:val="00A42884"/>
    <w:rsid w:val="00A4324E"/>
    <w:rsid w:val="00A4489E"/>
    <w:rsid w:val="00A44D8A"/>
    <w:rsid w:val="00A471B7"/>
    <w:rsid w:val="00A508B0"/>
    <w:rsid w:val="00A50BAB"/>
    <w:rsid w:val="00A51678"/>
    <w:rsid w:val="00A52229"/>
    <w:rsid w:val="00A52C89"/>
    <w:rsid w:val="00A5324A"/>
    <w:rsid w:val="00A53372"/>
    <w:rsid w:val="00A55066"/>
    <w:rsid w:val="00A5547A"/>
    <w:rsid w:val="00A564F1"/>
    <w:rsid w:val="00A57F45"/>
    <w:rsid w:val="00A6229C"/>
    <w:rsid w:val="00A624EB"/>
    <w:rsid w:val="00A646A1"/>
    <w:rsid w:val="00A65210"/>
    <w:rsid w:val="00A65F75"/>
    <w:rsid w:val="00A66EA6"/>
    <w:rsid w:val="00A71125"/>
    <w:rsid w:val="00A71CAB"/>
    <w:rsid w:val="00A75A9E"/>
    <w:rsid w:val="00A801EF"/>
    <w:rsid w:val="00A828F6"/>
    <w:rsid w:val="00A8396C"/>
    <w:rsid w:val="00A83B04"/>
    <w:rsid w:val="00A844EC"/>
    <w:rsid w:val="00A859D1"/>
    <w:rsid w:val="00A947E4"/>
    <w:rsid w:val="00A958BE"/>
    <w:rsid w:val="00A95C56"/>
    <w:rsid w:val="00A977AA"/>
    <w:rsid w:val="00AA283A"/>
    <w:rsid w:val="00AA4FCA"/>
    <w:rsid w:val="00AA518D"/>
    <w:rsid w:val="00AA5814"/>
    <w:rsid w:val="00AB7336"/>
    <w:rsid w:val="00AC3F35"/>
    <w:rsid w:val="00AC409C"/>
    <w:rsid w:val="00AC5DF5"/>
    <w:rsid w:val="00AC6042"/>
    <w:rsid w:val="00AC6510"/>
    <w:rsid w:val="00AD0BED"/>
    <w:rsid w:val="00AD0DA0"/>
    <w:rsid w:val="00AD35B6"/>
    <w:rsid w:val="00AD4411"/>
    <w:rsid w:val="00AD5728"/>
    <w:rsid w:val="00AD5F66"/>
    <w:rsid w:val="00AE6752"/>
    <w:rsid w:val="00AF0703"/>
    <w:rsid w:val="00AF270A"/>
    <w:rsid w:val="00AF47F2"/>
    <w:rsid w:val="00AF5F72"/>
    <w:rsid w:val="00B020BE"/>
    <w:rsid w:val="00B06FA1"/>
    <w:rsid w:val="00B10968"/>
    <w:rsid w:val="00B109C0"/>
    <w:rsid w:val="00B11FA2"/>
    <w:rsid w:val="00B12D4D"/>
    <w:rsid w:val="00B13ABF"/>
    <w:rsid w:val="00B209E8"/>
    <w:rsid w:val="00B23417"/>
    <w:rsid w:val="00B25A3B"/>
    <w:rsid w:val="00B26767"/>
    <w:rsid w:val="00B337A8"/>
    <w:rsid w:val="00B3510D"/>
    <w:rsid w:val="00B3587D"/>
    <w:rsid w:val="00B3677D"/>
    <w:rsid w:val="00B36A2E"/>
    <w:rsid w:val="00B37D28"/>
    <w:rsid w:val="00B412E1"/>
    <w:rsid w:val="00B4191D"/>
    <w:rsid w:val="00B476C5"/>
    <w:rsid w:val="00B51255"/>
    <w:rsid w:val="00B57D68"/>
    <w:rsid w:val="00B61694"/>
    <w:rsid w:val="00B649AC"/>
    <w:rsid w:val="00B65FAA"/>
    <w:rsid w:val="00B6710C"/>
    <w:rsid w:val="00B72000"/>
    <w:rsid w:val="00B72067"/>
    <w:rsid w:val="00B7446E"/>
    <w:rsid w:val="00B767D9"/>
    <w:rsid w:val="00B81561"/>
    <w:rsid w:val="00B82F5F"/>
    <w:rsid w:val="00B85190"/>
    <w:rsid w:val="00B90C9C"/>
    <w:rsid w:val="00B9590B"/>
    <w:rsid w:val="00B9593B"/>
    <w:rsid w:val="00B959E1"/>
    <w:rsid w:val="00BA335A"/>
    <w:rsid w:val="00BA7F78"/>
    <w:rsid w:val="00BB0B2F"/>
    <w:rsid w:val="00BB5CFA"/>
    <w:rsid w:val="00BC2C89"/>
    <w:rsid w:val="00BC4A4B"/>
    <w:rsid w:val="00BD0598"/>
    <w:rsid w:val="00BD152D"/>
    <w:rsid w:val="00BD4AB7"/>
    <w:rsid w:val="00BD4FD6"/>
    <w:rsid w:val="00BD5574"/>
    <w:rsid w:val="00BE1644"/>
    <w:rsid w:val="00BE225F"/>
    <w:rsid w:val="00BE2425"/>
    <w:rsid w:val="00BE32E0"/>
    <w:rsid w:val="00BE59BB"/>
    <w:rsid w:val="00BE66CF"/>
    <w:rsid w:val="00BE757E"/>
    <w:rsid w:val="00BF0527"/>
    <w:rsid w:val="00BF273B"/>
    <w:rsid w:val="00BF3219"/>
    <w:rsid w:val="00BF5C09"/>
    <w:rsid w:val="00C074E3"/>
    <w:rsid w:val="00C10AD3"/>
    <w:rsid w:val="00C129AD"/>
    <w:rsid w:val="00C2262B"/>
    <w:rsid w:val="00C24564"/>
    <w:rsid w:val="00C24E07"/>
    <w:rsid w:val="00C31907"/>
    <w:rsid w:val="00C321E9"/>
    <w:rsid w:val="00C3607F"/>
    <w:rsid w:val="00C36513"/>
    <w:rsid w:val="00C3668E"/>
    <w:rsid w:val="00C36D70"/>
    <w:rsid w:val="00C41EBD"/>
    <w:rsid w:val="00C42801"/>
    <w:rsid w:val="00C45EFC"/>
    <w:rsid w:val="00C461D2"/>
    <w:rsid w:val="00C47A4A"/>
    <w:rsid w:val="00C541B4"/>
    <w:rsid w:val="00C54A1C"/>
    <w:rsid w:val="00C55E40"/>
    <w:rsid w:val="00C61444"/>
    <w:rsid w:val="00C62DF8"/>
    <w:rsid w:val="00C62F30"/>
    <w:rsid w:val="00C63456"/>
    <w:rsid w:val="00C6413E"/>
    <w:rsid w:val="00C6543E"/>
    <w:rsid w:val="00C66A26"/>
    <w:rsid w:val="00C7082E"/>
    <w:rsid w:val="00C709E7"/>
    <w:rsid w:val="00C71695"/>
    <w:rsid w:val="00C71EFE"/>
    <w:rsid w:val="00C742FE"/>
    <w:rsid w:val="00C74969"/>
    <w:rsid w:val="00C77D97"/>
    <w:rsid w:val="00C82CC9"/>
    <w:rsid w:val="00C834DE"/>
    <w:rsid w:val="00C85172"/>
    <w:rsid w:val="00C85EB3"/>
    <w:rsid w:val="00C90CB6"/>
    <w:rsid w:val="00C93547"/>
    <w:rsid w:val="00C935A6"/>
    <w:rsid w:val="00C94FEF"/>
    <w:rsid w:val="00C953EB"/>
    <w:rsid w:val="00CA04C7"/>
    <w:rsid w:val="00CA2570"/>
    <w:rsid w:val="00CA422C"/>
    <w:rsid w:val="00CA6AD6"/>
    <w:rsid w:val="00CA6DD8"/>
    <w:rsid w:val="00CB0174"/>
    <w:rsid w:val="00CB4BA4"/>
    <w:rsid w:val="00CB5BAA"/>
    <w:rsid w:val="00CB6EE0"/>
    <w:rsid w:val="00CB7D7E"/>
    <w:rsid w:val="00CC0C15"/>
    <w:rsid w:val="00CC1699"/>
    <w:rsid w:val="00CC1D40"/>
    <w:rsid w:val="00CC2C54"/>
    <w:rsid w:val="00CC4A1A"/>
    <w:rsid w:val="00CD312D"/>
    <w:rsid w:val="00CE1406"/>
    <w:rsid w:val="00CE16E9"/>
    <w:rsid w:val="00CE3D17"/>
    <w:rsid w:val="00CE5840"/>
    <w:rsid w:val="00CE6536"/>
    <w:rsid w:val="00CF09D2"/>
    <w:rsid w:val="00CF6061"/>
    <w:rsid w:val="00D065DD"/>
    <w:rsid w:val="00D07CD5"/>
    <w:rsid w:val="00D10E51"/>
    <w:rsid w:val="00D142AD"/>
    <w:rsid w:val="00D14F8C"/>
    <w:rsid w:val="00D1567D"/>
    <w:rsid w:val="00D15A34"/>
    <w:rsid w:val="00D207D7"/>
    <w:rsid w:val="00D21749"/>
    <w:rsid w:val="00D2397E"/>
    <w:rsid w:val="00D26B63"/>
    <w:rsid w:val="00D27042"/>
    <w:rsid w:val="00D338C1"/>
    <w:rsid w:val="00D34478"/>
    <w:rsid w:val="00D37F75"/>
    <w:rsid w:val="00D42E89"/>
    <w:rsid w:val="00D44DE2"/>
    <w:rsid w:val="00D4553A"/>
    <w:rsid w:val="00D46A31"/>
    <w:rsid w:val="00D47EC4"/>
    <w:rsid w:val="00D5027A"/>
    <w:rsid w:val="00D506E5"/>
    <w:rsid w:val="00D55543"/>
    <w:rsid w:val="00D5576B"/>
    <w:rsid w:val="00D5601E"/>
    <w:rsid w:val="00D561FD"/>
    <w:rsid w:val="00D603BC"/>
    <w:rsid w:val="00D62902"/>
    <w:rsid w:val="00D63792"/>
    <w:rsid w:val="00D64066"/>
    <w:rsid w:val="00D64758"/>
    <w:rsid w:val="00D66085"/>
    <w:rsid w:val="00D661BF"/>
    <w:rsid w:val="00D70B59"/>
    <w:rsid w:val="00D71B2C"/>
    <w:rsid w:val="00D727E2"/>
    <w:rsid w:val="00D7424A"/>
    <w:rsid w:val="00D76EB6"/>
    <w:rsid w:val="00D83D81"/>
    <w:rsid w:val="00D86489"/>
    <w:rsid w:val="00D86E1C"/>
    <w:rsid w:val="00D87632"/>
    <w:rsid w:val="00D87FA3"/>
    <w:rsid w:val="00D93DED"/>
    <w:rsid w:val="00D94A6A"/>
    <w:rsid w:val="00D97792"/>
    <w:rsid w:val="00DA1E4A"/>
    <w:rsid w:val="00DA297D"/>
    <w:rsid w:val="00DA4167"/>
    <w:rsid w:val="00DA53DE"/>
    <w:rsid w:val="00DA5A4B"/>
    <w:rsid w:val="00DA76CF"/>
    <w:rsid w:val="00DB1330"/>
    <w:rsid w:val="00DB3340"/>
    <w:rsid w:val="00DB3BD9"/>
    <w:rsid w:val="00DB465A"/>
    <w:rsid w:val="00DC09BB"/>
    <w:rsid w:val="00DC0FCA"/>
    <w:rsid w:val="00DD2406"/>
    <w:rsid w:val="00DD5201"/>
    <w:rsid w:val="00DD54D5"/>
    <w:rsid w:val="00DD5D85"/>
    <w:rsid w:val="00DE602C"/>
    <w:rsid w:val="00DE7DBB"/>
    <w:rsid w:val="00DF084B"/>
    <w:rsid w:val="00DF4EAE"/>
    <w:rsid w:val="00DF7192"/>
    <w:rsid w:val="00E0355B"/>
    <w:rsid w:val="00E04C16"/>
    <w:rsid w:val="00E053B3"/>
    <w:rsid w:val="00E05ED1"/>
    <w:rsid w:val="00E06004"/>
    <w:rsid w:val="00E17F42"/>
    <w:rsid w:val="00E2282C"/>
    <w:rsid w:val="00E261A7"/>
    <w:rsid w:val="00E30852"/>
    <w:rsid w:val="00E31272"/>
    <w:rsid w:val="00E32133"/>
    <w:rsid w:val="00E35647"/>
    <w:rsid w:val="00E37CD4"/>
    <w:rsid w:val="00E41C3E"/>
    <w:rsid w:val="00E43BFF"/>
    <w:rsid w:val="00E51B7D"/>
    <w:rsid w:val="00E53FAF"/>
    <w:rsid w:val="00E54532"/>
    <w:rsid w:val="00E6186A"/>
    <w:rsid w:val="00E63BFF"/>
    <w:rsid w:val="00E64BC4"/>
    <w:rsid w:val="00E70AE9"/>
    <w:rsid w:val="00E71C4A"/>
    <w:rsid w:val="00E738BE"/>
    <w:rsid w:val="00E74A03"/>
    <w:rsid w:val="00E75641"/>
    <w:rsid w:val="00E75F4B"/>
    <w:rsid w:val="00E77A79"/>
    <w:rsid w:val="00E81055"/>
    <w:rsid w:val="00E816E1"/>
    <w:rsid w:val="00E82C2E"/>
    <w:rsid w:val="00E85BCF"/>
    <w:rsid w:val="00E865D3"/>
    <w:rsid w:val="00E875BC"/>
    <w:rsid w:val="00E905F6"/>
    <w:rsid w:val="00E91F8C"/>
    <w:rsid w:val="00E94437"/>
    <w:rsid w:val="00E94756"/>
    <w:rsid w:val="00E967CC"/>
    <w:rsid w:val="00E96F01"/>
    <w:rsid w:val="00EA1D6A"/>
    <w:rsid w:val="00EA21FF"/>
    <w:rsid w:val="00EA45B2"/>
    <w:rsid w:val="00EA7BE6"/>
    <w:rsid w:val="00EB2170"/>
    <w:rsid w:val="00EB345D"/>
    <w:rsid w:val="00EB4783"/>
    <w:rsid w:val="00EB54BC"/>
    <w:rsid w:val="00EB69FC"/>
    <w:rsid w:val="00EC2785"/>
    <w:rsid w:val="00EC3516"/>
    <w:rsid w:val="00EC5103"/>
    <w:rsid w:val="00ED5645"/>
    <w:rsid w:val="00EE045A"/>
    <w:rsid w:val="00EF0135"/>
    <w:rsid w:val="00EF1676"/>
    <w:rsid w:val="00EF52D9"/>
    <w:rsid w:val="00F00C93"/>
    <w:rsid w:val="00F07491"/>
    <w:rsid w:val="00F10B6D"/>
    <w:rsid w:val="00F145DD"/>
    <w:rsid w:val="00F14DF5"/>
    <w:rsid w:val="00F178F8"/>
    <w:rsid w:val="00F2569E"/>
    <w:rsid w:val="00F262FC"/>
    <w:rsid w:val="00F27A27"/>
    <w:rsid w:val="00F31424"/>
    <w:rsid w:val="00F33895"/>
    <w:rsid w:val="00F34385"/>
    <w:rsid w:val="00F35E4B"/>
    <w:rsid w:val="00F3730A"/>
    <w:rsid w:val="00F4345F"/>
    <w:rsid w:val="00F4695E"/>
    <w:rsid w:val="00F47E2C"/>
    <w:rsid w:val="00F531A2"/>
    <w:rsid w:val="00F56A7F"/>
    <w:rsid w:val="00F56B4E"/>
    <w:rsid w:val="00F57457"/>
    <w:rsid w:val="00F62D26"/>
    <w:rsid w:val="00F6344D"/>
    <w:rsid w:val="00F63501"/>
    <w:rsid w:val="00F64D03"/>
    <w:rsid w:val="00F6588D"/>
    <w:rsid w:val="00F71F5C"/>
    <w:rsid w:val="00F72672"/>
    <w:rsid w:val="00F7286B"/>
    <w:rsid w:val="00F818F1"/>
    <w:rsid w:val="00F841D1"/>
    <w:rsid w:val="00F84AFD"/>
    <w:rsid w:val="00F85602"/>
    <w:rsid w:val="00F877B7"/>
    <w:rsid w:val="00F93B13"/>
    <w:rsid w:val="00F971D1"/>
    <w:rsid w:val="00F97236"/>
    <w:rsid w:val="00FA12A8"/>
    <w:rsid w:val="00FA4328"/>
    <w:rsid w:val="00FA526F"/>
    <w:rsid w:val="00FA5323"/>
    <w:rsid w:val="00FA5682"/>
    <w:rsid w:val="00FA5704"/>
    <w:rsid w:val="00FA749B"/>
    <w:rsid w:val="00FA776A"/>
    <w:rsid w:val="00FB01FF"/>
    <w:rsid w:val="00FB27B3"/>
    <w:rsid w:val="00FB5254"/>
    <w:rsid w:val="00FB5C7C"/>
    <w:rsid w:val="00FB62A3"/>
    <w:rsid w:val="00FB6BBD"/>
    <w:rsid w:val="00FB750C"/>
    <w:rsid w:val="00FC2369"/>
    <w:rsid w:val="00FC39C2"/>
    <w:rsid w:val="00FC528D"/>
    <w:rsid w:val="00FC52DE"/>
    <w:rsid w:val="00FC7964"/>
    <w:rsid w:val="00FC7EB6"/>
    <w:rsid w:val="00FD2F34"/>
    <w:rsid w:val="00FD3CAF"/>
    <w:rsid w:val="00FD5024"/>
    <w:rsid w:val="00FD5CBF"/>
    <w:rsid w:val="00FE1F06"/>
    <w:rsid w:val="00FF022A"/>
    <w:rsid w:val="00FF1203"/>
    <w:rsid w:val="00FF1BC2"/>
    <w:rsid w:val="00FF2312"/>
    <w:rsid w:val="00FF3F7A"/>
    <w:rsid w:val="00FF4280"/>
    <w:rsid w:val="00FF699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23F58-8F98-4352-A780-09DAFD78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1F4"/>
    <w:pPr>
      <w:ind w:left="720"/>
      <w:contextualSpacing/>
    </w:pPr>
  </w:style>
  <w:style w:type="paragraph" w:styleId="Header">
    <w:name w:val="header"/>
    <w:basedOn w:val="Normal"/>
    <w:link w:val="HeaderChar"/>
    <w:uiPriority w:val="99"/>
    <w:unhideWhenUsed/>
    <w:rsid w:val="00FF4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280"/>
  </w:style>
  <w:style w:type="paragraph" w:styleId="Footer">
    <w:name w:val="footer"/>
    <w:basedOn w:val="Normal"/>
    <w:link w:val="FooterChar"/>
    <w:uiPriority w:val="99"/>
    <w:unhideWhenUsed/>
    <w:rsid w:val="00FF4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280"/>
  </w:style>
  <w:style w:type="character" w:styleId="PlaceholderText">
    <w:name w:val="Placeholder Text"/>
    <w:basedOn w:val="DefaultParagraphFont"/>
    <w:uiPriority w:val="99"/>
    <w:semiHidden/>
    <w:rsid w:val="00E71C4A"/>
    <w:rPr>
      <w:color w:val="808080"/>
    </w:rPr>
  </w:style>
  <w:style w:type="paragraph" w:styleId="FootnoteText">
    <w:name w:val="footnote text"/>
    <w:basedOn w:val="Normal"/>
    <w:link w:val="FootnoteTextChar"/>
    <w:uiPriority w:val="99"/>
    <w:semiHidden/>
    <w:unhideWhenUsed/>
    <w:rsid w:val="00F434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45F"/>
    <w:rPr>
      <w:sz w:val="20"/>
      <w:szCs w:val="20"/>
    </w:rPr>
  </w:style>
  <w:style w:type="character" w:styleId="FootnoteReference">
    <w:name w:val="footnote reference"/>
    <w:basedOn w:val="DefaultParagraphFont"/>
    <w:uiPriority w:val="99"/>
    <w:semiHidden/>
    <w:unhideWhenUsed/>
    <w:rsid w:val="00F4345F"/>
    <w:rPr>
      <w:vertAlign w:val="superscript"/>
    </w:rPr>
  </w:style>
  <w:style w:type="paragraph" w:styleId="BalloonText">
    <w:name w:val="Balloon Text"/>
    <w:basedOn w:val="Normal"/>
    <w:link w:val="BalloonTextChar"/>
    <w:uiPriority w:val="99"/>
    <w:semiHidden/>
    <w:unhideWhenUsed/>
    <w:rsid w:val="00824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CF7C3-4746-47ED-82AB-00D2B58A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9001</Words>
  <Characters>51307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Kudya</dc:creator>
  <cp:keywords/>
  <dc:description/>
  <cp:lastModifiedBy>JSC</cp:lastModifiedBy>
  <cp:revision>2</cp:revision>
  <cp:lastPrinted>2020-02-13T13:33:00Z</cp:lastPrinted>
  <dcterms:created xsi:type="dcterms:W3CDTF">2020-02-17T06:05:00Z</dcterms:created>
  <dcterms:modified xsi:type="dcterms:W3CDTF">2020-02-17T06:05:00Z</dcterms:modified>
</cp:coreProperties>
</file>