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0EF" w:rsidRPr="0035670B" w:rsidRDefault="00F030EF">
      <w:bookmarkStart w:id="0" w:name="_GoBack"/>
      <w:bookmarkEnd w:id="0"/>
      <w:r w:rsidRPr="00F030EF">
        <w:rPr>
          <w:rFonts w:ascii="Times New Roman" w:hAnsi="Times New Roman" w:cs="Times New Roman"/>
          <w:sz w:val="24"/>
          <w:szCs w:val="24"/>
        </w:rPr>
        <w:tab/>
      </w:r>
      <w:r w:rsidRPr="00F030EF">
        <w:rPr>
          <w:rFonts w:ascii="Times New Roman" w:hAnsi="Times New Roman" w:cs="Times New Roman"/>
          <w:sz w:val="24"/>
          <w:szCs w:val="24"/>
        </w:rPr>
        <w:tab/>
      </w:r>
      <w:r w:rsidRPr="00F030EF">
        <w:rPr>
          <w:rFonts w:ascii="Times New Roman" w:hAnsi="Times New Roman" w:cs="Times New Roman"/>
          <w:sz w:val="24"/>
          <w:szCs w:val="24"/>
        </w:rPr>
        <w:tab/>
      </w:r>
      <w:r w:rsidRPr="00F030EF">
        <w:rPr>
          <w:rFonts w:ascii="Times New Roman" w:hAnsi="Times New Roman" w:cs="Times New Roman"/>
          <w:sz w:val="24"/>
          <w:szCs w:val="24"/>
        </w:rPr>
        <w:tab/>
      </w:r>
      <w:r w:rsidRPr="00F030EF">
        <w:rPr>
          <w:rFonts w:ascii="Times New Roman" w:hAnsi="Times New Roman" w:cs="Times New Roman"/>
          <w:sz w:val="24"/>
          <w:szCs w:val="24"/>
        </w:rPr>
        <w:tab/>
      </w:r>
      <w:r w:rsidRPr="00F030EF">
        <w:rPr>
          <w:rFonts w:ascii="Times New Roman" w:hAnsi="Times New Roman" w:cs="Times New Roman"/>
          <w:sz w:val="24"/>
          <w:szCs w:val="24"/>
        </w:rPr>
        <w:tab/>
      </w:r>
      <w:r w:rsidRPr="00F030EF">
        <w:rPr>
          <w:rFonts w:ascii="Times New Roman" w:hAnsi="Times New Roman" w:cs="Times New Roman"/>
          <w:sz w:val="24"/>
          <w:szCs w:val="24"/>
        </w:rPr>
        <w:tab/>
      </w:r>
      <w:r w:rsidRPr="00F030EF">
        <w:rPr>
          <w:rFonts w:ascii="Times New Roman" w:hAnsi="Times New Roman" w:cs="Times New Roman"/>
          <w:sz w:val="24"/>
          <w:szCs w:val="24"/>
        </w:rPr>
        <w:tab/>
      </w:r>
      <w:r w:rsidRPr="00F030EF">
        <w:rPr>
          <w:rFonts w:ascii="Times New Roman" w:hAnsi="Times New Roman" w:cs="Times New Roman"/>
          <w:sz w:val="24"/>
          <w:szCs w:val="24"/>
        </w:rPr>
        <w:tab/>
      </w:r>
      <w:r w:rsidRPr="00F030EF">
        <w:rPr>
          <w:rFonts w:ascii="Times New Roman" w:hAnsi="Times New Roman" w:cs="Times New Roman"/>
          <w:sz w:val="24"/>
          <w:szCs w:val="24"/>
        </w:rPr>
        <w:tab/>
      </w:r>
      <w:r w:rsidRPr="00F030EF">
        <w:rPr>
          <w:rFonts w:ascii="Times New Roman" w:hAnsi="Times New Roman" w:cs="Times New Roman"/>
          <w:sz w:val="24"/>
          <w:szCs w:val="24"/>
        </w:rPr>
        <w:tab/>
      </w:r>
    </w:p>
    <w:p w:rsidR="00F030EF" w:rsidRPr="00F030EF" w:rsidRDefault="00A77431" w:rsidP="003E646D">
      <w:pPr>
        <w:spacing w:after="0" w:line="240" w:lineRule="auto"/>
        <w:rPr>
          <w:rFonts w:ascii="Times New Roman" w:hAnsi="Times New Roman" w:cs="Times New Roman"/>
          <w:sz w:val="24"/>
          <w:szCs w:val="24"/>
        </w:rPr>
      </w:pPr>
      <w:r>
        <w:rPr>
          <w:rFonts w:ascii="Times New Roman" w:hAnsi="Times New Roman" w:cs="Times New Roman"/>
          <w:sz w:val="24"/>
          <w:szCs w:val="24"/>
        </w:rPr>
        <w:t>LFC</w:t>
      </w:r>
      <w:r w:rsidR="00F030EF" w:rsidRPr="00F030EF">
        <w:rPr>
          <w:rFonts w:ascii="Times New Roman" w:hAnsi="Times New Roman" w:cs="Times New Roman"/>
          <w:sz w:val="24"/>
          <w:szCs w:val="24"/>
        </w:rPr>
        <w:t xml:space="preserve"> ZIMBABWE LTD</w:t>
      </w:r>
    </w:p>
    <w:p w:rsidR="00F030EF" w:rsidRPr="00F030EF" w:rsidRDefault="00F030EF" w:rsidP="003E646D">
      <w:pPr>
        <w:spacing w:after="0" w:line="240" w:lineRule="auto"/>
        <w:rPr>
          <w:rFonts w:ascii="Times New Roman" w:hAnsi="Times New Roman" w:cs="Times New Roman"/>
          <w:sz w:val="24"/>
          <w:szCs w:val="24"/>
        </w:rPr>
      </w:pPr>
      <w:r w:rsidRPr="00F030EF">
        <w:rPr>
          <w:rFonts w:ascii="Times New Roman" w:hAnsi="Times New Roman" w:cs="Times New Roman"/>
          <w:sz w:val="24"/>
          <w:szCs w:val="24"/>
        </w:rPr>
        <w:t>versus</w:t>
      </w:r>
    </w:p>
    <w:p w:rsidR="00F030EF" w:rsidRDefault="00F030EF" w:rsidP="003E646D">
      <w:pPr>
        <w:spacing w:after="0" w:line="240" w:lineRule="auto"/>
        <w:rPr>
          <w:rFonts w:ascii="Times New Roman" w:hAnsi="Times New Roman" w:cs="Times New Roman"/>
          <w:sz w:val="24"/>
          <w:szCs w:val="24"/>
        </w:rPr>
      </w:pPr>
      <w:r w:rsidRPr="00F030EF">
        <w:rPr>
          <w:rFonts w:ascii="Times New Roman" w:hAnsi="Times New Roman" w:cs="Times New Roman"/>
          <w:sz w:val="24"/>
          <w:szCs w:val="24"/>
        </w:rPr>
        <w:t>ZIMBABWE REVENUE AUTHORITY</w:t>
      </w:r>
    </w:p>
    <w:p w:rsidR="00F030EF" w:rsidRDefault="00F030EF">
      <w:pPr>
        <w:rPr>
          <w:rFonts w:ascii="Times New Roman" w:hAnsi="Times New Roman" w:cs="Times New Roman"/>
          <w:sz w:val="24"/>
          <w:szCs w:val="24"/>
        </w:rPr>
      </w:pPr>
    </w:p>
    <w:p w:rsidR="003E646D" w:rsidRDefault="003E646D">
      <w:pPr>
        <w:rPr>
          <w:rFonts w:ascii="Times New Roman" w:hAnsi="Times New Roman" w:cs="Times New Roman"/>
          <w:sz w:val="24"/>
          <w:szCs w:val="24"/>
        </w:rPr>
      </w:pPr>
    </w:p>
    <w:p w:rsidR="00F030EF" w:rsidRDefault="00F030EF" w:rsidP="003E646D">
      <w:pPr>
        <w:spacing w:after="0" w:line="240" w:lineRule="auto"/>
        <w:rPr>
          <w:rFonts w:ascii="Times New Roman" w:hAnsi="Times New Roman" w:cs="Times New Roman"/>
          <w:sz w:val="24"/>
          <w:szCs w:val="24"/>
        </w:rPr>
      </w:pPr>
      <w:r>
        <w:rPr>
          <w:rFonts w:ascii="Times New Roman" w:hAnsi="Times New Roman" w:cs="Times New Roman"/>
          <w:sz w:val="24"/>
          <w:szCs w:val="24"/>
        </w:rPr>
        <w:t>SPECIAL COURT FOR INCOME TAX APPEALS</w:t>
      </w:r>
    </w:p>
    <w:p w:rsidR="00F030EF" w:rsidRDefault="00F030EF" w:rsidP="003E646D">
      <w:pPr>
        <w:spacing w:after="0" w:line="240" w:lineRule="auto"/>
        <w:rPr>
          <w:rFonts w:ascii="Times New Roman" w:hAnsi="Times New Roman" w:cs="Times New Roman"/>
          <w:sz w:val="24"/>
          <w:szCs w:val="24"/>
        </w:rPr>
      </w:pPr>
      <w:r>
        <w:rPr>
          <w:rFonts w:ascii="Times New Roman" w:hAnsi="Times New Roman" w:cs="Times New Roman"/>
          <w:sz w:val="24"/>
          <w:szCs w:val="24"/>
        </w:rPr>
        <w:t>KUDYA J</w:t>
      </w:r>
    </w:p>
    <w:p w:rsidR="00F030EF" w:rsidRDefault="00F030EF" w:rsidP="003E646D">
      <w:pPr>
        <w:spacing w:after="0" w:line="240" w:lineRule="auto"/>
        <w:rPr>
          <w:rFonts w:ascii="Times New Roman" w:hAnsi="Times New Roman" w:cs="Times New Roman"/>
          <w:sz w:val="24"/>
          <w:szCs w:val="24"/>
        </w:rPr>
      </w:pPr>
      <w:r>
        <w:rPr>
          <w:rFonts w:ascii="Times New Roman" w:hAnsi="Times New Roman" w:cs="Times New Roman"/>
          <w:sz w:val="24"/>
          <w:szCs w:val="24"/>
        </w:rPr>
        <w:t>HARARE</w:t>
      </w:r>
      <w:r w:rsidR="002D50DF">
        <w:rPr>
          <w:rFonts w:ascii="Times New Roman" w:hAnsi="Times New Roman" w:cs="Times New Roman"/>
          <w:sz w:val="24"/>
          <w:szCs w:val="24"/>
        </w:rPr>
        <w:t>, 7 and 11</w:t>
      </w:r>
      <w:r>
        <w:rPr>
          <w:rFonts w:ascii="Times New Roman" w:hAnsi="Times New Roman" w:cs="Times New Roman"/>
          <w:sz w:val="24"/>
          <w:szCs w:val="24"/>
        </w:rPr>
        <w:t xml:space="preserve"> June </w:t>
      </w:r>
      <w:r w:rsidR="008E01A8">
        <w:rPr>
          <w:rFonts w:ascii="Times New Roman" w:hAnsi="Times New Roman" w:cs="Times New Roman"/>
          <w:sz w:val="24"/>
          <w:szCs w:val="24"/>
        </w:rPr>
        <w:t>2018 and 13</w:t>
      </w:r>
      <w:r w:rsidR="002D50DF">
        <w:rPr>
          <w:rFonts w:ascii="Times New Roman" w:hAnsi="Times New Roman" w:cs="Times New Roman"/>
          <w:sz w:val="24"/>
          <w:szCs w:val="24"/>
        </w:rPr>
        <w:t xml:space="preserve"> March 2020</w:t>
      </w:r>
    </w:p>
    <w:p w:rsidR="002D50DF" w:rsidRDefault="002D50DF">
      <w:pPr>
        <w:rPr>
          <w:rFonts w:ascii="Times New Roman" w:hAnsi="Times New Roman" w:cs="Times New Roman"/>
          <w:b/>
          <w:sz w:val="24"/>
          <w:szCs w:val="24"/>
        </w:rPr>
      </w:pPr>
    </w:p>
    <w:p w:rsidR="002D50DF" w:rsidRDefault="002D50DF">
      <w:pPr>
        <w:rPr>
          <w:rFonts w:ascii="Times New Roman" w:hAnsi="Times New Roman" w:cs="Times New Roman"/>
          <w:b/>
          <w:sz w:val="24"/>
          <w:szCs w:val="24"/>
        </w:rPr>
      </w:pPr>
      <w:r>
        <w:rPr>
          <w:rFonts w:ascii="Times New Roman" w:hAnsi="Times New Roman" w:cs="Times New Roman"/>
          <w:b/>
          <w:sz w:val="24"/>
          <w:szCs w:val="24"/>
        </w:rPr>
        <w:t>Income Tax Appeal</w:t>
      </w:r>
    </w:p>
    <w:p w:rsidR="002D50DF" w:rsidRDefault="002D50DF">
      <w:pPr>
        <w:rPr>
          <w:rFonts w:ascii="Times New Roman" w:hAnsi="Times New Roman" w:cs="Times New Roman"/>
          <w:b/>
          <w:sz w:val="24"/>
          <w:szCs w:val="24"/>
        </w:rPr>
      </w:pPr>
    </w:p>
    <w:p w:rsidR="002D50DF" w:rsidRDefault="002D50DF" w:rsidP="003E646D">
      <w:pPr>
        <w:spacing w:after="0"/>
        <w:rPr>
          <w:rFonts w:ascii="Times New Roman" w:hAnsi="Times New Roman" w:cs="Times New Roman"/>
          <w:sz w:val="24"/>
          <w:szCs w:val="24"/>
        </w:rPr>
      </w:pPr>
      <w:r>
        <w:rPr>
          <w:rFonts w:ascii="Times New Roman" w:hAnsi="Times New Roman" w:cs="Times New Roman"/>
          <w:i/>
          <w:sz w:val="24"/>
          <w:szCs w:val="24"/>
        </w:rPr>
        <w:t xml:space="preserve">AP de Bourbon, </w:t>
      </w:r>
      <w:r>
        <w:rPr>
          <w:rFonts w:ascii="Times New Roman" w:hAnsi="Times New Roman" w:cs="Times New Roman"/>
          <w:sz w:val="24"/>
          <w:szCs w:val="24"/>
        </w:rPr>
        <w:t>for the appellant</w:t>
      </w:r>
    </w:p>
    <w:p w:rsidR="002D50DF" w:rsidRDefault="002D50DF" w:rsidP="003E646D">
      <w:pPr>
        <w:spacing w:after="0"/>
        <w:rPr>
          <w:rFonts w:ascii="Times New Roman" w:hAnsi="Times New Roman" w:cs="Times New Roman"/>
          <w:sz w:val="24"/>
          <w:szCs w:val="24"/>
        </w:rPr>
      </w:pPr>
      <w:r>
        <w:rPr>
          <w:rFonts w:ascii="Times New Roman" w:hAnsi="Times New Roman" w:cs="Times New Roman"/>
          <w:i/>
          <w:sz w:val="24"/>
          <w:szCs w:val="24"/>
        </w:rPr>
        <w:t xml:space="preserve">S Bhebhe, </w:t>
      </w:r>
      <w:r>
        <w:rPr>
          <w:rFonts w:ascii="Times New Roman" w:hAnsi="Times New Roman" w:cs="Times New Roman"/>
          <w:sz w:val="24"/>
          <w:szCs w:val="24"/>
        </w:rPr>
        <w:t>for the respondent</w:t>
      </w:r>
    </w:p>
    <w:p w:rsidR="003E646D" w:rsidRDefault="003E646D" w:rsidP="003E646D">
      <w:pPr>
        <w:spacing w:after="0"/>
        <w:rPr>
          <w:rFonts w:ascii="Times New Roman" w:hAnsi="Times New Roman" w:cs="Times New Roman"/>
          <w:sz w:val="24"/>
          <w:szCs w:val="24"/>
        </w:rPr>
      </w:pPr>
    </w:p>
    <w:p w:rsidR="00E311E8" w:rsidRDefault="00E311E8" w:rsidP="003E64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KUDYA J: </w:t>
      </w:r>
      <w:r w:rsidR="00BB2032">
        <w:rPr>
          <w:rFonts w:ascii="Times New Roman" w:hAnsi="Times New Roman" w:cs="Times New Roman"/>
          <w:sz w:val="24"/>
          <w:szCs w:val="24"/>
        </w:rPr>
        <w:t xml:space="preserve">This appeal relates to the tax years ending 31 December </w:t>
      </w:r>
      <w:r w:rsidR="0081533C">
        <w:rPr>
          <w:rFonts w:ascii="Times New Roman" w:hAnsi="Times New Roman" w:cs="Times New Roman"/>
          <w:sz w:val="24"/>
          <w:szCs w:val="24"/>
        </w:rPr>
        <w:t>2009, 2010, 2011,</w:t>
      </w:r>
      <w:r w:rsidR="00BB2032">
        <w:rPr>
          <w:rFonts w:ascii="Times New Roman" w:hAnsi="Times New Roman" w:cs="Times New Roman"/>
          <w:sz w:val="24"/>
          <w:szCs w:val="24"/>
        </w:rPr>
        <w:t xml:space="preserve"> 2012</w:t>
      </w:r>
      <w:r w:rsidR="0081533C">
        <w:rPr>
          <w:rFonts w:ascii="Times New Roman" w:hAnsi="Times New Roman" w:cs="Times New Roman"/>
          <w:sz w:val="24"/>
          <w:szCs w:val="24"/>
        </w:rPr>
        <w:t xml:space="preserve"> and 2013</w:t>
      </w:r>
      <w:r w:rsidR="00BB2032">
        <w:rPr>
          <w:rFonts w:ascii="Times New Roman" w:hAnsi="Times New Roman" w:cs="Times New Roman"/>
          <w:sz w:val="24"/>
          <w:szCs w:val="24"/>
        </w:rPr>
        <w:t xml:space="preserve">. </w:t>
      </w:r>
      <w:r w:rsidR="0034160F">
        <w:rPr>
          <w:rFonts w:ascii="Times New Roman" w:hAnsi="Times New Roman" w:cs="Times New Roman"/>
          <w:sz w:val="24"/>
          <w:szCs w:val="24"/>
        </w:rPr>
        <w:t>At the commencement of the appeal hearing, the appellant abandoned three of the eight issues that had been referred for determination at the pre-trial hearing of 23 February 2018. The re</w:t>
      </w:r>
      <w:r w:rsidR="00451039">
        <w:rPr>
          <w:rFonts w:ascii="Times New Roman" w:hAnsi="Times New Roman" w:cs="Times New Roman"/>
          <w:sz w:val="24"/>
          <w:szCs w:val="24"/>
        </w:rPr>
        <w:t>maining issues</w:t>
      </w:r>
      <w:r w:rsidR="0034160F">
        <w:rPr>
          <w:rFonts w:ascii="Times New Roman" w:hAnsi="Times New Roman" w:cs="Times New Roman"/>
          <w:sz w:val="24"/>
          <w:szCs w:val="24"/>
        </w:rPr>
        <w:t xml:space="preserve"> concerned the deductibility of “master branding fees”, consumable spare parts that were unutilised at the tax year end, quarry overburden expenses and computer software from the income of the appellant and the propriety of levying any measure of penalty against the appellant.   </w:t>
      </w:r>
    </w:p>
    <w:p w:rsidR="00D139DA" w:rsidRDefault="006E5D2B" w:rsidP="003E646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appellant called the evidence of an expert witness</w:t>
      </w:r>
      <w:r w:rsidR="00C51323">
        <w:rPr>
          <w:rFonts w:ascii="Times New Roman" w:hAnsi="Times New Roman" w:cs="Times New Roman"/>
          <w:sz w:val="24"/>
          <w:szCs w:val="24"/>
        </w:rPr>
        <w:t xml:space="preserve">, </w:t>
      </w:r>
      <w:r w:rsidR="008D6637">
        <w:rPr>
          <w:rFonts w:ascii="Times New Roman" w:hAnsi="Times New Roman" w:cs="Times New Roman"/>
          <w:sz w:val="24"/>
          <w:szCs w:val="24"/>
        </w:rPr>
        <w:t>with 50 years</w:t>
      </w:r>
      <w:r w:rsidR="00451039">
        <w:rPr>
          <w:rFonts w:ascii="Times New Roman" w:hAnsi="Times New Roman" w:cs="Times New Roman"/>
          <w:sz w:val="24"/>
          <w:szCs w:val="24"/>
        </w:rPr>
        <w:t xml:space="preserve"> experience in the local, regional and international advertising, </w:t>
      </w:r>
      <w:r w:rsidR="00C51323">
        <w:rPr>
          <w:rFonts w:ascii="Times New Roman" w:hAnsi="Times New Roman" w:cs="Times New Roman"/>
          <w:sz w:val="24"/>
          <w:szCs w:val="24"/>
        </w:rPr>
        <w:t xml:space="preserve">marketing </w:t>
      </w:r>
      <w:r w:rsidR="00451039">
        <w:rPr>
          <w:rFonts w:ascii="Times New Roman" w:hAnsi="Times New Roman" w:cs="Times New Roman"/>
          <w:sz w:val="24"/>
          <w:szCs w:val="24"/>
        </w:rPr>
        <w:t xml:space="preserve">and branding industry, </w:t>
      </w:r>
      <w:r>
        <w:rPr>
          <w:rFonts w:ascii="Times New Roman" w:hAnsi="Times New Roman" w:cs="Times New Roman"/>
          <w:sz w:val="24"/>
          <w:szCs w:val="24"/>
        </w:rPr>
        <w:t>on t</w:t>
      </w:r>
      <w:r w:rsidR="00451039">
        <w:rPr>
          <w:rFonts w:ascii="Times New Roman" w:hAnsi="Times New Roman" w:cs="Times New Roman"/>
          <w:sz w:val="24"/>
          <w:szCs w:val="24"/>
        </w:rPr>
        <w:t>he issue of master branding</w:t>
      </w:r>
      <w:r>
        <w:rPr>
          <w:rFonts w:ascii="Times New Roman" w:hAnsi="Times New Roman" w:cs="Times New Roman"/>
          <w:sz w:val="24"/>
          <w:szCs w:val="24"/>
        </w:rPr>
        <w:t xml:space="preserve"> and produced fairly bulky documentary exhibits, which were marked as exhibit 1 and 2, respectively. The facts pertaining to the other four issues were common ground. The respondent did not call any evidence but relied</w:t>
      </w:r>
      <w:r w:rsidR="00C8683C">
        <w:rPr>
          <w:rFonts w:ascii="Times New Roman" w:hAnsi="Times New Roman" w:cs="Times New Roman"/>
          <w:sz w:val="24"/>
          <w:szCs w:val="24"/>
        </w:rPr>
        <w:t xml:space="preserve"> on the common cause facts contain</w:t>
      </w:r>
      <w:r>
        <w:rPr>
          <w:rFonts w:ascii="Times New Roman" w:hAnsi="Times New Roman" w:cs="Times New Roman"/>
          <w:sz w:val="24"/>
          <w:szCs w:val="24"/>
        </w:rPr>
        <w:t xml:space="preserve">ed in the pleadings and the r 11 documents. </w:t>
      </w:r>
    </w:p>
    <w:p w:rsidR="00AD4EB5" w:rsidRPr="00D139DA" w:rsidRDefault="006A6E1C" w:rsidP="00D139DA">
      <w:pPr>
        <w:jc w:val="both"/>
        <w:rPr>
          <w:rFonts w:ascii="Times New Roman" w:hAnsi="Times New Roman" w:cs="Times New Roman"/>
          <w:sz w:val="24"/>
          <w:szCs w:val="24"/>
        </w:rPr>
      </w:pPr>
      <w:r w:rsidRPr="006A6E1C">
        <w:rPr>
          <w:rFonts w:ascii="Times New Roman" w:hAnsi="Times New Roman" w:cs="Times New Roman"/>
          <w:sz w:val="24"/>
          <w:szCs w:val="24"/>
          <w:u w:val="single"/>
        </w:rPr>
        <w:t>The background</w:t>
      </w:r>
    </w:p>
    <w:p w:rsidR="00603635" w:rsidRDefault="00AD4EB5" w:rsidP="003E646D">
      <w:pPr>
        <w:spacing w:after="0" w:line="360" w:lineRule="auto"/>
        <w:ind w:firstLine="720"/>
        <w:jc w:val="both"/>
        <w:rPr>
          <w:rFonts w:ascii="Times New Roman" w:hAnsi="Times New Roman" w:cs="Times New Roman"/>
          <w:b/>
          <w:sz w:val="24"/>
          <w:szCs w:val="24"/>
          <w:u w:val="single"/>
        </w:rPr>
      </w:pPr>
      <w:r>
        <w:rPr>
          <w:rFonts w:ascii="Times New Roman" w:hAnsi="Times New Roman" w:cs="Times New Roman"/>
          <w:sz w:val="24"/>
          <w:szCs w:val="24"/>
        </w:rPr>
        <w:t>The appellant is a local</w:t>
      </w:r>
      <w:r w:rsidR="006A6E1C">
        <w:rPr>
          <w:rFonts w:ascii="Times New Roman" w:hAnsi="Times New Roman" w:cs="Times New Roman"/>
          <w:sz w:val="24"/>
          <w:szCs w:val="24"/>
        </w:rPr>
        <w:t xml:space="preserve"> </w:t>
      </w:r>
      <w:r w:rsidR="00946951">
        <w:rPr>
          <w:rFonts w:ascii="Times New Roman" w:hAnsi="Times New Roman" w:cs="Times New Roman"/>
          <w:sz w:val="24"/>
          <w:szCs w:val="24"/>
        </w:rPr>
        <w:t xml:space="preserve">public </w:t>
      </w:r>
      <w:r w:rsidR="006A6E1C">
        <w:rPr>
          <w:rFonts w:ascii="Times New Roman" w:hAnsi="Times New Roman" w:cs="Times New Roman"/>
          <w:sz w:val="24"/>
          <w:szCs w:val="24"/>
        </w:rPr>
        <w:t xml:space="preserve">company, </w:t>
      </w:r>
      <w:r>
        <w:rPr>
          <w:rFonts w:ascii="Times New Roman" w:hAnsi="Times New Roman" w:cs="Times New Roman"/>
          <w:sz w:val="24"/>
          <w:szCs w:val="24"/>
        </w:rPr>
        <w:t>which owns a limestone mine and manufactures cement and allied products under licence from limestone extracted at that mine.</w:t>
      </w:r>
      <w:r w:rsidR="00BC4A86" w:rsidRPr="00BC4A86">
        <w:rPr>
          <w:rFonts w:ascii="Times New Roman" w:hAnsi="Times New Roman" w:cs="Times New Roman"/>
          <w:b/>
          <w:sz w:val="24"/>
          <w:szCs w:val="24"/>
        </w:rPr>
        <w:t xml:space="preserve"> </w:t>
      </w:r>
      <w:r w:rsidR="00BC4A86" w:rsidRPr="00BC4A86">
        <w:rPr>
          <w:rFonts w:ascii="Times New Roman" w:hAnsi="Times New Roman" w:cs="Times New Roman"/>
          <w:sz w:val="24"/>
          <w:szCs w:val="24"/>
        </w:rPr>
        <w:t>It also m</w:t>
      </w:r>
      <w:r w:rsidR="00F90AAD">
        <w:rPr>
          <w:rFonts w:ascii="Times New Roman" w:hAnsi="Times New Roman" w:cs="Times New Roman"/>
          <w:sz w:val="24"/>
          <w:szCs w:val="24"/>
        </w:rPr>
        <w:t>anufactures adhesives and adhesive paints and decorative paints</w:t>
      </w:r>
      <w:r w:rsidR="00BC4A86" w:rsidRPr="00BC4A86">
        <w:rPr>
          <w:rFonts w:ascii="Times New Roman" w:hAnsi="Times New Roman" w:cs="Times New Roman"/>
          <w:sz w:val="24"/>
          <w:szCs w:val="24"/>
        </w:rPr>
        <w:t xml:space="preserve">, </w:t>
      </w:r>
      <w:r w:rsidR="00F90AAD" w:rsidRPr="00BC4A86">
        <w:rPr>
          <w:rFonts w:ascii="Times New Roman" w:hAnsi="Times New Roman" w:cs="Times New Roman"/>
          <w:sz w:val="24"/>
          <w:szCs w:val="24"/>
        </w:rPr>
        <w:t xml:space="preserve">construction chemicals </w:t>
      </w:r>
      <w:r w:rsidR="00F90AAD">
        <w:rPr>
          <w:rFonts w:ascii="Times New Roman" w:hAnsi="Times New Roman" w:cs="Times New Roman"/>
          <w:sz w:val="24"/>
          <w:szCs w:val="24"/>
        </w:rPr>
        <w:t>and agricultural lime.</w:t>
      </w:r>
      <w:r w:rsidR="007878F1">
        <w:rPr>
          <w:rFonts w:ascii="Times New Roman" w:hAnsi="Times New Roman" w:cs="Times New Roman"/>
          <w:sz w:val="24"/>
          <w:szCs w:val="24"/>
        </w:rPr>
        <w:t xml:space="preserve"> It is a who</w:t>
      </w:r>
      <w:r w:rsidR="0069560F">
        <w:rPr>
          <w:rFonts w:ascii="Times New Roman" w:hAnsi="Times New Roman" w:cs="Times New Roman"/>
          <w:sz w:val="24"/>
          <w:szCs w:val="24"/>
        </w:rPr>
        <w:t>lly owned subsidiary of a European</w:t>
      </w:r>
      <w:r w:rsidR="007878F1">
        <w:rPr>
          <w:rFonts w:ascii="Times New Roman" w:hAnsi="Times New Roman" w:cs="Times New Roman"/>
          <w:sz w:val="24"/>
          <w:szCs w:val="24"/>
        </w:rPr>
        <w:t xml:space="preserve"> company</w:t>
      </w:r>
      <w:r w:rsidR="00AF466B">
        <w:rPr>
          <w:rFonts w:ascii="Times New Roman" w:hAnsi="Times New Roman" w:cs="Times New Roman"/>
          <w:sz w:val="24"/>
          <w:szCs w:val="24"/>
        </w:rPr>
        <w:t>,</w:t>
      </w:r>
      <w:r w:rsidR="007878F1">
        <w:rPr>
          <w:rFonts w:ascii="Times New Roman" w:hAnsi="Times New Roman" w:cs="Times New Roman"/>
          <w:sz w:val="24"/>
          <w:szCs w:val="24"/>
        </w:rPr>
        <w:t xml:space="preserve"> which describes itself a</w:t>
      </w:r>
      <w:r w:rsidR="00603635">
        <w:rPr>
          <w:rFonts w:ascii="Times New Roman" w:hAnsi="Times New Roman" w:cs="Times New Roman"/>
          <w:sz w:val="24"/>
          <w:szCs w:val="24"/>
        </w:rPr>
        <w:t xml:space="preserve">s </w:t>
      </w:r>
      <w:r w:rsidR="00603635" w:rsidRPr="00603635">
        <w:rPr>
          <w:rFonts w:ascii="Times New Roman" w:hAnsi="Times New Roman" w:cs="Times New Roman"/>
          <w:sz w:val="24"/>
          <w:szCs w:val="24"/>
        </w:rPr>
        <w:t>“one of the world’s foremost manufacturers of building and construction materials established all over the world”.</w:t>
      </w:r>
      <w:r w:rsidR="00603635">
        <w:rPr>
          <w:rFonts w:ascii="Times New Roman" w:hAnsi="Times New Roman" w:cs="Times New Roman"/>
          <w:b/>
          <w:sz w:val="24"/>
          <w:szCs w:val="24"/>
          <w:u w:val="single"/>
        </w:rPr>
        <w:t xml:space="preserve"> </w:t>
      </w:r>
    </w:p>
    <w:p w:rsidR="006A6E1C" w:rsidRDefault="007878F1" w:rsidP="003E64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E646D">
        <w:rPr>
          <w:rFonts w:ascii="Times New Roman" w:hAnsi="Times New Roman" w:cs="Times New Roman"/>
          <w:sz w:val="24"/>
          <w:szCs w:val="24"/>
        </w:rPr>
        <w:tab/>
      </w:r>
      <w:r w:rsidR="00B2534A">
        <w:rPr>
          <w:rFonts w:ascii="Times New Roman" w:hAnsi="Times New Roman" w:cs="Times New Roman"/>
          <w:sz w:val="24"/>
          <w:szCs w:val="24"/>
        </w:rPr>
        <w:t>The respon</w:t>
      </w:r>
      <w:r w:rsidR="008D6637">
        <w:rPr>
          <w:rFonts w:ascii="Times New Roman" w:hAnsi="Times New Roman" w:cs="Times New Roman"/>
          <w:sz w:val="24"/>
          <w:szCs w:val="24"/>
        </w:rPr>
        <w:t>dent commenced various tax head</w:t>
      </w:r>
      <w:r w:rsidR="00B2534A">
        <w:rPr>
          <w:rFonts w:ascii="Times New Roman" w:hAnsi="Times New Roman" w:cs="Times New Roman"/>
          <w:sz w:val="24"/>
          <w:szCs w:val="24"/>
        </w:rPr>
        <w:t xml:space="preserve"> investig</w:t>
      </w:r>
      <w:r w:rsidR="0055007D">
        <w:rPr>
          <w:rFonts w:ascii="Times New Roman" w:hAnsi="Times New Roman" w:cs="Times New Roman"/>
          <w:sz w:val="24"/>
          <w:szCs w:val="24"/>
        </w:rPr>
        <w:t>ations on the appellant in May</w:t>
      </w:r>
      <w:r w:rsidR="00B2534A">
        <w:rPr>
          <w:rFonts w:ascii="Times New Roman" w:hAnsi="Times New Roman" w:cs="Times New Roman"/>
          <w:sz w:val="24"/>
          <w:szCs w:val="24"/>
        </w:rPr>
        <w:t xml:space="preserve"> 2013, which culminated in the issuance on 22 March 2016</w:t>
      </w:r>
      <w:r w:rsidR="007C28E7">
        <w:rPr>
          <w:rFonts w:ascii="Times New Roman" w:hAnsi="Times New Roman" w:cs="Times New Roman"/>
          <w:sz w:val="24"/>
          <w:szCs w:val="24"/>
        </w:rPr>
        <w:t>,</w:t>
      </w:r>
      <w:r w:rsidR="00B2534A">
        <w:rPr>
          <w:rFonts w:ascii="Times New Roman" w:hAnsi="Times New Roman" w:cs="Times New Roman"/>
          <w:sz w:val="24"/>
          <w:szCs w:val="24"/>
        </w:rPr>
        <w:t xml:space="preserve"> of further amended manual notices of assessment for income tax</w:t>
      </w:r>
      <w:r w:rsidR="00AF466B">
        <w:rPr>
          <w:rFonts w:ascii="Times New Roman" w:hAnsi="Times New Roman" w:cs="Times New Roman"/>
          <w:sz w:val="24"/>
          <w:szCs w:val="24"/>
        </w:rPr>
        <w:t>,</w:t>
      </w:r>
      <w:r w:rsidR="00B2534A">
        <w:rPr>
          <w:rFonts w:ascii="Times New Roman" w:hAnsi="Times New Roman" w:cs="Times New Roman"/>
          <w:sz w:val="24"/>
          <w:szCs w:val="24"/>
        </w:rPr>
        <w:t xml:space="preserve"> num</w:t>
      </w:r>
      <w:r w:rsidR="00CD1742">
        <w:rPr>
          <w:rFonts w:ascii="Times New Roman" w:hAnsi="Times New Roman" w:cs="Times New Roman"/>
          <w:sz w:val="24"/>
          <w:szCs w:val="24"/>
        </w:rPr>
        <w:t>ber 6458 for the tax year ended</w:t>
      </w:r>
      <w:r w:rsidR="00B2534A">
        <w:rPr>
          <w:rFonts w:ascii="Times New Roman" w:hAnsi="Times New Roman" w:cs="Times New Roman"/>
          <w:sz w:val="24"/>
          <w:szCs w:val="24"/>
        </w:rPr>
        <w:t xml:space="preserve"> 31 December 2009, 6459 for the tax year ended 31 December 2010, 6460 for the tax year ended 31 December 2011, 6461 for the tax year ended 31 December 2012</w:t>
      </w:r>
      <w:r w:rsidR="007C28E7">
        <w:rPr>
          <w:rFonts w:ascii="Times New Roman" w:hAnsi="Times New Roman" w:cs="Times New Roman"/>
          <w:sz w:val="24"/>
          <w:szCs w:val="24"/>
        </w:rPr>
        <w:t>,</w:t>
      </w:r>
      <w:r w:rsidR="00B2534A">
        <w:rPr>
          <w:rFonts w:ascii="Times New Roman" w:hAnsi="Times New Roman" w:cs="Times New Roman"/>
          <w:sz w:val="24"/>
          <w:szCs w:val="24"/>
        </w:rPr>
        <w:t xml:space="preserve"> and 6498 for the tax year ended 31 December 2013</w:t>
      </w:r>
      <w:r w:rsidR="007C28E7">
        <w:rPr>
          <w:rFonts w:ascii="Times New Roman" w:hAnsi="Times New Roman" w:cs="Times New Roman"/>
          <w:sz w:val="24"/>
          <w:szCs w:val="24"/>
        </w:rPr>
        <w:t>,</w:t>
      </w:r>
      <w:r w:rsidR="00B2534A">
        <w:rPr>
          <w:rFonts w:ascii="Times New Roman" w:hAnsi="Times New Roman" w:cs="Times New Roman"/>
          <w:sz w:val="24"/>
          <w:szCs w:val="24"/>
        </w:rPr>
        <w:t xml:space="preserve"> and the imposition of </w:t>
      </w:r>
      <w:r w:rsidR="00366846">
        <w:rPr>
          <w:rFonts w:ascii="Times New Roman" w:hAnsi="Times New Roman" w:cs="Times New Roman"/>
          <w:sz w:val="24"/>
          <w:szCs w:val="24"/>
        </w:rPr>
        <w:t xml:space="preserve"> a pena</w:t>
      </w:r>
      <w:r w:rsidR="00AF466B">
        <w:rPr>
          <w:rFonts w:ascii="Times New Roman" w:hAnsi="Times New Roman" w:cs="Times New Roman"/>
          <w:sz w:val="24"/>
          <w:szCs w:val="24"/>
        </w:rPr>
        <w:t>lty of 60% on the unpaid tax</w:t>
      </w:r>
      <w:r w:rsidR="00366846">
        <w:rPr>
          <w:rFonts w:ascii="Times New Roman" w:hAnsi="Times New Roman" w:cs="Times New Roman"/>
          <w:sz w:val="24"/>
          <w:szCs w:val="24"/>
        </w:rPr>
        <w:t xml:space="preserve"> in respect of each tax year.</w:t>
      </w:r>
      <w:r w:rsidR="00CE45E8">
        <w:rPr>
          <w:rFonts w:ascii="Times New Roman" w:hAnsi="Times New Roman" w:cs="Times New Roman"/>
          <w:sz w:val="24"/>
          <w:szCs w:val="24"/>
        </w:rPr>
        <w:t xml:space="preserve"> The aggregate principal amount due for the 5 tax years was US$ 7 312 224 comprised of US$ 73 463 in 2009, US$1 012 834 in 2010, US$2 008 878 in 2011, US$ 1 893 175 in 2012 and US$ 2 323 874 in 2013. The total amount inclusive of penalties for these years was US$15 693 648.34. </w:t>
      </w:r>
    </w:p>
    <w:p w:rsidR="006A6E1C" w:rsidRDefault="00A611D2" w:rsidP="003E646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26 April 2016, the appellant objected to the amended assessments. By letter dated 19 July 2016, the respondent disallowed various objections including those under appeal. The appellant filed its notice of appeal on 5 August 2016</w:t>
      </w:r>
      <w:r w:rsidR="004C4D3C">
        <w:rPr>
          <w:rFonts w:ascii="Times New Roman" w:hAnsi="Times New Roman" w:cs="Times New Roman"/>
          <w:sz w:val="24"/>
          <w:szCs w:val="24"/>
        </w:rPr>
        <w:t>,</w:t>
      </w:r>
      <w:r>
        <w:rPr>
          <w:rFonts w:ascii="Times New Roman" w:hAnsi="Times New Roman" w:cs="Times New Roman"/>
          <w:sz w:val="24"/>
          <w:szCs w:val="24"/>
        </w:rPr>
        <w:t xml:space="preserve"> and its case on 3 October 2016. The respondent filed the Commissioner’s case on 28 November 2016.  </w:t>
      </w:r>
      <w:r w:rsidR="00422C5E">
        <w:rPr>
          <w:rFonts w:ascii="Times New Roman" w:hAnsi="Times New Roman" w:cs="Times New Roman"/>
          <w:sz w:val="24"/>
          <w:szCs w:val="24"/>
        </w:rPr>
        <w:t xml:space="preserve">The initial </w:t>
      </w:r>
      <w:r>
        <w:rPr>
          <w:rFonts w:ascii="Times New Roman" w:hAnsi="Times New Roman" w:cs="Times New Roman"/>
          <w:sz w:val="24"/>
          <w:szCs w:val="24"/>
        </w:rPr>
        <w:t>8 issues</w:t>
      </w:r>
      <w:r w:rsidR="00422C5E">
        <w:rPr>
          <w:rFonts w:ascii="Times New Roman" w:hAnsi="Times New Roman" w:cs="Times New Roman"/>
          <w:sz w:val="24"/>
          <w:szCs w:val="24"/>
        </w:rPr>
        <w:t xml:space="preserve"> that were referred</w:t>
      </w:r>
      <w:r>
        <w:rPr>
          <w:rFonts w:ascii="Times New Roman" w:hAnsi="Times New Roman" w:cs="Times New Roman"/>
          <w:sz w:val="24"/>
          <w:szCs w:val="24"/>
        </w:rPr>
        <w:t xml:space="preserve"> on ap</w:t>
      </w:r>
      <w:r w:rsidR="00422C5E">
        <w:rPr>
          <w:rFonts w:ascii="Times New Roman" w:hAnsi="Times New Roman" w:cs="Times New Roman"/>
          <w:sz w:val="24"/>
          <w:szCs w:val="24"/>
        </w:rPr>
        <w:t xml:space="preserve">peal on 23 February 2018, </w:t>
      </w:r>
      <w:r>
        <w:rPr>
          <w:rFonts w:ascii="Times New Roman" w:hAnsi="Times New Roman" w:cs="Times New Roman"/>
          <w:sz w:val="24"/>
          <w:szCs w:val="24"/>
        </w:rPr>
        <w:t xml:space="preserve">were reduced to 5 by the appellant at the appeal hearing. </w:t>
      </w:r>
    </w:p>
    <w:p w:rsidR="007A5046" w:rsidRDefault="002E375B" w:rsidP="003E646D">
      <w:pPr>
        <w:spacing w:after="0"/>
        <w:ind w:firstLine="720"/>
        <w:jc w:val="both"/>
        <w:rPr>
          <w:rFonts w:ascii="Times New Roman" w:hAnsi="Times New Roman" w:cs="Times New Roman"/>
          <w:sz w:val="24"/>
          <w:szCs w:val="24"/>
        </w:rPr>
      </w:pPr>
      <w:r>
        <w:rPr>
          <w:rFonts w:ascii="Times New Roman" w:hAnsi="Times New Roman" w:cs="Times New Roman"/>
          <w:sz w:val="24"/>
          <w:szCs w:val="24"/>
        </w:rPr>
        <w:t>I will deal with the facts pertaining to each issue</w:t>
      </w:r>
      <w:r w:rsidR="007A5046">
        <w:rPr>
          <w:rFonts w:ascii="Times New Roman" w:hAnsi="Times New Roman" w:cs="Times New Roman"/>
          <w:sz w:val="24"/>
          <w:szCs w:val="24"/>
        </w:rPr>
        <w:t xml:space="preserve"> </w:t>
      </w:r>
      <w:r w:rsidR="007A5046">
        <w:rPr>
          <w:rFonts w:ascii="Times New Roman" w:hAnsi="Times New Roman" w:cs="Times New Roman"/>
          <w:i/>
          <w:sz w:val="24"/>
          <w:szCs w:val="24"/>
        </w:rPr>
        <w:t xml:space="preserve">seriatim. </w:t>
      </w:r>
      <w:r>
        <w:rPr>
          <w:rFonts w:ascii="Times New Roman" w:hAnsi="Times New Roman" w:cs="Times New Roman"/>
          <w:sz w:val="24"/>
          <w:szCs w:val="24"/>
        </w:rPr>
        <w:t xml:space="preserve"> </w:t>
      </w:r>
    </w:p>
    <w:p w:rsidR="008E6E89" w:rsidRDefault="008E6E89" w:rsidP="0034160F">
      <w:pPr>
        <w:jc w:val="both"/>
        <w:rPr>
          <w:rFonts w:ascii="Times New Roman" w:hAnsi="Times New Roman" w:cs="Times New Roman"/>
          <w:sz w:val="24"/>
          <w:szCs w:val="24"/>
          <w:u w:val="single"/>
        </w:rPr>
      </w:pPr>
      <w:r w:rsidRPr="008E6E89">
        <w:rPr>
          <w:rFonts w:ascii="Times New Roman" w:hAnsi="Times New Roman" w:cs="Times New Roman"/>
          <w:sz w:val="24"/>
          <w:szCs w:val="24"/>
          <w:u w:val="single"/>
        </w:rPr>
        <w:t>The issues</w:t>
      </w:r>
    </w:p>
    <w:p w:rsidR="008E6E89" w:rsidRDefault="008E6E89" w:rsidP="0034160F">
      <w:pPr>
        <w:jc w:val="both"/>
        <w:rPr>
          <w:rFonts w:ascii="Times New Roman" w:hAnsi="Times New Roman" w:cs="Times New Roman"/>
          <w:sz w:val="24"/>
          <w:szCs w:val="24"/>
        </w:rPr>
      </w:pPr>
      <w:r>
        <w:rPr>
          <w:rFonts w:ascii="Times New Roman" w:hAnsi="Times New Roman" w:cs="Times New Roman"/>
          <w:sz w:val="24"/>
          <w:szCs w:val="24"/>
        </w:rPr>
        <w:t>The following issues were referred for determination on appeal.</w:t>
      </w:r>
    </w:p>
    <w:p w:rsidR="008E6E89" w:rsidRDefault="00C00D83" w:rsidP="008E6E8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Were the franchise fees of 1.5% relating to “master branding” incurred for the purposes of trade and thus constituted a deductible expenditure? </w:t>
      </w:r>
    </w:p>
    <w:p w:rsidR="008E6E89" w:rsidRDefault="008E6E89" w:rsidP="008E6E8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Were the costs of consumable spare parts unutilized at year end deductible in terms of s 15 (2) (a) of the Income Tax Act </w:t>
      </w:r>
      <w:r w:rsidRPr="008E6E89">
        <w:rPr>
          <w:rFonts w:ascii="Times New Roman" w:hAnsi="Times New Roman" w:cs="Times New Roman"/>
          <w:i/>
          <w:sz w:val="24"/>
          <w:szCs w:val="24"/>
        </w:rPr>
        <w:t>[Chapter 23:06]</w:t>
      </w:r>
      <w:r>
        <w:rPr>
          <w:rFonts w:ascii="Times New Roman" w:hAnsi="Times New Roman" w:cs="Times New Roman"/>
          <w:sz w:val="24"/>
          <w:szCs w:val="24"/>
        </w:rPr>
        <w:t xml:space="preserve"> in the year of acquisition thereof</w:t>
      </w:r>
      <w:r w:rsidR="004C4D3C">
        <w:rPr>
          <w:rFonts w:ascii="Times New Roman" w:hAnsi="Times New Roman" w:cs="Times New Roman"/>
          <w:sz w:val="24"/>
          <w:szCs w:val="24"/>
        </w:rPr>
        <w:t xml:space="preserve"> or were such spare parts stock-in-</w:t>
      </w:r>
      <w:r>
        <w:rPr>
          <w:rFonts w:ascii="Times New Roman" w:hAnsi="Times New Roman" w:cs="Times New Roman"/>
          <w:sz w:val="24"/>
          <w:szCs w:val="24"/>
        </w:rPr>
        <w:t>trade</w:t>
      </w:r>
      <w:r w:rsidR="00397ECA">
        <w:rPr>
          <w:rFonts w:ascii="Times New Roman" w:hAnsi="Times New Roman" w:cs="Times New Roman"/>
          <w:sz w:val="24"/>
          <w:szCs w:val="24"/>
        </w:rPr>
        <w:t>?</w:t>
      </w:r>
    </w:p>
    <w:p w:rsidR="00397ECA" w:rsidRDefault="00397ECA" w:rsidP="00397ECA">
      <w:pPr>
        <w:pStyle w:val="ListParagraph"/>
        <w:numPr>
          <w:ilvl w:val="0"/>
          <w:numId w:val="1"/>
        </w:numPr>
        <w:jc w:val="both"/>
        <w:rPr>
          <w:rFonts w:ascii="Times New Roman" w:hAnsi="Times New Roman" w:cs="Times New Roman"/>
          <w:sz w:val="24"/>
          <w:szCs w:val="24"/>
        </w:rPr>
      </w:pPr>
    </w:p>
    <w:p w:rsidR="008E6E89" w:rsidRDefault="00397ECA" w:rsidP="00397ECA">
      <w:pPr>
        <w:pStyle w:val="ListParagraph"/>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8E6E89" w:rsidRPr="00397ECA">
        <w:rPr>
          <w:rFonts w:ascii="Times New Roman" w:hAnsi="Times New Roman" w:cs="Times New Roman"/>
          <w:sz w:val="24"/>
          <w:szCs w:val="24"/>
        </w:rPr>
        <w:t>Was the cost of the removal of quarry overburden to enable the appellant to recover and utilize limestone to manufacture cement expenditure for the purposes of its trade and for the production of income</w:t>
      </w:r>
      <w:r>
        <w:rPr>
          <w:rFonts w:ascii="Times New Roman" w:hAnsi="Times New Roman" w:cs="Times New Roman"/>
          <w:sz w:val="24"/>
          <w:szCs w:val="24"/>
        </w:rPr>
        <w:t>?</w:t>
      </w:r>
    </w:p>
    <w:p w:rsidR="008E6E89" w:rsidRDefault="00397ECA" w:rsidP="00397ECA">
      <w:pPr>
        <w:pStyle w:val="ListParagraph"/>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397ECA">
        <w:rPr>
          <w:rFonts w:ascii="Times New Roman" w:hAnsi="Times New Roman" w:cs="Times New Roman"/>
          <w:sz w:val="24"/>
          <w:szCs w:val="24"/>
        </w:rPr>
        <w:t>W</w:t>
      </w:r>
      <w:r w:rsidR="008E6E89" w:rsidRPr="00397ECA">
        <w:rPr>
          <w:rFonts w:ascii="Times New Roman" w:hAnsi="Times New Roman" w:cs="Times New Roman"/>
          <w:sz w:val="24"/>
          <w:szCs w:val="24"/>
        </w:rPr>
        <w:t>as such an expense</w:t>
      </w:r>
      <w:r w:rsidR="00783548">
        <w:rPr>
          <w:rFonts w:ascii="Times New Roman" w:hAnsi="Times New Roman" w:cs="Times New Roman"/>
          <w:sz w:val="24"/>
          <w:szCs w:val="24"/>
        </w:rPr>
        <w:t>,</w:t>
      </w:r>
      <w:r w:rsidR="008E6E89" w:rsidRPr="00397ECA">
        <w:rPr>
          <w:rFonts w:ascii="Times New Roman" w:hAnsi="Times New Roman" w:cs="Times New Roman"/>
          <w:sz w:val="24"/>
          <w:szCs w:val="24"/>
        </w:rPr>
        <w:t xml:space="preserve"> in any event</w:t>
      </w:r>
      <w:r w:rsidR="00783548">
        <w:rPr>
          <w:rFonts w:ascii="Times New Roman" w:hAnsi="Times New Roman" w:cs="Times New Roman"/>
          <w:sz w:val="24"/>
          <w:szCs w:val="24"/>
        </w:rPr>
        <w:t>,</w:t>
      </w:r>
      <w:r w:rsidR="008E6E89" w:rsidRPr="00397ECA">
        <w:rPr>
          <w:rFonts w:ascii="Times New Roman" w:hAnsi="Times New Roman" w:cs="Times New Roman"/>
          <w:sz w:val="24"/>
          <w:szCs w:val="24"/>
        </w:rPr>
        <w:t xml:space="preserve"> incurred in respect of mining operations and thus deductible in terms of the Fifth Schedule to the Income Tax Act</w:t>
      </w:r>
      <w:r>
        <w:rPr>
          <w:rFonts w:ascii="Times New Roman" w:hAnsi="Times New Roman" w:cs="Times New Roman"/>
          <w:sz w:val="24"/>
          <w:szCs w:val="24"/>
        </w:rPr>
        <w:t>?</w:t>
      </w:r>
    </w:p>
    <w:p w:rsidR="00397ECA" w:rsidRDefault="00397ECA" w:rsidP="00397ECA">
      <w:pPr>
        <w:ind w:left="720" w:hanging="360"/>
        <w:jc w:val="both"/>
        <w:rPr>
          <w:rFonts w:ascii="Times New Roman" w:hAnsi="Times New Roman" w:cs="Times New Roman"/>
          <w:sz w:val="24"/>
          <w:szCs w:val="24"/>
        </w:rPr>
      </w:pPr>
      <w:r w:rsidRPr="00397ECA">
        <w:rPr>
          <w:rFonts w:ascii="Times New Roman" w:hAnsi="Times New Roman" w:cs="Times New Roman"/>
          <w:sz w:val="24"/>
          <w:szCs w:val="24"/>
        </w:rPr>
        <w:t>4.</w:t>
      </w:r>
      <w:r>
        <w:rPr>
          <w:rFonts w:ascii="Times New Roman" w:hAnsi="Times New Roman" w:cs="Times New Roman"/>
          <w:sz w:val="24"/>
          <w:szCs w:val="24"/>
        </w:rPr>
        <w:tab/>
        <w:t>Was appellant entitled to a capital allowance in respect of the costs of computer software?</w:t>
      </w:r>
    </w:p>
    <w:p w:rsidR="001E694E" w:rsidRDefault="00397ECA" w:rsidP="00397ECA">
      <w:pPr>
        <w:ind w:left="720" w:hanging="36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Whether or not it was appropriate in the circumstances of this matter for the respondent to impose a penalty at all and if so the quantum thereof?</w:t>
      </w:r>
      <w:r>
        <w:rPr>
          <w:rFonts w:ascii="Times New Roman" w:hAnsi="Times New Roman" w:cs="Times New Roman"/>
          <w:sz w:val="24"/>
          <w:szCs w:val="24"/>
        </w:rPr>
        <w:tab/>
      </w:r>
    </w:p>
    <w:p w:rsidR="001E694E" w:rsidRDefault="001E694E" w:rsidP="00397ECA">
      <w:pPr>
        <w:ind w:left="720" w:hanging="360"/>
        <w:jc w:val="both"/>
        <w:rPr>
          <w:rFonts w:ascii="Times New Roman" w:hAnsi="Times New Roman" w:cs="Times New Roman"/>
          <w:sz w:val="24"/>
          <w:szCs w:val="24"/>
        </w:rPr>
      </w:pPr>
    </w:p>
    <w:p w:rsidR="00397ECA" w:rsidRDefault="001E694E" w:rsidP="00397ECA">
      <w:pPr>
        <w:ind w:left="720" w:hanging="360"/>
        <w:jc w:val="both"/>
        <w:rPr>
          <w:rFonts w:ascii="Times New Roman" w:hAnsi="Times New Roman" w:cs="Times New Roman"/>
          <w:sz w:val="24"/>
          <w:szCs w:val="24"/>
          <w:u w:val="single"/>
        </w:rPr>
      </w:pPr>
      <w:r w:rsidRPr="001E694E">
        <w:rPr>
          <w:rFonts w:ascii="Times New Roman" w:hAnsi="Times New Roman" w:cs="Times New Roman"/>
          <w:sz w:val="24"/>
          <w:szCs w:val="24"/>
          <w:u w:val="single"/>
        </w:rPr>
        <w:t xml:space="preserve">The </w:t>
      </w:r>
      <w:r>
        <w:rPr>
          <w:rFonts w:ascii="Times New Roman" w:hAnsi="Times New Roman" w:cs="Times New Roman"/>
          <w:sz w:val="24"/>
          <w:szCs w:val="24"/>
          <w:u w:val="single"/>
        </w:rPr>
        <w:t>resolution of the issues</w:t>
      </w:r>
    </w:p>
    <w:p w:rsidR="00C132D5" w:rsidRPr="00EC2AB5" w:rsidRDefault="00C00D83" w:rsidP="001E694E">
      <w:pPr>
        <w:jc w:val="both"/>
        <w:rPr>
          <w:rFonts w:ascii="Times New Roman" w:hAnsi="Times New Roman" w:cs="Times New Roman"/>
          <w:i/>
          <w:sz w:val="24"/>
          <w:szCs w:val="24"/>
        </w:rPr>
      </w:pPr>
      <w:r w:rsidRPr="00EC2AB5">
        <w:rPr>
          <w:rFonts w:ascii="Times New Roman" w:hAnsi="Times New Roman" w:cs="Times New Roman"/>
          <w:i/>
          <w:sz w:val="24"/>
          <w:szCs w:val="24"/>
        </w:rPr>
        <w:lastRenderedPageBreak/>
        <w:t>Were the franchise fees of 1.5% relating to “master branding” incurred for the purposes of trade and thus constituted a deductible expenditure</w:t>
      </w:r>
      <w:r w:rsidR="001E694E" w:rsidRPr="00EC2AB5">
        <w:rPr>
          <w:rFonts w:ascii="Times New Roman" w:hAnsi="Times New Roman" w:cs="Times New Roman"/>
          <w:i/>
          <w:sz w:val="24"/>
          <w:szCs w:val="24"/>
        </w:rPr>
        <w:t>?</w:t>
      </w:r>
      <w:r w:rsidR="001D1D06" w:rsidRPr="00EC2AB5">
        <w:rPr>
          <w:rFonts w:ascii="Times New Roman" w:hAnsi="Times New Roman" w:cs="Times New Roman"/>
          <w:i/>
          <w:sz w:val="24"/>
          <w:szCs w:val="24"/>
        </w:rPr>
        <w:t xml:space="preserve"> </w:t>
      </w:r>
    </w:p>
    <w:p w:rsidR="00031A47" w:rsidRDefault="00B90245" w:rsidP="003E646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was common cause that the appellant manufactures</w:t>
      </w:r>
      <w:r w:rsidR="00B76624">
        <w:rPr>
          <w:rFonts w:ascii="Times New Roman" w:hAnsi="Times New Roman" w:cs="Times New Roman"/>
          <w:sz w:val="24"/>
          <w:szCs w:val="24"/>
        </w:rPr>
        <w:t xml:space="preserve"> cement and allied products under licence from its offshore </w:t>
      </w:r>
      <w:r w:rsidR="00D041AD">
        <w:rPr>
          <w:rFonts w:ascii="Times New Roman" w:hAnsi="Times New Roman" w:cs="Times New Roman"/>
          <w:sz w:val="24"/>
          <w:szCs w:val="24"/>
        </w:rPr>
        <w:t xml:space="preserve">based </w:t>
      </w:r>
      <w:r w:rsidR="00B76624">
        <w:rPr>
          <w:rFonts w:ascii="Times New Roman" w:hAnsi="Times New Roman" w:cs="Times New Roman"/>
          <w:sz w:val="24"/>
          <w:szCs w:val="24"/>
        </w:rPr>
        <w:t>parent company. These products are sold under the parent company’s trade name</w:t>
      </w:r>
      <w:r w:rsidR="004B1CE7">
        <w:rPr>
          <w:rFonts w:ascii="Times New Roman" w:hAnsi="Times New Roman" w:cs="Times New Roman"/>
          <w:sz w:val="24"/>
          <w:szCs w:val="24"/>
        </w:rPr>
        <w:t xml:space="preserve"> consisting of its word mark and</w:t>
      </w:r>
      <w:r w:rsidR="008A5841">
        <w:rPr>
          <w:rFonts w:ascii="Times New Roman" w:hAnsi="Times New Roman" w:cs="Times New Roman"/>
          <w:sz w:val="24"/>
          <w:szCs w:val="24"/>
        </w:rPr>
        <w:t xml:space="preserve"> </w:t>
      </w:r>
      <w:r w:rsidR="0079720C">
        <w:rPr>
          <w:rFonts w:ascii="Times New Roman" w:hAnsi="Times New Roman" w:cs="Times New Roman"/>
          <w:sz w:val="24"/>
          <w:szCs w:val="24"/>
        </w:rPr>
        <w:t>logo.</w:t>
      </w:r>
      <w:r w:rsidR="00B76624">
        <w:rPr>
          <w:rFonts w:ascii="Times New Roman" w:hAnsi="Times New Roman" w:cs="Times New Roman"/>
          <w:sz w:val="24"/>
          <w:szCs w:val="24"/>
        </w:rPr>
        <w:t xml:space="preserve"> </w:t>
      </w:r>
      <w:r w:rsidR="00FF0B3F">
        <w:rPr>
          <w:rFonts w:ascii="Times New Roman" w:hAnsi="Times New Roman" w:cs="Times New Roman"/>
          <w:sz w:val="24"/>
          <w:szCs w:val="24"/>
        </w:rPr>
        <w:t xml:space="preserve"> The </w:t>
      </w:r>
      <w:r w:rsidR="00E243AB">
        <w:rPr>
          <w:rFonts w:ascii="Times New Roman" w:hAnsi="Times New Roman" w:cs="Times New Roman"/>
          <w:sz w:val="24"/>
          <w:szCs w:val="24"/>
        </w:rPr>
        <w:t xml:space="preserve">parent company </w:t>
      </w:r>
      <w:r w:rsidR="00D93BAC">
        <w:rPr>
          <w:rFonts w:ascii="Times New Roman" w:hAnsi="Times New Roman" w:cs="Times New Roman"/>
          <w:sz w:val="24"/>
          <w:szCs w:val="24"/>
        </w:rPr>
        <w:t>adopted a Transfer Pricing Policy</w:t>
      </w:r>
      <w:r w:rsidR="000D5AF3">
        <w:rPr>
          <w:rFonts w:ascii="Times New Roman" w:hAnsi="Times New Roman" w:cs="Times New Roman"/>
          <w:sz w:val="24"/>
          <w:szCs w:val="24"/>
        </w:rPr>
        <w:t xml:space="preserve"> backdated to 1 January 2011</w:t>
      </w:r>
      <w:r w:rsidR="00D93BAC">
        <w:rPr>
          <w:rFonts w:ascii="Times New Roman" w:hAnsi="Times New Roman" w:cs="Times New Roman"/>
          <w:sz w:val="24"/>
          <w:szCs w:val="24"/>
        </w:rPr>
        <w:t>, which comprised of four types of agreements. These were the “Master Branding Agreement”, MBA, under which the name, trademarks and associated rights were licenced; the “Intellectual Property Licence Agreement”,</w:t>
      </w:r>
      <w:r w:rsidR="008A5841">
        <w:rPr>
          <w:rFonts w:ascii="Times New Roman" w:hAnsi="Times New Roman" w:cs="Times New Roman"/>
          <w:sz w:val="24"/>
          <w:szCs w:val="24"/>
        </w:rPr>
        <w:t xml:space="preserve"> IPLA,</w:t>
      </w:r>
      <w:r w:rsidR="00D93BAC">
        <w:rPr>
          <w:rFonts w:ascii="Times New Roman" w:hAnsi="Times New Roman" w:cs="Times New Roman"/>
          <w:sz w:val="24"/>
          <w:szCs w:val="24"/>
        </w:rPr>
        <w:t xml:space="preserve"> for licencing patents, know-how and associated rights;</w:t>
      </w:r>
      <w:r w:rsidR="008A5841">
        <w:rPr>
          <w:rFonts w:ascii="Times New Roman" w:hAnsi="Times New Roman" w:cs="Times New Roman"/>
          <w:sz w:val="24"/>
          <w:szCs w:val="24"/>
        </w:rPr>
        <w:t xml:space="preserve"> the “Services Agreement”, SA, </w:t>
      </w:r>
      <w:r w:rsidR="00D93BAC">
        <w:rPr>
          <w:rFonts w:ascii="Times New Roman" w:hAnsi="Times New Roman" w:cs="Times New Roman"/>
          <w:sz w:val="24"/>
          <w:szCs w:val="24"/>
        </w:rPr>
        <w:t>for compensating other services and the “Engineering Services Agreement”, ESA, for compensating services rendered by its engineering</w:t>
      </w:r>
      <w:r w:rsidR="00640FAA">
        <w:rPr>
          <w:rFonts w:ascii="Times New Roman" w:hAnsi="Times New Roman" w:cs="Times New Roman"/>
          <w:sz w:val="24"/>
          <w:szCs w:val="24"/>
        </w:rPr>
        <w:t xml:space="preserve"> arm,</w:t>
      </w:r>
      <w:r w:rsidR="00D93BAC">
        <w:rPr>
          <w:rFonts w:ascii="Times New Roman" w:hAnsi="Times New Roman" w:cs="Times New Roman"/>
          <w:sz w:val="24"/>
          <w:szCs w:val="24"/>
        </w:rPr>
        <w:t xml:space="preserve"> DEC.  </w:t>
      </w:r>
      <w:r w:rsidR="002F6FE2">
        <w:rPr>
          <w:rFonts w:ascii="Times New Roman" w:hAnsi="Times New Roman" w:cs="Times New Roman"/>
          <w:sz w:val="24"/>
          <w:szCs w:val="24"/>
        </w:rPr>
        <w:t xml:space="preserve">The IPLA </w:t>
      </w:r>
      <w:r w:rsidR="00914D4C">
        <w:rPr>
          <w:rFonts w:ascii="Times New Roman" w:hAnsi="Times New Roman" w:cs="Times New Roman"/>
          <w:sz w:val="24"/>
          <w:szCs w:val="24"/>
        </w:rPr>
        <w:t xml:space="preserve">covered </w:t>
      </w:r>
      <w:r w:rsidR="002F6FE2">
        <w:rPr>
          <w:rFonts w:ascii="Times New Roman" w:hAnsi="Times New Roman" w:cs="Times New Roman"/>
          <w:sz w:val="24"/>
          <w:szCs w:val="24"/>
        </w:rPr>
        <w:t xml:space="preserve">manufacturing </w:t>
      </w:r>
      <w:r w:rsidR="00914D4C">
        <w:rPr>
          <w:rFonts w:ascii="Times New Roman" w:hAnsi="Times New Roman" w:cs="Times New Roman"/>
          <w:sz w:val="24"/>
          <w:szCs w:val="24"/>
        </w:rPr>
        <w:t>activities while the MBA affected</w:t>
      </w:r>
      <w:r w:rsidR="002F6FE2">
        <w:rPr>
          <w:rFonts w:ascii="Times New Roman" w:hAnsi="Times New Roman" w:cs="Times New Roman"/>
          <w:sz w:val="24"/>
          <w:szCs w:val="24"/>
        </w:rPr>
        <w:t xml:space="preserve"> selling activities.</w:t>
      </w:r>
      <w:r w:rsidR="00971CC4">
        <w:rPr>
          <w:rFonts w:ascii="Times New Roman" w:hAnsi="Times New Roman" w:cs="Times New Roman"/>
          <w:sz w:val="24"/>
          <w:szCs w:val="24"/>
        </w:rPr>
        <w:t xml:space="preserve"> There was also an Industrial Franchise Agreement,</w:t>
      </w:r>
      <w:r w:rsidR="001E04B2">
        <w:rPr>
          <w:rFonts w:ascii="Times New Roman" w:hAnsi="Times New Roman" w:cs="Times New Roman"/>
          <w:sz w:val="24"/>
          <w:szCs w:val="24"/>
        </w:rPr>
        <w:t xml:space="preserve"> IFA,</w:t>
      </w:r>
      <w:r w:rsidR="00971CC4">
        <w:rPr>
          <w:rFonts w:ascii="Times New Roman" w:hAnsi="Times New Roman" w:cs="Times New Roman"/>
          <w:sz w:val="24"/>
          <w:szCs w:val="24"/>
        </w:rPr>
        <w:t xml:space="preserve"> dated 1 January </w:t>
      </w:r>
      <w:r w:rsidR="001E04B2">
        <w:rPr>
          <w:rFonts w:ascii="Times New Roman" w:hAnsi="Times New Roman" w:cs="Times New Roman"/>
          <w:sz w:val="24"/>
          <w:szCs w:val="24"/>
        </w:rPr>
        <w:t>2004,</w:t>
      </w:r>
      <w:r w:rsidR="00971CC4">
        <w:rPr>
          <w:rFonts w:ascii="Times New Roman" w:hAnsi="Times New Roman" w:cs="Times New Roman"/>
          <w:sz w:val="24"/>
          <w:szCs w:val="24"/>
        </w:rPr>
        <w:t xml:space="preserve"> was renewed biennially.</w:t>
      </w:r>
    </w:p>
    <w:p w:rsidR="00964266" w:rsidRDefault="00031A47" w:rsidP="003E646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sole witness called by the appellant defined a brand as constituting both tangible and intangible aspects </w:t>
      </w:r>
      <w:r w:rsidR="00E3273D">
        <w:rPr>
          <w:rFonts w:ascii="Times New Roman" w:hAnsi="Times New Roman" w:cs="Times New Roman"/>
          <w:sz w:val="24"/>
          <w:szCs w:val="24"/>
        </w:rPr>
        <w:t>through which service providers’ appeal and promise unique perspectives to ta</w:t>
      </w:r>
      <w:r w:rsidR="00371E36">
        <w:rPr>
          <w:rFonts w:ascii="Times New Roman" w:hAnsi="Times New Roman" w:cs="Times New Roman"/>
          <w:sz w:val="24"/>
          <w:szCs w:val="24"/>
        </w:rPr>
        <w:t>rgeted consumers to choose their goods and services.</w:t>
      </w:r>
      <w:r w:rsidR="00E3273D">
        <w:rPr>
          <w:rFonts w:ascii="Times New Roman" w:hAnsi="Times New Roman" w:cs="Times New Roman"/>
          <w:sz w:val="24"/>
          <w:szCs w:val="24"/>
        </w:rPr>
        <w:t xml:space="preserve"> </w:t>
      </w:r>
      <w:r w:rsidR="00D93BAC">
        <w:rPr>
          <w:rFonts w:ascii="Times New Roman" w:hAnsi="Times New Roman" w:cs="Times New Roman"/>
          <w:sz w:val="24"/>
          <w:szCs w:val="24"/>
        </w:rPr>
        <w:t>The fran</w:t>
      </w:r>
      <w:r w:rsidR="001E04B2">
        <w:rPr>
          <w:rFonts w:ascii="Times New Roman" w:hAnsi="Times New Roman" w:cs="Times New Roman"/>
          <w:sz w:val="24"/>
          <w:szCs w:val="24"/>
        </w:rPr>
        <w:t>chise fees were based on the three</w:t>
      </w:r>
      <w:r w:rsidR="00D93BAC">
        <w:rPr>
          <w:rFonts w:ascii="Times New Roman" w:hAnsi="Times New Roman" w:cs="Times New Roman"/>
          <w:sz w:val="24"/>
          <w:szCs w:val="24"/>
        </w:rPr>
        <w:t xml:space="preserve"> underlying agreements, which covered the 2009 to 2011 tax years and the 2012 and 2013 tax years, respectively. </w:t>
      </w:r>
      <w:r w:rsidR="001E04B2">
        <w:rPr>
          <w:rFonts w:ascii="Times New Roman" w:hAnsi="Times New Roman" w:cs="Times New Roman"/>
          <w:sz w:val="24"/>
          <w:szCs w:val="24"/>
        </w:rPr>
        <w:t>T</w:t>
      </w:r>
      <w:r w:rsidR="00113945">
        <w:rPr>
          <w:rFonts w:ascii="Times New Roman" w:hAnsi="Times New Roman" w:cs="Times New Roman"/>
          <w:sz w:val="24"/>
          <w:szCs w:val="24"/>
        </w:rPr>
        <w:t>he I</w:t>
      </w:r>
      <w:r w:rsidR="001E04B2">
        <w:rPr>
          <w:rFonts w:ascii="Times New Roman" w:hAnsi="Times New Roman" w:cs="Times New Roman"/>
          <w:sz w:val="24"/>
          <w:szCs w:val="24"/>
        </w:rPr>
        <w:t>FA,</w:t>
      </w:r>
      <w:r w:rsidR="0024264B">
        <w:rPr>
          <w:rFonts w:ascii="Times New Roman" w:hAnsi="Times New Roman" w:cs="Times New Roman"/>
          <w:sz w:val="24"/>
          <w:szCs w:val="24"/>
        </w:rPr>
        <w:t xml:space="preserve"> embodied a composite fee of 2% for both the master branding fees and intellectual property fees. The </w:t>
      </w:r>
      <w:r w:rsidR="001E04B2">
        <w:rPr>
          <w:rFonts w:ascii="Times New Roman" w:hAnsi="Times New Roman" w:cs="Times New Roman"/>
          <w:sz w:val="24"/>
          <w:szCs w:val="24"/>
        </w:rPr>
        <w:t>MBA</w:t>
      </w:r>
      <w:r w:rsidR="0024264B">
        <w:rPr>
          <w:rFonts w:ascii="Times New Roman" w:hAnsi="Times New Roman" w:cs="Times New Roman"/>
          <w:sz w:val="24"/>
          <w:szCs w:val="24"/>
        </w:rPr>
        <w:t xml:space="preserve"> split the fees between the </w:t>
      </w:r>
      <w:r w:rsidR="008B3E27">
        <w:rPr>
          <w:rFonts w:ascii="Times New Roman" w:hAnsi="Times New Roman" w:cs="Times New Roman"/>
          <w:sz w:val="24"/>
          <w:szCs w:val="24"/>
        </w:rPr>
        <w:t>master branding rights and the intellectual property rights</w:t>
      </w:r>
      <w:r w:rsidR="0024264B">
        <w:rPr>
          <w:rFonts w:ascii="Times New Roman" w:hAnsi="Times New Roman" w:cs="Times New Roman"/>
          <w:sz w:val="24"/>
          <w:szCs w:val="24"/>
        </w:rPr>
        <w:t xml:space="preserve"> at 1.5% and 2.5%, respectively. </w:t>
      </w:r>
      <w:r w:rsidR="006B0879">
        <w:rPr>
          <w:rFonts w:ascii="Times New Roman" w:hAnsi="Times New Roman" w:cs="Times New Roman"/>
          <w:sz w:val="24"/>
          <w:szCs w:val="24"/>
        </w:rPr>
        <w:t xml:space="preserve">It was common cause </w:t>
      </w:r>
      <w:r w:rsidR="0024264B">
        <w:rPr>
          <w:rFonts w:ascii="Times New Roman" w:hAnsi="Times New Roman" w:cs="Times New Roman"/>
          <w:sz w:val="24"/>
          <w:szCs w:val="24"/>
        </w:rPr>
        <w:t>that the appellant paid the franchise fees to the pare</w:t>
      </w:r>
      <w:r w:rsidR="008B3E27">
        <w:rPr>
          <w:rFonts w:ascii="Times New Roman" w:hAnsi="Times New Roman" w:cs="Times New Roman"/>
          <w:sz w:val="24"/>
          <w:szCs w:val="24"/>
        </w:rPr>
        <w:t>nt company in terms of these</w:t>
      </w:r>
      <w:r w:rsidR="0024264B">
        <w:rPr>
          <w:rFonts w:ascii="Times New Roman" w:hAnsi="Times New Roman" w:cs="Times New Roman"/>
          <w:sz w:val="24"/>
          <w:szCs w:val="24"/>
        </w:rPr>
        <w:t xml:space="preserve"> agreements at the above stated rates in the 5 tax years in question. </w:t>
      </w:r>
      <w:r w:rsidR="005B443B">
        <w:rPr>
          <w:rFonts w:ascii="Times New Roman" w:hAnsi="Times New Roman" w:cs="Times New Roman"/>
          <w:sz w:val="24"/>
          <w:szCs w:val="24"/>
        </w:rPr>
        <w:t>In the further assessments of 26 March 2016, the respondent allowed the intellectual property related fees and disallowed the master b</w:t>
      </w:r>
      <w:r w:rsidR="007E7615">
        <w:rPr>
          <w:rFonts w:ascii="Times New Roman" w:hAnsi="Times New Roman" w:cs="Times New Roman"/>
          <w:sz w:val="24"/>
          <w:szCs w:val="24"/>
        </w:rPr>
        <w:t>randing fees. The respondent, acting on its own accord, split the composite fee rate of 2% in the ratio 1.5 to 2.5, which related to the second agreement,</w:t>
      </w:r>
      <w:r w:rsidR="005B443B">
        <w:rPr>
          <w:rFonts w:ascii="Times New Roman" w:hAnsi="Times New Roman" w:cs="Times New Roman"/>
          <w:sz w:val="24"/>
          <w:szCs w:val="24"/>
        </w:rPr>
        <w:t xml:space="preserve"> and attributed 0.75% to master branding fees and the balance of 1.25% to intellectual property fees</w:t>
      </w:r>
      <w:r w:rsidR="007E7615">
        <w:rPr>
          <w:rFonts w:ascii="Times New Roman" w:hAnsi="Times New Roman" w:cs="Times New Roman"/>
          <w:sz w:val="24"/>
          <w:szCs w:val="24"/>
        </w:rPr>
        <w:t>.</w:t>
      </w:r>
      <w:r w:rsidR="005B443B">
        <w:rPr>
          <w:rFonts w:ascii="Times New Roman" w:hAnsi="Times New Roman" w:cs="Times New Roman"/>
          <w:sz w:val="24"/>
          <w:szCs w:val="24"/>
        </w:rPr>
        <w:t xml:space="preserve"> The amounts attributed to master branding fees, which were disallowed, were in the sum US$ 212 356.13 for the 2</w:t>
      </w:r>
      <w:r w:rsidR="007C0F91">
        <w:rPr>
          <w:rFonts w:ascii="Times New Roman" w:hAnsi="Times New Roman" w:cs="Times New Roman"/>
          <w:sz w:val="24"/>
          <w:szCs w:val="24"/>
        </w:rPr>
        <w:t>009</w:t>
      </w:r>
      <w:r w:rsidR="005B443B">
        <w:rPr>
          <w:rFonts w:ascii="Times New Roman" w:hAnsi="Times New Roman" w:cs="Times New Roman"/>
          <w:sz w:val="24"/>
          <w:szCs w:val="24"/>
        </w:rPr>
        <w:t xml:space="preserve"> tax year, </w:t>
      </w:r>
      <w:r w:rsidR="00E077E2">
        <w:rPr>
          <w:rFonts w:ascii="Times New Roman" w:hAnsi="Times New Roman" w:cs="Times New Roman"/>
          <w:sz w:val="24"/>
          <w:szCs w:val="24"/>
        </w:rPr>
        <w:t>US</w:t>
      </w:r>
      <w:r w:rsidR="007C0F91">
        <w:rPr>
          <w:rFonts w:ascii="Times New Roman" w:hAnsi="Times New Roman" w:cs="Times New Roman"/>
          <w:sz w:val="24"/>
          <w:szCs w:val="24"/>
        </w:rPr>
        <w:t xml:space="preserve">$312 636 for </w:t>
      </w:r>
      <w:r w:rsidR="005B443B">
        <w:rPr>
          <w:rFonts w:ascii="Times New Roman" w:hAnsi="Times New Roman" w:cs="Times New Roman"/>
          <w:sz w:val="24"/>
          <w:szCs w:val="24"/>
        </w:rPr>
        <w:t xml:space="preserve">the </w:t>
      </w:r>
      <w:r w:rsidR="007C0F91">
        <w:rPr>
          <w:rFonts w:ascii="Times New Roman" w:hAnsi="Times New Roman" w:cs="Times New Roman"/>
          <w:sz w:val="24"/>
          <w:szCs w:val="24"/>
        </w:rPr>
        <w:t>2010</w:t>
      </w:r>
      <w:r w:rsidR="005B443B">
        <w:rPr>
          <w:rFonts w:ascii="Times New Roman" w:hAnsi="Times New Roman" w:cs="Times New Roman"/>
          <w:sz w:val="24"/>
          <w:szCs w:val="24"/>
        </w:rPr>
        <w:t xml:space="preserve"> tax year</w:t>
      </w:r>
      <w:r w:rsidR="007C0F91">
        <w:rPr>
          <w:rFonts w:ascii="Times New Roman" w:hAnsi="Times New Roman" w:cs="Times New Roman"/>
          <w:sz w:val="24"/>
          <w:szCs w:val="24"/>
        </w:rPr>
        <w:t xml:space="preserve">, US$ 370 913.85 for </w:t>
      </w:r>
      <w:r w:rsidR="005B443B">
        <w:rPr>
          <w:rFonts w:ascii="Times New Roman" w:hAnsi="Times New Roman" w:cs="Times New Roman"/>
          <w:sz w:val="24"/>
          <w:szCs w:val="24"/>
        </w:rPr>
        <w:t xml:space="preserve">the </w:t>
      </w:r>
      <w:r w:rsidR="007C0F91">
        <w:rPr>
          <w:rFonts w:ascii="Times New Roman" w:hAnsi="Times New Roman" w:cs="Times New Roman"/>
          <w:sz w:val="24"/>
          <w:szCs w:val="24"/>
        </w:rPr>
        <w:t>2011</w:t>
      </w:r>
      <w:r w:rsidR="005B443B">
        <w:rPr>
          <w:rFonts w:ascii="Times New Roman" w:hAnsi="Times New Roman" w:cs="Times New Roman"/>
          <w:sz w:val="24"/>
          <w:szCs w:val="24"/>
        </w:rPr>
        <w:t xml:space="preserve"> tax year</w:t>
      </w:r>
      <w:r w:rsidR="007C0F91">
        <w:rPr>
          <w:rFonts w:ascii="Times New Roman" w:hAnsi="Times New Roman" w:cs="Times New Roman"/>
          <w:sz w:val="24"/>
          <w:szCs w:val="24"/>
        </w:rPr>
        <w:t xml:space="preserve">, US$ 863 252.70 for </w:t>
      </w:r>
      <w:r w:rsidR="00E077E2">
        <w:rPr>
          <w:rFonts w:ascii="Times New Roman" w:hAnsi="Times New Roman" w:cs="Times New Roman"/>
          <w:sz w:val="24"/>
          <w:szCs w:val="24"/>
        </w:rPr>
        <w:t xml:space="preserve">the </w:t>
      </w:r>
      <w:r w:rsidR="007C0F91">
        <w:rPr>
          <w:rFonts w:ascii="Times New Roman" w:hAnsi="Times New Roman" w:cs="Times New Roman"/>
          <w:sz w:val="24"/>
          <w:szCs w:val="24"/>
        </w:rPr>
        <w:t>2012</w:t>
      </w:r>
      <w:r w:rsidR="00E077E2">
        <w:rPr>
          <w:rFonts w:ascii="Times New Roman" w:hAnsi="Times New Roman" w:cs="Times New Roman"/>
          <w:sz w:val="24"/>
          <w:szCs w:val="24"/>
        </w:rPr>
        <w:t xml:space="preserve"> tax year</w:t>
      </w:r>
      <w:r w:rsidR="007C0F91">
        <w:rPr>
          <w:rFonts w:ascii="Times New Roman" w:hAnsi="Times New Roman" w:cs="Times New Roman"/>
          <w:sz w:val="24"/>
          <w:szCs w:val="24"/>
        </w:rPr>
        <w:t xml:space="preserve"> and US$ 1 140 000 for </w:t>
      </w:r>
      <w:r w:rsidR="00E077E2">
        <w:rPr>
          <w:rFonts w:ascii="Times New Roman" w:hAnsi="Times New Roman" w:cs="Times New Roman"/>
          <w:sz w:val="24"/>
          <w:szCs w:val="24"/>
        </w:rPr>
        <w:t xml:space="preserve">the </w:t>
      </w:r>
      <w:r w:rsidR="007C0F91">
        <w:rPr>
          <w:rFonts w:ascii="Times New Roman" w:hAnsi="Times New Roman" w:cs="Times New Roman"/>
          <w:sz w:val="24"/>
          <w:szCs w:val="24"/>
        </w:rPr>
        <w:t>2013</w:t>
      </w:r>
      <w:r w:rsidR="00E077E2">
        <w:rPr>
          <w:rFonts w:ascii="Times New Roman" w:hAnsi="Times New Roman" w:cs="Times New Roman"/>
          <w:sz w:val="24"/>
          <w:szCs w:val="24"/>
        </w:rPr>
        <w:t>, tax year</w:t>
      </w:r>
      <w:r w:rsidR="00485476">
        <w:rPr>
          <w:rStyle w:val="FootnoteReference"/>
          <w:rFonts w:ascii="Times New Roman" w:hAnsi="Times New Roman" w:cs="Times New Roman"/>
          <w:sz w:val="24"/>
          <w:szCs w:val="24"/>
        </w:rPr>
        <w:footnoteReference w:id="1"/>
      </w:r>
      <w:r w:rsidR="00E077E2">
        <w:rPr>
          <w:rFonts w:ascii="Times New Roman" w:hAnsi="Times New Roman" w:cs="Times New Roman"/>
          <w:sz w:val="24"/>
          <w:szCs w:val="24"/>
        </w:rPr>
        <w:t xml:space="preserve">. The basis for such disallowances was that the brand name was enhanced in the local market only through the advertising, marketing and promotion activities of the appellant and not the parent company. </w:t>
      </w:r>
      <w:r w:rsidR="007E7615">
        <w:rPr>
          <w:rFonts w:ascii="Times New Roman" w:hAnsi="Times New Roman" w:cs="Times New Roman"/>
          <w:sz w:val="24"/>
          <w:szCs w:val="24"/>
        </w:rPr>
        <w:lastRenderedPageBreak/>
        <w:t xml:space="preserve">The respondent allowed the intellectual property fees </w:t>
      </w:r>
      <w:r w:rsidR="00485476">
        <w:rPr>
          <w:rFonts w:ascii="Times New Roman" w:hAnsi="Times New Roman" w:cs="Times New Roman"/>
          <w:sz w:val="24"/>
          <w:szCs w:val="24"/>
        </w:rPr>
        <w:t>in recognition of the</w:t>
      </w:r>
      <w:r w:rsidR="00886823">
        <w:rPr>
          <w:rFonts w:ascii="Times New Roman" w:hAnsi="Times New Roman" w:cs="Times New Roman"/>
          <w:sz w:val="24"/>
          <w:szCs w:val="24"/>
        </w:rPr>
        <w:t xml:space="preserve"> international best practice of compensating the use of intellectual property rights. </w:t>
      </w:r>
      <w:r w:rsidR="00AF23A8">
        <w:rPr>
          <w:rFonts w:ascii="Times New Roman" w:hAnsi="Times New Roman" w:cs="Times New Roman"/>
          <w:sz w:val="24"/>
          <w:szCs w:val="24"/>
        </w:rPr>
        <w:t>The</w:t>
      </w:r>
      <w:r w:rsidR="00485476">
        <w:rPr>
          <w:rFonts w:ascii="Times New Roman" w:hAnsi="Times New Roman" w:cs="Times New Roman"/>
          <w:sz w:val="24"/>
          <w:szCs w:val="24"/>
        </w:rPr>
        <w:t xml:space="preserve"> appellant produced in exhibit 1 an IPLA, which</w:t>
      </w:r>
      <w:r w:rsidR="00AF23A8">
        <w:rPr>
          <w:rFonts w:ascii="Times New Roman" w:hAnsi="Times New Roman" w:cs="Times New Roman"/>
          <w:sz w:val="24"/>
          <w:szCs w:val="24"/>
        </w:rPr>
        <w:t xml:space="preserve"> commenced on 1 January 2012</w:t>
      </w:r>
      <w:r w:rsidR="00C4429C">
        <w:rPr>
          <w:rFonts w:ascii="Times New Roman" w:hAnsi="Times New Roman" w:cs="Times New Roman"/>
          <w:sz w:val="24"/>
          <w:szCs w:val="24"/>
        </w:rPr>
        <w:t>,</w:t>
      </w:r>
      <w:r w:rsidR="00AF23A8">
        <w:rPr>
          <w:rFonts w:ascii="Times New Roman" w:hAnsi="Times New Roman" w:cs="Times New Roman"/>
          <w:sz w:val="24"/>
          <w:szCs w:val="24"/>
        </w:rPr>
        <w:t xml:space="preserve"> </w:t>
      </w:r>
      <w:r w:rsidR="00485476">
        <w:rPr>
          <w:rFonts w:ascii="Times New Roman" w:hAnsi="Times New Roman" w:cs="Times New Roman"/>
          <w:sz w:val="24"/>
          <w:szCs w:val="24"/>
        </w:rPr>
        <w:t>and in which the licence fee payable to the parent comp</w:t>
      </w:r>
      <w:r w:rsidR="008B3E27">
        <w:rPr>
          <w:rFonts w:ascii="Times New Roman" w:hAnsi="Times New Roman" w:cs="Times New Roman"/>
          <w:sz w:val="24"/>
          <w:szCs w:val="24"/>
        </w:rPr>
        <w:t>any was set at 4%. It</w:t>
      </w:r>
      <w:r w:rsidR="00485476">
        <w:rPr>
          <w:rFonts w:ascii="Times New Roman" w:hAnsi="Times New Roman" w:cs="Times New Roman"/>
          <w:sz w:val="24"/>
          <w:szCs w:val="24"/>
        </w:rPr>
        <w:t xml:space="preserve"> failed to link this document to the MBA, which took effect on 1 January 2011</w:t>
      </w:r>
      <w:r w:rsidR="008B3E27">
        <w:rPr>
          <w:rFonts w:ascii="Times New Roman" w:hAnsi="Times New Roman" w:cs="Times New Roman"/>
          <w:sz w:val="24"/>
          <w:szCs w:val="24"/>
        </w:rPr>
        <w:t>, and the IFA</w:t>
      </w:r>
      <w:r w:rsidR="00485476">
        <w:rPr>
          <w:rFonts w:ascii="Times New Roman" w:hAnsi="Times New Roman" w:cs="Times New Roman"/>
          <w:sz w:val="24"/>
          <w:szCs w:val="24"/>
        </w:rPr>
        <w:t xml:space="preserve">. </w:t>
      </w:r>
      <w:r w:rsidR="008B3E27">
        <w:rPr>
          <w:rFonts w:ascii="Times New Roman" w:hAnsi="Times New Roman" w:cs="Times New Roman"/>
          <w:sz w:val="24"/>
          <w:szCs w:val="24"/>
        </w:rPr>
        <w:t>It appeared to me that the MBA and the IPLA, which were renewable annually, and the IFA operated simultaneously.</w:t>
      </w:r>
      <w:r w:rsidR="00964266">
        <w:rPr>
          <w:rFonts w:ascii="Times New Roman" w:hAnsi="Times New Roman" w:cs="Times New Roman"/>
          <w:sz w:val="24"/>
          <w:szCs w:val="24"/>
        </w:rPr>
        <w:t xml:space="preserve"> </w:t>
      </w:r>
    </w:p>
    <w:p w:rsidR="00D16FE8" w:rsidRDefault="00886823" w:rsidP="003E646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appellant </w:t>
      </w:r>
      <w:r w:rsidR="008C1F83">
        <w:rPr>
          <w:rFonts w:ascii="Times New Roman" w:hAnsi="Times New Roman" w:cs="Times New Roman"/>
          <w:sz w:val="24"/>
          <w:szCs w:val="24"/>
        </w:rPr>
        <w:t xml:space="preserve">contended that it incurred master branding fees, which accrued to the </w:t>
      </w:r>
      <w:r w:rsidR="0021287A">
        <w:rPr>
          <w:rFonts w:ascii="Times New Roman" w:hAnsi="Times New Roman" w:cs="Times New Roman"/>
          <w:sz w:val="24"/>
          <w:szCs w:val="24"/>
        </w:rPr>
        <w:t>parent company as the franchisor or licensor of the 183 year old brand</w:t>
      </w:r>
      <w:r w:rsidR="008C1F83">
        <w:rPr>
          <w:rFonts w:ascii="Times New Roman" w:hAnsi="Times New Roman" w:cs="Times New Roman"/>
          <w:sz w:val="24"/>
          <w:szCs w:val="24"/>
        </w:rPr>
        <w:t>.</w:t>
      </w:r>
      <w:r w:rsidR="0021287A">
        <w:rPr>
          <w:rFonts w:ascii="Times New Roman" w:hAnsi="Times New Roman" w:cs="Times New Roman"/>
          <w:sz w:val="24"/>
          <w:szCs w:val="24"/>
        </w:rPr>
        <w:t xml:space="preserve"> </w:t>
      </w:r>
      <w:r w:rsidR="008C1F83">
        <w:rPr>
          <w:rFonts w:ascii="Times New Roman" w:hAnsi="Times New Roman" w:cs="Times New Roman"/>
          <w:sz w:val="24"/>
          <w:szCs w:val="24"/>
        </w:rPr>
        <w:t>It attributed these fees to</w:t>
      </w:r>
      <w:r w:rsidR="0021287A">
        <w:rPr>
          <w:rFonts w:ascii="Times New Roman" w:hAnsi="Times New Roman" w:cs="Times New Roman"/>
          <w:sz w:val="24"/>
          <w:szCs w:val="24"/>
        </w:rPr>
        <w:t xml:space="preserve"> </w:t>
      </w:r>
      <w:r w:rsidR="00C4429C">
        <w:rPr>
          <w:rFonts w:ascii="Times New Roman" w:hAnsi="Times New Roman" w:cs="Times New Roman"/>
          <w:sz w:val="24"/>
          <w:szCs w:val="24"/>
        </w:rPr>
        <w:t>the subtle</w:t>
      </w:r>
      <w:r w:rsidR="0021287A">
        <w:rPr>
          <w:rFonts w:ascii="Times New Roman" w:hAnsi="Times New Roman" w:cs="Times New Roman"/>
          <w:sz w:val="24"/>
          <w:szCs w:val="24"/>
        </w:rPr>
        <w:t xml:space="preserve"> </w:t>
      </w:r>
      <w:r w:rsidR="00AD2560">
        <w:rPr>
          <w:rFonts w:ascii="Times New Roman" w:hAnsi="Times New Roman" w:cs="Times New Roman"/>
          <w:sz w:val="24"/>
          <w:szCs w:val="24"/>
        </w:rPr>
        <w:t xml:space="preserve">global awareness campaign conducted by the parent company to familiarise and create the brand </w:t>
      </w:r>
      <w:r w:rsidR="006C2637">
        <w:rPr>
          <w:rFonts w:ascii="Times New Roman" w:hAnsi="Times New Roman" w:cs="Times New Roman"/>
          <w:sz w:val="24"/>
          <w:szCs w:val="24"/>
        </w:rPr>
        <w:t xml:space="preserve">as a criterion of choice for customers and </w:t>
      </w:r>
      <w:r w:rsidR="002D65EC">
        <w:rPr>
          <w:rFonts w:ascii="Times New Roman" w:hAnsi="Times New Roman" w:cs="Times New Roman"/>
          <w:sz w:val="24"/>
          <w:szCs w:val="24"/>
        </w:rPr>
        <w:t xml:space="preserve">consumers </w:t>
      </w:r>
      <w:r w:rsidR="00AD2560">
        <w:rPr>
          <w:rFonts w:ascii="Times New Roman" w:hAnsi="Times New Roman" w:cs="Times New Roman"/>
          <w:sz w:val="24"/>
          <w:szCs w:val="24"/>
        </w:rPr>
        <w:t xml:space="preserve">in </w:t>
      </w:r>
      <w:r w:rsidR="009D42F7">
        <w:rPr>
          <w:rFonts w:ascii="Times New Roman" w:hAnsi="Times New Roman" w:cs="Times New Roman"/>
          <w:sz w:val="24"/>
          <w:szCs w:val="24"/>
        </w:rPr>
        <w:t>the global</w:t>
      </w:r>
      <w:r w:rsidR="00AD2560">
        <w:rPr>
          <w:rFonts w:ascii="Times New Roman" w:hAnsi="Times New Roman" w:cs="Times New Roman"/>
          <w:sz w:val="24"/>
          <w:szCs w:val="24"/>
        </w:rPr>
        <w:t xml:space="preserve"> village to which the local market belonged. </w:t>
      </w:r>
      <w:r w:rsidR="00F10AEB">
        <w:rPr>
          <w:rFonts w:ascii="Times New Roman" w:hAnsi="Times New Roman" w:cs="Times New Roman"/>
          <w:sz w:val="24"/>
          <w:szCs w:val="24"/>
        </w:rPr>
        <w:t xml:space="preserve">The respondent contended that </w:t>
      </w:r>
      <w:r w:rsidR="002107E2">
        <w:rPr>
          <w:rFonts w:ascii="Times New Roman" w:hAnsi="Times New Roman" w:cs="Times New Roman"/>
          <w:sz w:val="24"/>
          <w:szCs w:val="24"/>
        </w:rPr>
        <w:t>the rental</w:t>
      </w:r>
      <w:r w:rsidR="00622E68">
        <w:rPr>
          <w:rFonts w:ascii="Times New Roman" w:hAnsi="Times New Roman" w:cs="Times New Roman"/>
          <w:sz w:val="24"/>
          <w:szCs w:val="24"/>
        </w:rPr>
        <w:t xml:space="preserve"> or </w:t>
      </w:r>
      <w:r w:rsidR="00F10AEB">
        <w:rPr>
          <w:rFonts w:ascii="Times New Roman" w:hAnsi="Times New Roman" w:cs="Times New Roman"/>
          <w:sz w:val="24"/>
          <w:szCs w:val="24"/>
        </w:rPr>
        <w:t xml:space="preserve">use </w:t>
      </w:r>
      <w:r w:rsidR="002D0B29">
        <w:rPr>
          <w:rFonts w:ascii="Times New Roman" w:hAnsi="Times New Roman" w:cs="Times New Roman"/>
          <w:sz w:val="24"/>
          <w:szCs w:val="24"/>
        </w:rPr>
        <w:t xml:space="preserve">and application </w:t>
      </w:r>
      <w:r w:rsidR="00F10AEB">
        <w:rPr>
          <w:rFonts w:ascii="Times New Roman" w:hAnsi="Times New Roman" w:cs="Times New Roman"/>
          <w:sz w:val="24"/>
          <w:szCs w:val="24"/>
        </w:rPr>
        <w:t>of the trademark, word mark and logo on its own</w:t>
      </w:r>
      <w:r w:rsidR="008C1F83">
        <w:rPr>
          <w:rFonts w:ascii="Times New Roman" w:hAnsi="Times New Roman" w:cs="Times New Roman"/>
          <w:sz w:val="24"/>
          <w:szCs w:val="24"/>
        </w:rPr>
        <w:t xml:space="preserve"> and without any</w:t>
      </w:r>
      <w:r w:rsidR="00F94A0D">
        <w:rPr>
          <w:rFonts w:ascii="Times New Roman" w:hAnsi="Times New Roman" w:cs="Times New Roman"/>
          <w:sz w:val="24"/>
          <w:szCs w:val="24"/>
        </w:rPr>
        <w:t xml:space="preserve"> advertising, marketing and promotion efforts </w:t>
      </w:r>
      <w:r w:rsidR="00F10AEB">
        <w:rPr>
          <w:rFonts w:ascii="Times New Roman" w:hAnsi="Times New Roman" w:cs="Times New Roman"/>
          <w:sz w:val="24"/>
          <w:szCs w:val="24"/>
        </w:rPr>
        <w:t>did not produce any income</w:t>
      </w:r>
      <w:r w:rsidR="00F06398">
        <w:rPr>
          <w:rFonts w:ascii="Times New Roman" w:hAnsi="Times New Roman" w:cs="Times New Roman"/>
          <w:sz w:val="24"/>
          <w:szCs w:val="24"/>
        </w:rPr>
        <w:t xml:space="preserve"> and disentitled the parent </w:t>
      </w:r>
      <w:r w:rsidR="008E3441">
        <w:rPr>
          <w:rFonts w:ascii="Times New Roman" w:hAnsi="Times New Roman" w:cs="Times New Roman"/>
          <w:sz w:val="24"/>
          <w:szCs w:val="24"/>
        </w:rPr>
        <w:t xml:space="preserve">company </w:t>
      </w:r>
      <w:r w:rsidR="00964266">
        <w:rPr>
          <w:rFonts w:ascii="Times New Roman" w:hAnsi="Times New Roman" w:cs="Times New Roman"/>
          <w:sz w:val="24"/>
          <w:szCs w:val="24"/>
        </w:rPr>
        <w:t>from receiving master branding income against</w:t>
      </w:r>
      <w:r w:rsidR="00F10AEB">
        <w:rPr>
          <w:rFonts w:ascii="Times New Roman" w:hAnsi="Times New Roman" w:cs="Times New Roman"/>
          <w:sz w:val="24"/>
          <w:szCs w:val="24"/>
        </w:rPr>
        <w:t xml:space="preserve"> </w:t>
      </w:r>
      <w:r w:rsidR="00F06398">
        <w:rPr>
          <w:rFonts w:ascii="Times New Roman" w:hAnsi="Times New Roman" w:cs="Times New Roman"/>
          <w:sz w:val="24"/>
          <w:szCs w:val="24"/>
        </w:rPr>
        <w:t>which the appellant could deduct</w:t>
      </w:r>
      <w:r w:rsidR="00F10AEB">
        <w:rPr>
          <w:rFonts w:ascii="Times New Roman" w:hAnsi="Times New Roman" w:cs="Times New Roman"/>
          <w:sz w:val="24"/>
          <w:szCs w:val="24"/>
        </w:rPr>
        <w:t xml:space="preserve"> master branding fees. </w:t>
      </w:r>
    </w:p>
    <w:p w:rsidR="004653B4" w:rsidRDefault="00BE3B6B" w:rsidP="003E646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appellant describ</w:t>
      </w:r>
      <w:r w:rsidR="00152690">
        <w:rPr>
          <w:rFonts w:ascii="Times New Roman" w:hAnsi="Times New Roman" w:cs="Times New Roman"/>
          <w:sz w:val="24"/>
          <w:szCs w:val="24"/>
        </w:rPr>
        <w:t xml:space="preserve">ed the </w:t>
      </w:r>
      <w:r>
        <w:rPr>
          <w:rFonts w:ascii="Times New Roman" w:hAnsi="Times New Roman" w:cs="Times New Roman"/>
          <w:sz w:val="24"/>
          <w:szCs w:val="24"/>
        </w:rPr>
        <w:t xml:space="preserve">global awareness </w:t>
      </w:r>
      <w:r w:rsidR="00152690">
        <w:rPr>
          <w:rFonts w:ascii="Times New Roman" w:hAnsi="Times New Roman" w:cs="Times New Roman"/>
          <w:sz w:val="24"/>
          <w:szCs w:val="24"/>
        </w:rPr>
        <w:t>campaign as</w:t>
      </w:r>
      <w:r w:rsidR="00835CD7">
        <w:rPr>
          <w:rFonts w:ascii="Times New Roman" w:hAnsi="Times New Roman" w:cs="Times New Roman"/>
          <w:sz w:val="24"/>
          <w:szCs w:val="24"/>
        </w:rPr>
        <w:t xml:space="preserve"> a ma</w:t>
      </w:r>
      <w:r>
        <w:rPr>
          <w:rFonts w:ascii="Times New Roman" w:hAnsi="Times New Roman" w:cs="Times New Roman"/>
          <w:sz w:val="24"/>
          <w:szCs w:val="24"/>
        </w:rPr>
        <w:t>rketing intangible asset,</w:t>
      </w:r>
      <w:r w:rsidR="00152690">
        <w:rPr>
          <w:rFonts w:ascii="Times New Roman" w:hAnsi="Times New Roman" w:cs="Times New Roman"/>
          <w:sz w:val="24"/>
          <w:szCs w:val="24"/>
        </w:rPr>
        <w:t xml:space="preserve"> which the parent company </w:t>
      </w:r>
      <w:r>
        <w:rPr>
          <w:rFonts w:ascii="Times New Roman" w:hAnsi="Times New Roman" w:cs="Times New Roman"/>
          <w:sz w:val="24"/>
          <w:szCs w:val="24"/>
        </w:rPr>
        <w:t xml:space="preserve">used to </w:t>
      </w:r>
      <w:r w:rsidR="00152690">
        <w:rPr>
          <w:rFonts w:ascii="Times New Roman" w:hAnsi="Times New Roman" w:cs="Times New Roman"/>
          <w:sz w:val="24"/>
          <w:szCs w:val="24"/>
        </w:rPr>
        <w:t>continual</w:t>
      </w:r>
      <w:r>
        <w:rPr>
          <w:rFonts w:ascii="Times New Roman" w:hAnsi="Times New Roman" w:cs="Times New Roman"/>
          <w:sz w:val="24"/>
          <w:szCs w:val="24"/>
        </w:rPr>
        <w:t>ly</w:t>
      </w:r>
      <w:r w:rsidR="00152690">
        <w:rPr>
          <w:rFonts w:ascii="Times New Roman" w:hAnsi="Times New Roman" w:cs="Times New Roman"/>
          <w:sz w:val="24"/>
          <w:szCs w:val="24"/>
        </w:rPr>
        <w:t xml:space="preserve"> </w:t>
      </w:r>
      <w:r w:rsidR="00E42C4D">
        <w:rPr>
          <w:rFonts w:ascii="Times New Roman" w:hAnsi="Times New Roman" w:cs="Times New Roman"/>
          <w:sz w:val="24"/>
          <w:szCs w:val="24"/>
        </w:rPr>
        <w:t xml:space="preserve">and regularly </w:t>
      </w:r>
      <w:r w:rsidR="00152690">
        <w:rPr>
          <w:rFonts w:ascii="Times New Roman" w:hAnsi="Times New Roman" w:cs="Times New Roman"/>
          <w:sz w:val="24"/>
          <w:szCs w:val="24"/>
        </w:rPr>
        <w:t>in</w:t>
      </w:r>
      <w:r>
        <w:rPr>
          <w:rFonts w:ascii="Times New Roman" w:hAnsi="Times New Roman" w:cs="Times New Roman"/>
          <w:sz w:val="24"/>
          <w:szCs w:val="24"/>
        </w:rPr>
        <w:t xml:space="preserve">stilled and maintained brand loyalty in the minds of existing and </w:t>
      </w:r>
      <w:r w:rsidR="00506B69">
        <w:rPr>
          <w:rFonts w:ascii="Times New Roman" w:hAnsi="Times New Roman" w:cs="Times New Roman"/>
          <w:sz w:val="24"/>
          <w:szCs w:val="24"/>
        </w:rPr>
        <w:t xml:space="preserve">prospective customers. </w:t>
      </w:r>
      <w:r w:rsidR="00835CD7">
        <w:rPr>
          <w:rFonts w:ascii="Times New Roman" w:hAnsi="Times New Roman" w:cs="Times New Roman"/>
          <w:sz w:val="24"/>
          <w:szCs w:val="24"/>
        </w:rPr>
        <w:t xml:space="preserve">The campaign was predicated </w:t>
      </w:r>
      <w:r w:rsidR="00506B69">
        <w:rPr>
          <w:rFonts w:ascii="Times New Roman" w:hAnsi="Times New Roman" w:cs="Times New Roman"/>
          <w:sz w:val="24"/>
          <w:szCs w:val="24"/>
        </w:rPr>
        <w:t>up</w:t>
      </w:r>
      <w:r w:rsidR="00835CD7">
        <w:rPr>
          <w:rFonts w:ascii="Times New Roman" w:hAnsi="Times New Roman" w:cs="Times New Roman"/>
          <w:sz w:val="24"/>
          <w:szCs w:val="24"/>
        </w:rPr>
        <w:t xml:space="preserve">on the twin pillars of development and guidance. </w:t>
      </w:r>
      <w:r w:rsidR="0046403E">
        <w:rPr>
          <w:rFonts w:ascii="Times New Roman" w:hAnsi="Times New Roman" w:cs="Times New Roman"/>
          <w:sz w:val="24"/>
          <w:szCs w:val="24"/>
        </w:rPr>
        <w:t>D</w:t>
      </w:r>
      <w:r w:rsidR="00152690">
        <w:rPr>
          <w:rFonts w:ascii="Times New Roman" w:hAnsi="Times New Roman" w:cs="Times New Roman"/>
          <w:sz w:val="24"/>
          <w:szCs w:val="24"/>
        </w:rPr>
        <w:t>evelopment</w:t>
      </w:r>
      <w:r w:rsidR="0046403E">
        <w:rPr>
          <w:rFonts w:ascii="Times New Roman" w:hAnsi="Times New Roman" w:cs="Times New Roman"/>
          <w:sz w:val="24"/>
          <w:szCs w:val="24"/>
        </w:rPr>
        <w:t xml:space="preserve"> entailed the provision</w:t>
      </w:r>
      <w:r w:rsidR="006765A7">
        <w:rPr>
          <w:rFonts w:ascii="Times New Roman" w:hAnsi="Times New Roman" w:cs="Times New Roman"/>
          <w:sz w:val="24"/>
          <w:szCs w:val="24"/>
        </w:rPr>
        <w:t xml:space="preserve"> of</w:t>
      </w:r>
      <w:r w:rsidR="00152690">
        <w:rPr>
          <w:rFonts w:ascii="Times New Roman" w:hAnsi="Times New Roman" w:cs="Times New Roman"/>
          <w:sz w:val="24"/>
          <w:szCs w:val="24"/>
        </w:rPr>
        <w:t xml:space="preserve"> training and support services</w:t>
      </w:r>
      <w:r w:rsidR="0046403E">
        <w:rPr>
          <w:rFonts w:ascii="Times New Roman" w:hAnsi="Times New Roman" w:cs="Times New Roman"/>
          <w:sz w:val="24"/>
          <w:szCs w:val="24"/>
        </w:rPr>
        <w:t xml:space="preserve"> </w:t>
      </w:r>
      <w:r w:rsidR="006765A7">
        <w:rPr>
          <w:rFonts w:ascii="Times New Roman" w:hAnsi="Times New Roman" w:cs="Times New Roman"/>
          <w:sz w:val="24"/>
          <w:szCs w:val="24"/>
        </w:rPr>
        <w:t xml:space="preserve">while guidance connoted the provision of </w:t>
      </w:r>
      <w:r w:rsidR="00152690">
        <w:rPr>
          <w:rFonts w:ascii="Times New Roman" w:hAnsi="Times New Roman" w:cs="Times New Roman"/>
          <w:sz w:val="24"/>
          <w:szCs w:val="24"/>
        </w:rPr>
        <w:t>strategic leadership, market research tools and c</w:t>
      </w:r>
      <w:r w:rsidR="002D65EC">
        <w:rPr>
          <w:rFonts w:ascii="Times New Roman" w:hAnsi="Times New Roman" w:cs="Times New Roman"/>
          <w:sz w:val="24"/>
          <w:szCs w:val="24"/>
        </w:rPr>
        <w:t>orpo</w:t>
      </w:r>
      <w:r w:rsidR="00A43513">
        <w:rPr>
          <w:rFonts w:ascii="Times New Roman" w:hAnsi="Times New Roman" w:cs="Times New Roman"/>
          <w:sz w:val="24"/>
          <w:szCs w:val="24"/>
        </w:rPr>
        <w:t>rate communication methods</w:t>
      </w:r>
      <w:r w:rsidR="006765A7">
        <w:rPr>
          <w:rFonts w:ascii="Times New Roman" w:hAnsi="Times New Roman" w:cs="Times New Roman"/>
          <w:sz w:val="24"/>
          <w:szCs w:val="24"/>
        </w:rPr>
        <w:t>.</w:t>
      </w:r>
      <w:r w:rsidR="006F0D0F">
        <w:rPr>
          <w:rFonts w:ascii="Times New Roman" w:hAnsi="Times New Roman" w:cs="Times New Roman"/>
          <w:sz w:val="24"/>
          <w:szCs w:val="24"/>
        </w:rPr>
        <w:t xml:space="preserve"> The communication tools were designed to maintain </w:t>
      </w:r>
      <w:r w:rsidR="00BD5AF9">
        <w:rPr>
          <w:rFonts w:ascii="Times New Roman" w:hAnsi="Times New Roman" w:cs="Times New Roman"/>
          <w:sz w:val="24"/>
          <w:szCs w:val="24"/>
        </w:rPr>
        <w:t xml:space="preserve">and </w:t>
      </w:r>
      <w:r w:rsidR="006765A7">
        <w:rPr>
          <w:rFonts w:ascii="Times New Roman" w:hAnsi="Times New Roman" w:cs="Times New Roman"/>
          <w:sz w:val="24"/>
          <w:szCs w:val="24"/>
        </w:rPr>
        <w:t xml:space="preserve">protect and not damage, devalue or distort the image and good name </w:t>
      </w:r>
      <w:r w:rsidR="00BD5AF9">
        <w:rPr>
          <w:rFonts w:ascii="Times New Roman" w:hAnsi="Times New Roman" w:cs="Times New Roman"/>
          <w:sz w:val="24"/>
          <w:szCs w:val="24"/>
        </w:rPr>
        <w:t>of the parent company</w:t>
      </w:r>
      <w:r w:rsidR="006765A7">
        <w:rPr>
          <w:rFonts w:ascii="Times New Roman" w:hAnsi="Times New Roman" w:cs="Times New Roman"/>
          <w:sz w:val="24"/>
          <w:szCs w:val="24"/>
        </w:rPr>
        <w:t>.</w:t>
      </w:r>
      <w:r w:rsidR="00BD5AF9">
        <w:rPr>
          <w:rFonts w:ascii="Times New Roman" w:hAnsi="Times New Roman" w:cs="Times New Roman"/>
          <w:sz w:val="24"/>
          <w:szCs w:val="24"/>
        </w:rPr>
        <w:t xml:space="preserve"> </w:t>
      </w:r>
    </w:p>
    <w:p w:rsidR="00416212" w:rsidRDefault="006765A7" w:rsidP="008807D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IFA, IPLA</w:t>
      </w:r>
      <w:r w:rsidR="009D260F">
        <w:rPr>
          <w:rFonts w:ascii="Times New Roman" w:hAnsi="Times New Roman" w:cs="Times New Roman"/>
          <w:sz w:val="24"/>
          <w:szCs w:val="24"/>
        </w:rPr>
        <w:t xml:space="preserve"> </w:t>
      </w:r>
      <w:r w:rsidR="00113945">
        <w:rPr>
          <w:rFonts w:ascii="Times New Roman" w:hAnsi="Times New Roman" w:cs="Times New Roman"/>
          <w:sz w:val="24"/>
          <w:szCs w:val="24"/>
        </w:rPr>
        <w:t xml:space="preserve">and MBA defined intellectual property rights </w:t>
      </w:r>
      <w:r w:rsidR="000C4D90">
        <w:rPr>
          <w:rFonts w:ascii="Times New Roman" w:hAnsi="Times New Roman" w:cs="Times New Roman"/>
          <w:sz w:val="24"/>
          <w:szCs w:val="24"/>
        </w:rPr>
        <w:t xml:space="preserve">in the same way, </w:t>
      </w:r>
      <w:r w:rsidR="00113945">
        <w:rPr>
          <w:rFonts w:ascii="Times New Roman" w:hAnsi="Times New Roman" w:cs="Times New Roman"/>
          <w:sz w:val="24"/>
          <w:szCs w:val="24"/>
        </w:rPr>
        <w:t xml:space="preserve">as inclusive of </w:t>
      </w:r>
      <w:r w:rsidR="006D3339">
        <w:rPr>
          <w:rFonts w:ascii="Times New Roman" w:hAnsi="Times New Roman" w:cs="Times New Roman"/>
          <w:sz w:val="24"/>
          <w:szCs w:val="24"/>
        </w:rPr>
        <w:t>“trademarks, trade names, company names” and “brands, whether registered or not</w:t>
      </w:r>
      <w:r w:rsidR="00835CD7">
        <w:rPr>
          <w:rFonts w:ascii="Times New Roman" w:hAnsi="Times New Roman" w:cs="Times New Roman"/>
          <w:sz w:val="24"/>
          <w:szCs w:val="24"/>
        </w:rPr>
        <w:t>”</w:t>
      </w:r>
      <w:r w:rsidR="006D3339">
        <w:rPr>
          <w:rFonts w:ascii="Times New Roman" w:hAnsi="Times New Roman" w:cs="Times New Roman"/>
          <w:sz w:val="24"/>
          <w:szCs w:val="24"/>
        </w:rPr>
        <w:t>, respectively.</w:t>
      </w:r>
      <w:r w:rsidR="0065376A">
        <w:rPr>
          <w:rFonts w:ascii="Times New Roman" w:hAnsi="Times New Roman" w:cs="Times New Roman"/>
          <w:sz w:val="24"/>
          <w:szCs w:val="24"/>
        </w:rPr>
        <w:t xml:space="preserve"> The later agreement also defined “Licensor Intellectual Property Rights” as inclusive of “some registered products brands to accompany the sale of the product as described in annexes to this agreement”. </w:t>
      </w:r>
      <w:r w:rsidR="00694D47" w:rsidRPr="00694D47">
        <w:rPr>
          <w:rFonts w:ascii="Times New Roman" w:hAnsi="Times New Roman" w:cs="Times New Roman"/>
          <w:sz w:val="24"/>
          <w:szCs w:val="24"/>
        </w:rPr>
        <w:t xml:space="preserve">The </w:t>
      </w:r>
      <w:r w:rsidR="00694D47">
        <w:rPr>
          <w:rFonts w:ascii="Times New Roman" w:hAnsi="Times New Roman" w:cs="Times New Roman"/>
          <w:sz w:val="24"/>
          <w:szCs w:val="24"/>
        </w:rPr>
        <w:t xml:space="preserve">Group Branding Structures of the parent company were </w:t>
      </w:r>
      <w:r w:rsidR="001643D7">
        <w:rPr>
          <w:rFonts w:ascii="Times New Roman" w:hAnsi="Times New Roman" w:cs="Times New Roman"/>
          <w:sz w:val="24"/>
          <w:szCs w:val="24"/>
        </w:rPr>
        <w:t xml:space="preserve">highlighted </w:t>
      </w:r>
      <w:r w:rsidR="00694D47">
        <w:rPr>
          <w:rFonts w:ascii="Times New Roman" w:hAnsi="Times New Roman" w:cs="Times New Roman"/>
          <w:sz w:val="24"/>
          <w:szCs w:val="24"/>
        </w:rPr>
        <w:t>in the last 5 pages of exh</w:t>
      </w:r>
      <w:r w:rsidR="00835CD7">
        <w:rPr>
          <w:rFonts w:ascii="Times New Roman" w:hAnsi="Times New Roman" w:cs="Times New Roman"/>
          <w:sz w:val="24"/>
          <w:szCs w:val="24"/>
        </w:rPr>
        <w:t>ibit</w:t>
      </w:r>
      <w:r w:rsidR="00694D47">
        <w:rPr>
          <w:rFonts w:ascii="Times New Roman" w:hAnsi="Times New Roman" w:cs="Times New Roman"/>
          <w:sz w:val="24"/>
          <w:szCs w:val="24"/>
        </w:rPr>
        <w:t xml:space="preserve"> 1.  </w:t>
      </w:r>
      <w:r w:rsidR="000A4C6F">
        <w:rPr>
          <w:rFonts w:ascii="Times New Roman" w:hAnsi="Times New Roman" w:cs="Times New Roman"/>
          <w:sz w:val="24"/>
          <w:szCs w:val="24"/>
        </w:rPr>
        <w:t>That document valued the group brand, as at 1 July 2015, at US$ 3 783 000. It further asserted that th</w:t>
      </w:r>
      <w:r w:rsidR="00DA3CAB">
        <w:rPr>
          <w:rFonts w:ascii="Times New Roman" w:hAnsi="Times New Roman" w:cs="Times New Roman"/>
          <w:sz w:val="24"/>
          <w:szCs w:val="24"/>
        </w:rPr>
        <w:t>e p</w:t>
      </w:r>
      <w:r w:rsidR="000C4D90">
        <w:rPr>
          <w:rFonts w:ascii="Times New Roman" w:hAnsi="Times New Roman" w:cs="Times New Roman"/>
          <w:sz w:val="24"/>
          <w:szCs w:val="24"/>
        </w:rPr>
        <w:t xml:space="preserve">arent </w:t>
      </w:r>
      <w:r w:rsidR="000A4C6F">
        <w:rPr>
          <w:rFonts w:ascii="Times New Roman" w:hAnsi="Times New Roman" w:cs="Times New Roman"/>
          <w:sz w:val="24"/>
          <w:szCs w:val="24"/>
        </w:rPr>
        <w:t xml:space="preserve">company, </w:t>
      </w:r>
      <w:r w:rsidR="000C4D90">
        <w:rPr>
          <w:rFonts w:ascii="Times New Roman" w:hAnsi="Times New Roman" w:cs="Times New Roman"/>
          <w:sz w:val="24"/>
          <w:szCs w:val="24"/>
        </w:rPr>
        <w:t>and not the licensee</w:t>
      </w:r>
      <w:r w:rsidR="000A4C6F">
        <w:rPr>
          <w:rFonts w:ascii="Times New Roman" w:hAnsi="Times New Roman" w:cs="Times New Roman"/>
          <w:sz w:val="24"/>
          <w:szCs w:val="24"/>
        </w:rPr>
        <w:t>,</w:t>
      </w:r>
      <w:r w:rsidR="000C4D90">
        <w:rPr>
          <w:rFonts w:ascii="Times New Roman" w:hAnsi="Times New Roman" w:cs="Times New Roman"/>
          <w:sz w:val="24"/>
          <w:szCs w:val="24"/>
        </w:rPr>
        <w:t xml:space="preserve"> carried</w:t>
      </w:r>
      <w:r w:rsidR="00DA3CAB">
        <w:rPr>
          <w:rFonts w:ascii="Times New Roman" w:hAnsi="Times New Roman" w:cs="Times New Roman"/>
          <w:sz w:val="24"/>
          <w:szCs w:val="24"/>
        </w:rPr>
        <w:t xml:space="preserve"> the cost of creating and establishing the brand produc</w:t>
      </w:r>
      <w:r w:rsidR="000A4C6F">
        <w:rPr>
          <w:rFonts w:ascii="Times New Roman" w:hAnsi="Times New Roman" w:cs="Times New Roman"/>
          <w:sz w:val="24"/>
          <w:szCs w:val="24"/>
        </w:rPr>
        <w:t xml:space="preserve">t locally while </w:t>
      </w:r>
      <w:r w:rsidR="000C4D90">
        <w:rPr>
          <w:rFonts w:ascii="Times New Roman" w:hAnsi="Times New Roman" w:cs="Times New Roman"/>
          <w:sz w:val="24"/>
          <w:szCs w:val="24"/>
        </w:rPr>
        <w:t>the licensee carried the</w:t>
      </w:r>
      <w:r w:rsidR="00DA3CAB">
        <w:rPr>
          <w:rFonts w:ascii="Times New Roman" w:hAnsi="Times New Roman" w:cs="Times New Roman"/>
          <w:sz w:val="24"/>
          <w:szCs w:val="24"/>
        </w:rPr>
        <w:t xml:space="preserve"> costs related to </w:t>
      </w:r>
      <w:r w:rsidR="000A4C6F">
        <w:rPr>
          <w:rFonts w:ascii="Times New Roman" w:hAnsi="Times New Roman" w:cs="Times New Roman"/>
          <w:sz w:val="24"/>
          <w:szCs w:val="24"/>
        </w:rPr>
        <w:t xml:space="preserve">the </w:t>
      </w:r>
      <w:r w:rsidR="00DA3CAB">
        <w:rPr>
          <w:rFonts w:ascii="Times New Roman" w:hAnsi="Times New Roman" w:cs="Times New Roman"/>
          <w:sz w:val="24"/>
          <w:szCs w:val="24"/>
        </w:rPr>
        <w:t xml:space="preserve">ongoing creation of value and </w:t>
      </w:r>
      <w:r w:rsidR="00464958">
        <w:rPr>
          <w:rFonts w:ascii="Times New Roman" w:hAnsi="Times New Roman" w:cs="Times New Roman"/>
          <w:sz w:val="24"/>
          <w:szCs w:val="24"/>
        </w:rPr>
        <w:t>maintenance</w:t>
      </w:r>
      <w:r w:rsidR="00DA3CAB">
        <w:rPr>
          <w:rFonts w:ascii="Times New Roman" w:hAnsi="Times New Roman" w:cs="Times New Roman"/>
          <w:sz w:val="24"/>
          <w:szCs w:val="24"/>
        </w:rPr>
        <w:t xml:space="preserve"> </w:t>
      </w:r>
      <w:r w:rsidR="000A4C6F">
        <w:rPr>
          <w:rFonts w:ascii="Times New Roman" w:hAnsi="Times New Roman" w:cs="Times New Roman"/>
          <w:sz w:val="24"/>
          <w:szCs w:val="24"/>
        </w:rPr>
        <w:t>of the brand at</w:t>
      </w:r>
      <w:r w:rsidR="00DA3CAB">
        <w:rPr>
          <w:rFonts w:ascii="Times New Roman" w:hAnsi="Times New Roman" w:cs="Times New Roman"/>
          <w:sz w:val="24"/>
          <w:szCs w:val="24"/>
        </w:rPr>
        <w:t xml:space="preserve"> the local level.</w:t>
      </w:r>
      <w:r w:rsidR="00DF4011">
        <w:rPr>
          <w:rFonts w:ascii="Times New Roman" w:hAnsi="Times New Roman" w:cs="Times New Roman"/>
          <w:sz w:val="24"/>
          <w:szCs w:val="24"/>
        </w:rPr>
        <w:t xml:space="preserve"> </w:t>
      </w:r>
      <w:r w:rsidR="000A4C6F">
        <w:rPr>
          <w:rFonts w:ascii="Times New Roman" w:hAnsi="Times New Roman" w:cs="Times New Roman"/>
          <w:sz w:val="24"/>
          <w:szCs w:val="24"/>
        </w:rPr>
        <w:lastRenderedPageBreak/>
        <w:t>Lastly, the document indicated that the</w:t>
      </w:r>
      <w:r w:rsidR="00DF4011">
        <w:rPr>
          <w:rFonts w:ascii="Times New Roman" w:hAnsi="Times New Roman" w:cs="Times New Roman"/>
          <w:sz w:val="24"/>
          <w:szCs w:val="24"/>
        </w:rPr>
        <w:t xml:space="preserve"> marketing intangibles undertaken by the parent </w:t>
      </w:r>
      <w:r w:rsidR="000A4C6F">
        <w:rPr>
          <w:rFonts w:ascii="Times New Roman" w:hAnsi="Times New Roman" w:cs="Times New Roman"/>
          <w:sz w:val="24"/>
          <w:szCs w:val="24"/>
        </w:rPr>
        <w:t xml:space="preserve">company </w:t>
      </w:r>
      <w:r w:rsidR="00DF4011">
        <w:rPr>
          <w:rFonts w:ascii="Times New Roman" w:hAnsi="Times New Roman" w:cs="Times New Roman"/>
          <w:sz w:val="24"/>
          <w:szCs w:val="24"/>
        </w:rPr>
        <w:t>create</w:t>
      </w:r>
      <w:r w:rsidR="00416212">
        <w:rPr>
          <w:rFonts w:ascii="Times New Roman" w:hAnsi="Times New Roman" w:cs="Times New Roman"/>
          <w:sz w:val="24"/>
          <w:szCs w:val="24"/>
        </w:rPr>
        <w:t xml:space="preserve">d value through customer loyalty and trust. </w:t>
      </w:r>
    </w:p>
    <w:p w:rsidR="00FE7718" w:rsidRDefault="005F4AF8" w:rsidP="008807D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evidence of the sole witness established that income accrued to the appellant through the sale of branded cement and allied products. It further established that the appellant incurred expenses in manufacturing the cement and allied products and in marketing them in the local market</w:t>
      </w:r>
      <w:r w:rsidR="00FB2CC7">
        <w:rPr>
          <w:rFonts w:ascii="Times New Roman" w:hAnsi="Times New Roman" w:cs="Times New Roman"/>
          <w:sz w:val="24"/>
          <w:szCs w:val="24"/>
        </w:rPr>
        <w:t xml:space="preserve">, which constituted allowable deductions. The evidence also established that the appellant had a contractual obligation to </w:t>
      </w:r>
      <w:r w:rsidR="0062443E">
        <w:rPr>
          <w:rFonts w:ascii="Times New Roman" w:hAnsi="Times New Roman" w:cs="Times New Roman"/>
          <w:sz w:val="24"/>
          <w:szCs w:val="24"/>
        </w:rPr>
        <w:t xml:space="preserve">and actually did </w:t>
      </w:r>
      <w:r w:rsidR="00FB2CC7">
        <w:rPr>
          <w:rFonts w:ascii="Times New Roman" w:hAnsi="Times New Roman" w:cs="Times New Roman"/>
          <w:sz w:val="24"/>
          <w:szCs w:val="24"/>
        </w:rPr>
        <w:t>pay master branding fees to the parent company. T</w:t>
      </w:r>
      <w:r w:rsidR="00416212">
        <w:rPr>
          <w:rFonts w:ascii="Times New Roman" w:hAnsi="Times New Roman" w:cs="Times New Roman"/>
          <w:sz w:val="24"/>
          <w:szCs w:val="24"/>
        </w:rPr>
        <w:t>he dispute between the parties wa</w:t>
      </w:r>
      <w:r w:rsidR="00FB2CC7">
        <w:rPr>
          <w:rFonts w:ascii="Times New Roman" w:hAnsi="Times New Roman" w:cs="Times New Roman"/>
          <w:sz w:val="24"/>
          <w:szCs w:val="24"/>
        </w:rPr>
        <w:t xml:space="preserve">s whether the master branding fees </w:t>
      </w:r>
      <w:r w:rsidR="000A4C6F">
        <w:rPr>
          <w:rFonts w:ascii="Times New Roman" w:hAnsi="Times New Roman" w:cs="Times New Roman"/>
          <w:sz w:val="24"/>
          <w:szCs w:val="24"/>
        </w:rPr>
        <w:t xml:space="preserve">were incurred </w:t>
      </w:r>
      <w:r w:rsidR="00FE7718">
        <w:rPr>
          <w:rFonts w:ascii="Times New Roman" w:hAnsi="Times New Roman" w:cs="Times New Roman"/>
          <w:sz w:val="24"/>
          <w:szCs w:val="24"/>
        </w:rPr>
        <w:t xml:space="preserve">either for the purposes of trade or in the production of income. </w:t>
      </w:r>
    </w:p>
    <w:p w:rsidR="00D015B5" w:rsidRDefault="00551E72" w:rsidP="008807D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dealt with the same issue in </w:t>
      </w:r>
      <w:r w:rsidRPr="00551E72">
        <w:rPr>
          <w:rFonts w:ascii="Times New Roman" w:hAnsi="Times New Roman" w:cs="Times New Roman"/>
          <w:i/>
          <w:sz w:val="24"/>
          <w:szCs w:val="24"/>
        </w:rPr>
        <w:t xml:space="preserve">DEB (Pvt) Ltd </w:t>
      </w:r>
      <w:r w:rsidRPr="008807DC">
        <w:rPr>
          <w:rFonts w:ascii="Times New Roman" w:hAnsi="Times New Roman" w:cs="Times New Roman"/>
          <w:sz w:val="24"/>
          <w:szCs w:val="24"/>
        </w:rPr>
        <w:t>v</w:t>
      </w:r>
      <w:r w:rsidRPr="00551E72">
        <w:rPr>
          <w:rFonts w:ascii="Times New Roman" w:hAnsi="Times New Roman" w:cs="Times New Roman"/>
          <w:i/>
          <w:sz w:val="24"/>
          <w:szCs w:val="24"/>
        </w:rPr>
        <w:t xml:space="preserve"> Zimra</w:t>
      </w:r>
      <w:r>
        <w:rPr>
          <w:rFonts w:ascii="Times New Roman" w:hAnsi="Times New Roman" w:cs="Times New Roman"/>
          <w:sz w:val="24"/>
          <w:szCs w:val="24"/>
        </w:rPr>
        <w:t xml:space="preserve"> HH 664/2019.</w:t>
      </w:r>
      <w:r w:rsidR="00606225">
        <w:rPr>
          <w:rFonts w:ascii="Times New Roman" w:hAnsi="Times New Roman" w:cs="Times New Roman"/>
          <w:sz w:val="24"/>
          <w:szCs w:val="24"/>
        </w:rPr>
        <w:t xml:space="preserve"> On the facts of that case, I held at page 7 of the cyclostyled judgment, that the trademark or brand and the product were indivisible and </w:t>
      </w:r>
      <w:r w:rsidR="0086543A">
        <w:rPr>
          <w:rFonts w:ascii="Times New Roman" w:hAnsi="Times New Roman" w:cs="Times New Roman"/>
          <w:sz w:val="24"/>
          <w:szCs w:val="24"/>
        </w:rPr>
        <w:t>any expenditure arising from their use or application was</w:t>
      </w:r>
      <w:r w:rsidR="00606225">
        <w:rPr>
          <w:rFonts w:ascii="Times New Roman" w:hAnsi="Times New Roman" w:cs="Times New Roman"/>
          <w:sz w:val="24"/>
          <w:szCs w:val="24"/>
        </w:rPr>
        <w:t xml:space="preserve"> deductible from a taxpayer’s income as </w:t>
      </w:r>
      <w:r w:rsidR="0086543A">
        <w:rPr>
          <w:rFonts w:ascii="Times New Roman" w:hAnsi="Times New Roman" w:cs="Times New Roman"/>
          <w:sz w:val="24"/>
          <w:szCs w:val="24"/>
        </w:rPr>
        <w:t>expenditure incurred</w:t>
      </w:r>
      <w:r w:rsidR="00606225">
        <w:rPr>
          <w:rFonts w:ascii="Times New Roman" w:hAnsi="Times New Roman" w:cs="Times New Roman"/>
          <w:sz w:val="24"/>
          <w:szCs w:val="24"/>
        </w:rPr>
        <w:t xml:space="preserve"> for the purposes of trade or in the production of income. </w:t>
      </w:r>
      <w:r w:rsidR="00CC7855">
        <w:rPr>
          <w:rFonts w:ascii="Times New Roman" w:hAnsi="Times New Roman" w:cs="Times New Roman"/>
          <w:sz w:val="24"/>
          <w:szCs w:val="24"/>
        </w:rPr>
        <w:t xml:space="preserve"> The deduction is based on the fact that the expense is derived from a genuine unconditional legal obligation, which the taxpayer must meet. See </w:t>
      </w:r>
      <w:r w:rsidR="00CC7855">
        <w:rPr>
          <w:rFonts w:ascii="Times New Roman" w:hAnsi="Times New Roman" w:cs="Times New Roman"/>
          <w:i/>
          <w:sz w:val="24"/>
          <w:szCs w:val="24"/>
        </w:rPr>
        <w:t xml:space="preserve">Port Elizabeth Electric Tramway Company Ltd </w:t>
      </w:r>
      <w:r w:rsidR="00CC7855" w:rsidRPr="008807DC">
        <w:rPr>
          <w:rFonts w:ascii="Times New Roman" w:hAnsi="Times New Roman" w:cs="Times New Roman"/>
          <w:sz w:val="24"/>
          <w:szCs w:val="24"/>
        </w:rPr>
        <w:t>v</w:t>
      </w:r>
      <w:r w:rsidR="00CC7855">
        <w:rPr>
          <w:rFonts w:ascii="Times New Roman" w:hAnsi="Times New Roman" w:cs="Times New Roman"/>
          <w:i/>
          <w:sz w:val="24"/>
          <w:szCs w:val="24"/>
        </w:rPr>
        <w:t xml:space="preserve"> Commissioner for Inland Revenue </w:t>
      </w:r>
      <w:r w:rsidR="00CC7855">
        <w:rPr>
          <w:rFonts w:ascii="Times New Roman" w:hAnsi="Times New Roman" w:cs="Times New Roman"/>
          <w:sz w:val="24"/>
          <w:szCs w:val="24"/>
        </w:rPr>
        <w:t>1936 CPD 241 at 244, 245 and 246, 8 SATC 13 (C) at 15, 16 and 17-18.</w:t>
      </w:r>
      <w:r w:rsidR="002C6934">
        <w:rPr>
          <w:rFonts w:ascii="Times New Roman" w:hAnsi="Times New Roman" w:cs="Times New Roman"/>
          <w:sz w:val="24"/>
          <w:szCs w:val="24"/>
        </w:rPr>
        <w:t xml:space="preserve"> </w:t>
      </w:r>
      <w:r w:rsidR="002C6934" w:rsidRPr="002C6934">
        <w:rPr>
          <w:rFonts w:ascii="Times New Roman" w:hAnsi="Times New Roman" w:cs="Times New Roman"/>
          <w:i/>
          <w:sz w:val="24"/>
          <w:szCs w:val="24"/>
        </w:rPr>
        <w:t xml:space="preserve">Sub-Nigel Ltd </w:t>
      </w:r>
      <w:r w:rsidR="002C6934" w:rsidRPr="008807DC">
        <w:rPr>
          <w:rFonts w:ascii="Times New Roman" w:hAnsi="Times New Roman" w:cs="Times New Roman"/>
          <w:sz w:val="24"/>
          <w:szCs w:val="24"/>
        </w:rPr>
        <w:t xml:space="preserve">v </w:t>
      </w:r>
      <w:r w:rsidR="002C6934" w:rsidRPr="002C6934">
        <w:rPr>
          <w:rFonts w:ascii="Times New Roman" w:hAnsi="Times New Roman" w:cs="Times New Roman"/>
          <w:i/>
          <w:sz w:val="24"/>
          <w:szCs w:val="24"/>
        </w:rPr>
        <w:t>Commissioner</w:t>
      </w:r>
      <w:r w:rsidR="002C6934">
        <w:rPr>
          <w:rFonts w:ascii="Times New Roman" w:hAnsi="Times New Roman" w:cs="Times New Roman"/>
          <w:i/>
          <w:sz w:val="24"/>
          <w:szCs w:val="24"/>
        </w:rPr>
        <w:t xml:space="preserve"> for Inland Revenue</w:t>
      </w:r>
      <w:r w:rsidR="002C6934">
        <w:rPr>
          <w:rFonts w:ascii="Times New Roman" w:hAnsi="Times New Roman" w:cs="Times New Roman"/>
          <w:sz w:val="24"/>
          <w:szCs w:val="24"/>
        </w:rPr>
        <w:t xml:space="preserve"> 1948 (4) SA 580 (A), </w:t>
      </w:r>
      <w:r w:rsidR="002C6934">
        <w:rPr>
          <w:rFonts w:ascii="Times New Roman" w:hAnsi="Times New Roman" w:cs="Times New Roman"/>
          <w:i/>
          <w:sz w:val="24"/>
          <w:szCs w:val="24"/>
        </w:rPr>
        <w:t xml:space="preserve">Caltex Oil (SA) Ltd </w:t>
      </w:r>
      <w:r w:rsidR="002C6934" w:rsidRPr="008807DC">
        <w:rPr>
          <w:rFonts w:ascii="Times New Roman" w:hAnsi="Times New Roman" w:cs="Times New Roman"/>
          <w:sz w:val="24"/>
          <w:szCs w:val="24"/>
        </w:rPr>
        <w:t>v</w:t>
      </w:r>
      <w:r w:rsidR="002C6934">
        <w:rPr>
          <w:rFonts w:ascii="Times New Roman" w:hAnsi="Times New Roman" w:cs="Times New Roman"/>
          <w:i/>
          <w:sz w:val="24"/>
          <w:szCs w:val="24"/>
        </w:rPr>
        <w:t xml:space="preserve"> Secretary for Inland Revenue </w:t>
      </w:r>
      <w:r w:rsidR="00A96767">
        <w:rPr>
          <w:rFonts w:ascii="Times New Roman" w:hAnsi="Times New Roman" w:cs="Times New Roman"/>
          <w:sz w:val="24"/>
          <w:szCs w:val="24"/>
        </w:rPr>
        <w:t xml:space="preserve">1975 (1) SA 665 (A), </w:t>
      </w:r>
      <w:r w:rsidR="00D015B5" w:rsidRPr="00CD21EB">
        <w:rPr>
          <w:rFonts w:ascii="Times New Roman" w:hAnsi="Times New Roman" w:cs="Times New Roman"/>
          <w:i/>
          <w:sz w:val="24"/>
          <w:szCs w:val="24"/>
        </w:rPr>
        <w:t>Commissioner for Inland Revenue v Standard Bank of South Africa Ltd</w:t>
      </w:r>
      <w:r w:rsidR="00D015B5">
        <w:rPr>
          <w:rFonts w:ascii="Times New Roman" w:hAnsi="Times New Roman" w:cs="Times New Roman"/>
          <w:sz w:val="24"/>
          <w:szCs w:val="24"/>
        </w:rPr>
        <w:t xml:space="preserve"> 1985 (4) SA 485 (A) at 500I; (1985) 47 SATC 179 at 196; </w:t>
      </w:r>
      <w:r w:rsidR="00A96767">
        <w:rPr>
          <w:rFonts w:ascii="Times New Roman" w:hAnsi="Times New Roman" w:cs="Times New Roman"/>
          <w:i/>
          <w:sz w:val="24"/>
          <w:szCs w:val="24"/>
        </w:rPr>
        <w:t xml:space="preserve">L </w:t>
      </w:r>
      <w:r w:rsidR="00A96767" w:rsidRPr="008807DC">
        <w:rPr>
          <w:rFonts w:ascii="Times New Roman" w:hAnsi="Times New Roman" w:cs="Times New Roman"/>
          <w:sz w:val="24"/>
          <w:szCs w:val="24"/>
        </w:rPr>
        <w:t>v</w:t>
      </w:r>
      <w:r w:rsidR="00A96767">
        <w:rPr>
          <w:rFonts w:ascii="Times New Roman" w:hAnsi="Times New Roman" w:cs="Times New Roman"/>
          <w:i/>
          <w:sz w:val="24"/>
          <w:szCs w:val="24"/>
        </w:rPr>
        <w:t xml:space="preserve"> Commissioner of Taxes </w:t>
      </w:r>
      <w:r w:rsidR="00A96767">
        <w:rPr>
          <w:rFonts w:ascii="Times New Roman" w:hAnsi="Times New Roman" w:cs="Times New Roman"/>
          <w:sz w:val="24"/>
          <w:szCs w:val="24"/>
        </w:rPr>
        <w:t xml:space="preserve">1991 (2) ZLR 164 (HC) and </w:t>
      </w:r>
      <w:r w:rsidR="00A96767" w:rsidRPr="00A96767">
        <w:rPr>
          <w:rFonts w:ascii="Times New Roman" w:hAnsi="Times New Roman" w:cs="Times New Roman"/>
          <w:i/>
          <w:sz w:val="24"/>
          <w:szCs w:val="24"/>
        </w:rPr>
        <w:t xml:space="preserve">G Bank Zimbabwe Ltd v Zimbabwe Revenue Authority </w:t>
      </w:r>
      <w:r w:rsidR="00D015B5">
        <w:rPr>
          <w:rFonts w:ascii="Times New Roman" w:hAnsi="Times New Roman" w:cs="Times New Roman"/>
          <w:sz w:val="24"/>
          <w:szCs w:val="24"/>
        </w:rPr>
        <w:t>2015 (1) ZLR 348 (HC).</w:t>
      </w:r>
    </w:p>
    <w:p w:rsidR="00D015B5" w:rsidRDefault="00D015B5" w:rsidP="008807DC">
      <w:pPr>
        <w:ind w:firstLine="720"/>
        <w:jc w:val="both"/>
        <w:rPr>
          <w:rFonts w:ascii="Times New Roman" w:hAnsi="Times New Roman" w:cs="Times New Roman"/>
          <w:sz w:val="24"/>
          <w:szCs w:val="24"/>
        </w:rPr>
      </w:pPr>
      <w:r>
        <w:rPr>
          <w:rFonts w:ascii="Times New Roman" w:hAnsi="Times New Roman" w:cs="Times New Roman"/>
          <w:sz w:val="24"/>
          <w:szCs w:val="24"/>
        </w:rPr>
        <w:t xml:space="preserve">In para 13 of his written submissions, Mr </w:t>
      </w:r>
      <w:r w:rsidRPr="00495163">
        <w:rPr>
          <w:rFonts w:ascii="Times New Roman" w:hAnsi="Times New Roman" w:cs="Times New Roman"/>
          <w:i/>
          <w:sz w:val="24"/>
          <w:szCs w:val="24"/>
        </w:rPr>
        <w:t>de Bourbon</w:t>
      </w:r>
      <w:r w:rsidR="00F91B38">
        <w:rPr>
          <w:rFonts w:ascii="Times New Roman" w:hAnsi="Times New Roman" w:cs="Times New Roman"/>
          <w:sz w:val="24"/>
          <w:szCs w:val="24"/>
        </w:rPr>
        <w:t xml:space="preserve"> contended</w:t>
      </w:r>
      <w:r>
        <w:rPr>
          <w:rFonts w:ascii="Times New Roman" w:hAnsi="Times New Roman" w:cs="Times New Roman"/>
          <w:sz w:val="24"/>
          <w:szCs w:val="24"/>
        </w:rPr>
        <w:t xml:space="preserve"> that:</w:t>
      </w:r>
    </w:p>
    <w:p w:rsidR="00551E72" w:rsidRDefault="00D015B5" w:rsidP="00D015B5">
      <w:pPr>
        <w:ind w:left="720"/>
        <w:jc w:val="both"/>
        <w:rPr>
          <w:rFonts w:ascii="Times New Roman" w:hAnsi="Times New Roman" w:cs="Times New Roman"/>
          <w:sz w:val="24"/>
          <w:szCs w:val="24"/>
        </w:rPr>
      </w:pPr>
      <w:r>
        <w:rPr>
          <w:rFonts w:ascii="Times New Roman" w:hAnsi="Times New Roman" w:cs="Times New Roman"/>
          <w:sz w:val="24"/>
          <w:szCs w:val="24"/>
        </w:rPr>
        <w:t>“</w:t>
      </w:r>
      <w:r w:rsidRPr="008807DC">
        <w:rPr>
          <w:rFonts w:ascii="Times New Roman" w:hAnsi="Times New Roman" w:cs="Times New Roman"/>
        </w:rPr>
        <w:t>The expenditure for the right to use that international brand is undoubtedly incurred solely to enable the appellant to flourish in Zimbabwe, and to enable the appellant to earn income through the use of that brand</w:t>
      </w:r>
      <w:r>
        <w:rPr>
          <w:rFonts w:ascii="Times New Roman" w:hAnsi="Times New Roman" w:cs="Times New Roman"/>
          <w:sz w:val="24"/>
          <w:szCs w:val="24"/>
        </w:rPr>
        <w:t>.”</w:t>
      </w:r>
    </w:p>
    <w:p w:rsidR="00D015B5" w:rsidRPr="00A96767" w:rsidRDefault="00D015B5" w:rsidP="008807D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would have agreed with him </w:t>
      </w:r>
      <w:r w:rsidR="00F91B38">
        <w:rPr>
          <w:rFonts w:ascii="Times New Roman" w:hAnsi="Times New Roman" w:cs="Times New Roman"/>
          <w:sz w:val="24"/>
          <w:szCs w:val="24"/>
        </w:rPr>
        <w:t>and</w:t>
      </w:r>
      <w:r w:rsidR="002852C4">
        <w:rPr>
          <w:rFonts w:ascii="Times New Roman" w:hAnsi="Times New Roman" w:cs="Times New Roman"/>
          <w:sz w:val="24"/>
          <w:szCs w:val="24"/>
        </w:rPr>
        <w:t xml:space="preserve"> added that the utilization and application of the brand was synonymous with what the Commissioner termed “rental</w:t>
      </w:r>
      <w:r w:rsidR="00B972D6">
        <w:rPr>
          <w:rFonts w:ascii="Times New Roman" w:hAnsi="Times New Roman" w:cs="Times New Roman"/>
          <w:sz w:val="24"/>
          <w:szCs w:val="24"/>
        </w:rPr>
        <w:t>”</w:t>
      </w:r>
      <w:r w:rsidR="002852C4">
        <w:rPr>
          <w:rFonts w:ascii="Times New Roman" w:hAnsi="Times New Roman" w:cs="Times New Roman"/>
          <w:sz w:val="24"/>
          <w:szCs w:val="24"/>
        </w:rPr>
        <w:t xml:space="preserve"> </w:t>
      </w:r>
      <w:r>
        <w:rPr>
          <w:rFonts w:ascii="Times New Roman" w:hAnsi="Times New Roman" w:cs="Times New Roman"/>
          <w:sz w:val="24"/>
          <w:szCs w:val="24"/>
        </w:rPr>
        <w:t>but for the definition of inte</w:t>
      </w:r>
      <w:r w:rsidR="002B1CF4">
        <w:rPr>
          <w:rFonts w:ascii="Times New Roman" w:hAnsi="Times New Roman" w:cs="Times New Roman"/>
          <w:sz w:val="24"/>
          <w:szCs w:val="24"/>
        </w:rPr>
        <w:t>llectual property rights in</w:t>
      </w:r>
      <w:r>
        <w:rPr>
          <w:rFonts w:ascii="Times New Roman" w:hAnsi="Times New Roman" w:cs="Times New Roman"/>
          <w:sz w:val="24"/>
          <w:szCs w:val="24"/>
        </w:rPr>
        <w:t xml:space="preserve"> the </w:t>
      </w:r>
      <w:r w:rsidR="00403C9D">
        <w:rPr>
          <w:rFonts w:ascii="Times New Roman" w:hAnsi="Times New Roman" w:cs="Times New Roman"/>
          <w:sz w:val="24"/>
          <w:szCs w:val="24"/>
        </w:rPr>
        <w:t>IFA, IPLA and MBA</w:t>
      </w:r>
      <w:r>
        <w:rPr>
          <w:rFonts w:ascii="Times New Roman" w:hAnsi="Times New Roman" w:cs="Times New Roman"/>
          <w:sz w:val="24"/>
          <w:szCs w:val="24"/>
        </w:rPr>
        <w:t xml:space="preserve">, which did not distinguish between intellectual property and master branding but treated them as constituting </w:t>
      </w:r>
      <w:r w:rsidR="00FF75FA">
        <w:rPr>
          <w:rFonts w:ascii="Times New Roman" w:hAnsi="Times New Roman" w:cs="Times New Roman"/>
          <w:sz w:val="24"/>
          <w:szCs w:val="24"/>
        </w:rPr>
        <w:t xml:space="preserve">an indivisible and integrated whole termed </w:t>
      </w:r>
      <w:r>
        <w:rPr>
          <w:rFonts w:ascii="Times New Roman" w:hAnsi="Times New Roman" w:cs="Times New Roman"/>
          <w:sz w:val="24"/>
          <w:szCs w:val="24"/>
        </w:rPr>
        <w:t xml:space="preserve">intellectual property. </w:t>
      </w:r>
      <w:r w:rsidR="00495163">
        <w:rPr>
          <w:rFonts w:ascii="Times New Roman" w:hAnsi="Times New Roman" w:cs="Times New Roman"/>
          <w:sz w:val="24"/>
          <w:szCs w:val="24"/>
        </w:rPr>
        <w:t>In order for the appellant to benefit from the deduction of master branding</w:t>
      </w:r>
      <w:r w:rsidR="00F91B38">
        <w:rPr>
          <w:rFonts w:ascii="Times New Roman" w:hAnsi="Times New Roman" w:cs="Times New Roman"/>
          <w:sz w:val="24"/>
          <w:szCs w:val="24"/>
        </w:rPr>
        <w:t xml:space="preserve"> fees</w:t>
      </w:r>
      <w:r w:rsidR="002B1CF4">
        <w:rPr>
          <w:rFonts w:ascii="Times New Roman" w:hAnsi="Times New Roman" w:cs="Times New Roman"/>
          <w:sz w:val="24"/>
          <w:szCs w:val="24"/>
        </w:rPr>
        <w:t>,</w:t>
      </w:r>
      <w:r w:rsidR="00495163">
        <w:rPr>
          <w:rFonts w:ascii="Times New Roman" w:hAnsi="Times New Roman" w:cs="Times New Roman"/>
          <w:sz w:val="24"/>
          <w:szCs w:val="24"/>
        </w:rPr>
        <w:t xml:space="preserve"> separate and distinct from the </w:t>
      </w:r>
      <w:r w:rsidR="00734FA9">
        <w:rPr>
          <w:rFonts w:ascii="Times New Roman" w:hAnsi="Times New Roman" w:cs="Times New Roman"/>
          <w:sz w:val="24"/>
          <w:szCs w:val="24"/>
        </w:rPr>
        <w:t>cost</w:t>
      </w:r>
      <w:r w:rsidR="00495163">
        <w:rPr>
          <w:rFonts w:ascii="Times New Roman" w:hAnsi="Times New Roman" w:cs="Times New Roman"/>
          <w:sz w:val="24"/>
          <w:szCs w:val="24"/>
        </w:rPr>
        <w:t xml:space="preserve"> of </w:t>
      </w:r>
      <w:r w:rsidR="00734FA9">
        <w:rPr>
          <w:rFonts w:ascii="Times New Roman" w:hAnsi="Times New Roman" w:cs="Times New Roman"/>
          <w:sz w:val="24"/>
          <w:szCs w:val="24"/>
        </w:rPr>
        <w:t xml:space="preserve">the </w:t>
      </w:r>
      <w:r w:rsidR="00495163">
        <w:rPr>
          <w:rFonts w:ascii="Times New Roman" w:hAnsi="Times New Roman" w:cs="Times New Roman"/>
          <w:sz w:val="24"/>
          <w:szCs w:val="24"/>
        </w:rPr>
        <w:t>other itemized categories of intellectual property used in the manufacturing process</w:t>
      </w:r>
      <w:r w:rsidR="002B1CF4">
        <w:rPr>
          <w:rFonts w:ascii="Times New Roman" w:hAnsi="Times New Roman" w:cs="Times New Roman"/>
          <w:sz w:val="24"/>
          <w:szCs w:val="24"/>
        </w:rPr>
        <w:t xml:space="preserve"> and marketing activities</w:t>
      </w:r>
      <w:r w:rsidR="00495163">
        <w:rPr>
          <w:rFonts w:ascii="Times New Roman" w:hAnsi="Times New Roman" w:cs="Times New Roman"/>
          <w:sz w:val="24"/>
          <w:szCs w:val="24"/>
        </w:rPr>
        <w:t xml:space="preserve">, the appellant would have had to establish the cost to the parent company of each utilized </w:t>
      </w:r>
      <w:r w:rsidR="00495163">
        <w:rPr>
          <w:rFonts w:ascii="Times New Roman" w:hAnsi="Times New Roman" w:cs="Times New Roman"/>
          <w:sz w:val="24"/>
          <w:szCs w:val="24"/>
        </w:rPr>
        <w:lastRenderedPageBreak/>
        <w:t>intellectual property right. Otherwise, the cost would have to be included under a single indivisible amount as had been done in the 2009 to 2011 franchise agreement.   The pleadings, exhibits and oral testimony of the sole witness did not establish the separate amounts that accrued to t</w:t>
      </w:r>
      <w:r w:rsidR="00403C9D">
        <w:rPr>
          <w:rFonts w:ascii="Times New Roman" w:hAnsi="Times New Roman" w:cs="Times New Roman"/>
          <w:sz w:val="24"/>
          <w:szCs w:val="24"/>
        </w:rPr>
        <w:t xml:space="preserve">he parent company under </w:t>
      </w:r>
      <w:r w:rsidR="00495163">
        <w:rPr>
          <w:rFonts w:ascii="Times New Roman" w:hAnsi="Times New Roman" w:cs="Times New Roman"/>
          <w:sz w:val="24"/>
          <w:szCs w:val="24"/>
        </w:rPr>
        <w:t xml:space="preserve">intellectual property </w:t>
      </w:r>
      <w:r w:rsidR="00403C9D">
        <w:rPr>
          <w:rFonts w:ascii="Times New Roman" w:hAnsi="Times New Roman" w:cs="Times New Roman"/>
          <w:sz w:val="24"/>
          <w:szCs w:val="24"/>
        </w:rPr>
        <w:t>rights</w:t>
      </w:r>
      <w:r w:rsidR="00A842F0">
        <w:rPr>
          <w:rFonts w:ascii="Times New Roman" w:hAnsi="Times New Roman" w:cs="Times New Roman"/>
          <w:sz w:val="24"/>
          <w:szCs w:val="24"/>
        </w:rPr>
        <w:t>, on</w:t>
      </w:r>
      <w:r w:rsidR="002B1CF4">
        <w:rPr>
          <w:rFonts w:ascii="Times New Roman" w:hAnsi="Times New Roman" w:cs="Times New Roman"/>
          <w:sz w:val="24"/>
          <w:szCs w:val="24"/>
        </w:rPr>
        <w:t xml:space="preserve"> the one hand,</w:t>
      </w:r>
      <w:r w:rsidR="00403C9D">
        <w:rPr>
          <w:rFonts w:ascii="Times New Roman" w:hAnsi="Times New Roman" w:cs="Times New Roman"/>
          <w:sz w:val="24"/>
          <w:szCs w:val="24"/>
        </w:rPr>
        <w:t xml:space="preserve"> </w:t>
      </w:r>
      <w:r w:rsidR="00495163">
        <w:rPr>
          <w:rFonts w:ascii="Times New Roman" w:hAnsi="Times New Roman" w:cs="Times New Roman"/>
          <w:sz w:val="24"/>
          <w:szCs w:val="24"/>
        </w:rPr>
        <w:t>and master bran</w:t>
      </w:r>
      <w:r w:rsidR="00403C9D">
        <w:rPr>
          <w:rFonts w:ascii="Times New Roman" w:hAnsi="Times New Roman" w:cs="Times New Roman"/>
          <w:sz w:val="24"/>
          <w:szCs w:val="24"/>
        </w:rPr>
        <w:t xml:space="preserve">ding, </w:t>
      </w:r>
      <w:r w:rsidR="002B1CF4">
        <w:rPr>
          <w:rFonts w:ascii="Times New Roman" w:hAnsi="Times New Roman" w:cs="Times New Roman"/>
          <w:sz w:val="24"/>
          <w:szCs w:val="24"/>
        </w:rPr>
        <w:t>on the other.</w:t>
      </w:r>
      <w:r w:rsidR="00403C9D">
        <w:rPr>
          <w:rFonts w:ascii="Times New Roman" w:hAnsi="Times New Roman" w:cs="Times New Roman"/>
          <w:sz w:val="24"/>
          <w:szCs w:val="24"/>
        </w:rPr>
        <w:t xml:space="preserve"> The corollary to the finding of indivisibility is that the disallowance by the Commissioner of</w:t>
      </w:r>
      <w:r w:rsidR="00495163">
        <w:rPr>
          <w:rFonts w:ascii="Times New Roman" w:hAnsi="Times New Roman" w:cs="Times New Roman"/>
          <w:sz w:val="24"/>
          <w:szCs w:val="24"/>
        </w:rPr>
        <w:t xml:space="preserve"> the 1.5% master bran</w:t>
      </w:r>
      <w:r w:rsidR="00CF081A">
        <w:rPr>
          <w:rFonts w:ascii="Times New Roman" w:hAnsi="Times New Roman" w:cs="Times New Roman"/>
          <w:sz w:val="24"/>
          <w:szCs w:val="24"/>
        </w:rPr>
        <w:t>ding fees</w:t>
      </w:r>
      <w:r w:rsidR="00CF113B">
        <w:rPr>
          <w:rFonts w:ascii="Times New Roman" w:hAnsi="Times New Roman" w:cs="Times New Roman"/>
          <w:sz w:val="24"/>
          <w:szCs w:val="24"/>
        </w:rPr>
        <w:t xml:space="preserve"> of US$ 863 252.70 in </w:t>
      </w:r>
      <w:r w:rsidR="00E25FFC">
        <w:rPr>
          <w:rFonts w:ascii="Times New Roman" w:hAnsi="Times New Roman" w:cs="Times New Roman"/>
          <w:sz w:val="24"/>
          <w:szCs w:val="24"/>
        </w:rPr>
        <w:t>the</w:t>
      </w:r>
      <w:r w:rsidR="00CF113B">
        <w:rPr>
          <w:rFonts w:ascii="Times New Roman" w:hAnsi="Times New Roman" w:cs="Times New Roman"/>
          <w:sz w:val="24"/>
          <w:szCs w:val="24"/>
        </w:rPr>
        <w:t xml:space="preserve"> 2012 tax year and US$ 1 140 000 in th</w:t>
      </w:r>
      <w:r w:rsidR="002C6418">
        <w:rPr>
          <w:rFonts w:ascii="Times New Roman" w:hAnsi="Times New Roman" w:cs="Times New Roman"/>
          <w:sz w:val="24"/>
          <w:szCs w:val="24"/>
        </w:rPr>
        <w:t xml:space="preserve">e 2013 tax year was correct while </w:t>
      </w:r>
      <w:r w:rsidR="009802BD">
        <w:rPr>
          <w:rFonts w:ascii="Times New Roman" w:hAnsi="Times New Roman" w:cs="Times New Roman"/>
          <w:sz w:val="24"/>
          <w:szCs w:val="24"/>
        </w:rPr>
        <w:t xml:space="preserve">the </w:t>
      </w:r>
      <w:r w:rsidR="002C6418">
        <w:rPr>
          <w:rFonts w:ascii="Times New Roman" w:hAnsi="Times New Roman" w:cs="Times New Roman"/>
          <w:sz w:val="24"/>
          <w:szCs w:val="24"/>
        </w:rPr>
        <w:t>split of the</w:t>
      </w:r>
      <w:r w:rsidR="00CF081A">
        <w:rPr>
          <w:rFonts w:ascii="Times New Roman" w:hAnsi="Times New Roman" w:cs="Times New Roman"/>
          <w:sz w:val="24"/>
          <w:szCs w:val="24"/>
        </w:rPr>
        <w:t xml:space="preserve"> 2% rate in respect of</w:t>
      </w:r>
      <w:r w:rsidR="002C6418">
        <w:rPr>
          <w:rFonts w:ascii="Times New Roman" w:hAnsi="Times New Roman" w:cs="Times New Roman"/>
          <w:sz w:val="24"/>
          <w:szCs w:val="24"/>
        </w:rPr>
        <w:t xml:space="preserve"> the first franchise agreement was wrong. I </w:t>
      </w:r>
      <w:r w:rsidR="009802BD">
        <w:rPr>
          <w:rFonts w:ascii="Times New Roman" w:hAnsi="Times New Roman" w:cs="Times New Roman"/>
          <w:sz w:val="24"/>
          <w:szCs w:val="24"/>
        </w:rPr>
        <w:t>will</w:t>
      </w:r>
      <w:r w:rsidR="00D457E8">
        <w:rPr>
          <w:rFonts w:ascii="Times New Roman" w:hAnsi="Times New Roman" w:cs="Times New Roman"/>
          <w:sz w:val="24"/>
          <w:szCs w:val="24"/>
        </w:rPr>
        <w:t xml:space="preserve"> direct</w:t>
      </w:r>
      <w:r w:rsidR="00CF081A">
        <w:rPr>
          <w:rFonts w:ascii="Times New Roman" w:hAnsi="Times New Roman" w:cs="Times New Roman"/>
          <w:sz w:val="24"/>
          <w:szCs w:val="24"/>
        </w:rPr>
        <w:t xml:space="preserve"> </w:t>
      </w:r>
      <w:r w:rsidR="002C6418">
        <w:rPr>
          <w:rFonts w:ascii="Times New Roman" w:hAnsi="Times New Roman" w:cs="Times New Roman"/>
          <w:sz w:val="24"/>
          <w:szCs w:val="24"/>
        </w:rPr>
        <w:t xml:space="preserve">the Commissioner </w:t>
      </w:r>
      <w:r w:rsidR="00CF081A">
        <w:rPr>
          <w:rFonts w:ascii="Times New Roman" w:hAnsi="Times New Roman" w:cs="Times New Roman"/>
          <w:sz w:val="24"/>
          <w:szCs w:val="24"/>
        </w:rPr>
        <w:t>to deduct the am</w:t>
      </w:r>
      <w:r w:rsidR="00D457E8">
        <w:rPr>
          <w:rFonts w:ascii="Times New Roman" w:hAnsi="Times New Roman" w:cs="Times New Roman"/>
          <w:sz w:val="24"/>
          <w:szCs w:val="24"/>
        </w:rPr>
        <w:t>ounts he added back to income on the basis that they constituted</w:t>
      </w:r>
      <w:r w:rsidR="00CF081A">
        <w:rPr>
          <w:rFonts w:ascii="Times New Roman" w:hAnsi="Times New Roman" w:cs="Times New Roman"/>
          <w:sz w:val="24"/>
          <w:szCs w:val="24"/>
        </w:rPr>
        <w:t xml:space="preserve"> non-deductible master branding fees</w:t>
      </w:r>
      <w:r w:rsidR="009802BD">
        <w:rPr>
          <w:rFonts w:ascii="Times New Roman" w:hAnsi="Times New Roman" w:cs="Times New Roman"/>
          <w:sz w:val="24"/>
          <w:szCs w:val="24"/>
        </w:rPr>
        <w:t>, the sum of US$ 212 356.13 from the</w:t>
      </w:r>
      <w:r w:rsidR="00CF081A">
        <w:rPr>
          <w:rFonts w:ascii="Times New Roman" w:hAnsi="Times New Roman" w:cs="Times New Roman"/>
          <w:sz w:val="24"/>
          <w:szCs w:val="24"/>
        </w:rPr>
        <w:t xml:space="preserve"> 2009 tax year, US$ </w:t>
      </w:r>
      <w:r w:rsidR="00CF113B">
        <w:rPr>
          <w:rFonts w:ascii="Times New Roman" w:hAnsi="Times New Roman" w:cs="Times New Roman"/>
          <w:sz w:val="24"/>
          <w:szCs w:val="24"/>
        </w:rPr>
        <w:t xml:space="preserve">312 636 </w:t>
      </w:r>
      <w:r w:rsidR="000931C8">
        <w:rPr>
          <w:rFonts w:ascii="Times New Roman" w:hAnsi="Times New Roman" w:cs="Times New Roman"/>
          <w:sz w:val="24"/>
          <w:szCs w:val="24"/>
        </w:rPr>
        <w:t>from</w:t>
      </w:r>
      <w:r w:rsidR="00CF081A">
        <w:rPr>
          <w:rFonts w:ascii="Times New Roman" w:hAnsi="Times New Roman" w:cs="Times New Roman"/>
          <w:sz w:val="24"/>
          <w:szCs w:val="24"/>
        </w:rPr>
        <w:t xml:space="preserve"> the 2010 tax year</w:t>
      </w:r>
      <w:r w:rsidR="00981B81">
        <w:rPr>
          <w:rFonts w:ascii="Times New Roman" w:hAnsi="Times New Roman" w:cs="Times New Roman"/>
          <w:sz w:val="24"/>
          <w:szCs w:val="24"/>
        </w:rPr>
        <w:t xml:space="preserve"> and US$</w:t>
      </w:r>
      <w:r w:rsidR="00CF113B">
        <w:rPr>
          <w:rFonts w:ascii="Times New Roman" w:hAnsi="Times New Roman" w:cs="Times New Roman"/>
          <w:sz w:val="24"/>
          <w:szCs w:val="24"/>
        </w:rPr>
        <w:t>370 913.85</w:t>
      </w:r>
      <w:r w:rsidR="00981B81">
        <w:rPr>
          <w:rFonts w:ascii="Times New Roman" w:hAnsi="Times New Roman" w:cs="Times New Roman"/>
          <w:sz w:val="24"/>
          <w:szCs w:val="24"/>
        </w:rPr>
        <w:t xml:space="preserve"> </w:t>
      </w:r>
      <w:r w:rsidR="000931C8">
        <w:rPr>
          <w:rFonts w:ascii="Times New Roman" w:hAnsi="Times New Roman" w:cs="Times New Roman"/>
          <w:sz w:val="24"/>
          <w:szCs w:val="24"/>
        </w:rPr>
        <w:t xml:space="preserve">from </w:t>
      </w:r>
      <w:r w:rsidR="00981B81">
        <w:rPr>
          <w:rFonts w:ascii="Times New Roman" w:hAnsi="Times New Roman" w:cs="Times New Roman"/>
          <w:sz w:val="24"/>
          <w:szCs w:val="24"/>
        </w:rPr>
        <w:t>the 2011 tax year</w:t>
      </w:r>
      <w:r w:rsidR="00CF081A">
        <w:rPr>
          <w:rFonts w:ascii="Times New Roman" w:hAnsi="Times New Roman" w:cs="Times New Roman"/>
          <w:sz w:val="24"/>
          <w:szCs w:val="24"/>
        </w:rPr>
        <w:t xml:space="preserve">. </w:t>
      </w:r>
    </w:p>
    <w:p w:rsidR="00457EAD" w:rsidRDefault="000657DB" w:rsidP="000657DB">
      <w:pPr>
        <w:jc w:val="both"/>
        <w:rPr>
          <w:rFonts w:ascii="Times New Roman" w:hAnsi="Times New Roman" w:cs="Times New Roman"/>
          <w:i/>
          <w:sz w:val="24"/>
          <w:szCs w:val="24"/>
        </w:rPr>
      </w:pPr>
      <w:r w:rsidRPr="000657DB">
        <w:rPr>
          <w:rFonts w:ascii="Times New Roman" w:hAnsi="Times New Roman" w:cs="Times New Roman"/>
          <w:i/>
          <w:sz w:val="24"/>
          <w:szCs w:val="24"/>
        </w:rPr>
        <w:t>Were the</w:t>
      </w:r>
      <w:r w:rsidR="0010264E">
        <w:rPr>
          <w:rFonts w:ascii="Times New Roman" w:hAnsi="Times New Roman" w:cs="Times New Roman"/>
          <w:i/>
          <w:sz w:val="24"/>
          <w:szCs w:val="24"/>
        </w:rPr>
        <w:t xml:space="preserve"> costs of consumable spare part</w:t>
      </w:r>
      <w:r w:rsidR="00A553F6">
        <w:rPr>
          <w:rFonts w:ascii="Times New Roman" w:hAnsi="Times New Roman" w:cs="Times New Roman"/>
          <w:i/>
          <w:sz w:val="24"/>
          <w:szCs w:val="24"/>
        </w:rPr>
        <w:t>s</w:t>
      </w:r>
      <w:r w:rsidR="0010264E">
        <w:rPr>
          <w:rFonts w:ascii="Times New Roman" w:hAnsi="Times New Roman" w:cs="Times New Roman"/>
          <w:i/>
          <w:sz w:val="24"/>
          <w:szCs w:val="24"/>
        </w:rPr>
        <w:t xml:space="preserve"> </w:t>
      </w:r>
      <w:r w:rsidR="0010264E" w:rsidRPr="000657DB">
        <w:rPr>
          <w:rFonts w:ascii="Times New Roman" w:hAnsi="Times New Roman" w:cs="Times New Roman"/>
          <w:i/>
          <w:sz w:val="24"/>
          <w:szCs w:val="24"/>
        </w:rPr>
        <w:t>unutilized</w:t>
      </w:r>
      <w:r w:rsidRPr="000657DB">
        <w:rPr>
          <w:rFonts w:ascii="Times New Roman" w:hAnsi="Times New Roman" w:cs="Times New Roman"/>
          <w:i/>
          <w:sz w:val="24"/>
          <w:szCs w:val="24"/>
        </w:rPr>
        <w:t xml:space="preserve"> at year end deductible in terms of s 15 (2) (a) of the Income Tax Act [Chapter 23:06] in the year of acquisition thereof or were such spare parts stock in trade?</w:t>
      </w:r>
      <w:r w:rsidR="00760FB7">
        <w:rPr>
          <w:rFonts w:ascii="Times New Roman" w:hAnsi="Times New Roman" w:cs="Times New Roman"/>
          <w:i/>
          <w:sz w:val="24"/>
          <w:szCs w:val="24"/>
        </w:rPr>
        <w:t>-</w:t>
      </w:r>
    </w:p>
    <w:p w:rsidR="00AC27C0" w:rsidRDefault="00190A92" w:rsidP="00221CC0">
      <w:pPr>
        <w:spacing w:after="0" w:line="360" w:lineRule="auto"/>
        <w:jc w:val="both"/>
        <w:rPr>
          <w:rFonts w:ascii="Times New Roman" w:hAnsi="Times New Roman" w:cs="Times New Roman"/>
          <w:sz w:val="24"/>
          <w:szCs w:val="24"/>
        </w:rPr>
      </w:pPr>
      <w:r w:rsidRPr="0070228C">
        <w:rPr>
          <w:rFonts w:ascii="Times New Roman" w:hAnsi="Times New Roman" w:cs="Times New Roman"/>
          <w:b/>
          <w:i/>
          <w:sz w:val="24"/>
          <w:szCs w:val="24"/>
        </w:rPr>
        <w:t xml:space="preserve"> </w:t>
      </w:r>
      <w:r w:rsidR="008807DC">
        <w:rPr>
          <w:rFonts w:ascii="Times New Roman" w:hAnsi="Times New Roman" w:cs="Times New Roman"/>
          <w:b/>
          <w:i/>
          <w:sz w:val="24"/>
          <w:szCs w:val="24"/>
        </w:rPr>
        <w:tab/>
      </w:r>
      <w:r w:rsidR="00D07771" w:rsidRPr="0070228C">
        <w:rPr>
          <w:rFonts w:ascii="Times New Roman" w:hAnsi="Times New Roman" w:cs="Times New Roman"/>
          <w:sz w:val="24"/>
          <w:szCs w:val="24"/>
        </w:rPr>
        <w:t>In</w:t>
      </w:r>
      <w:r w:rsidR="00D07771">
        <w:rPr>
          <w:rFonts w:ascii="Times New Roman" w:hAnsi="Times New Roman" w:cs="Times New Roman"/>
          <w:sz w:val="24"/>
          <w:szCs w:val="24"/>
        </w:rPr>
        <w:t xml:space="preserve"> each year </w:t>
      </w:r>
      <w:r w:rsidR="00D91271">
        <w:rPr>
          <w:rFonts w:ascii="Times New Roman" w:hAnsi="Times New Roman" w:cs="Times New Roman"/>
          <w:sz w:val="24"/>
          <w:szCs w:val="24"/>
        </w:rPr>
        <w:t xml:space="preserve">of assessment the </w:t>
      </w:r>
      <w:r w:rsidR="00D07771">
        <w:rPr>
          <w:rFonts w:ascii="Times New Roman" w:hAnsi="Times New Roman" w:cs="Times New Roman"/>
          <w:sz w:val="24"/>
          <w:szCs w:val="24"/>
        </w:rPr>
        <w:t>appellant purchased consumable parts</w:t>
      </w:r>
      <w:r w:rsidR="00477809">
        <w:rPr>
          <w:rFonts w:ascii="Times New Roman" w:hAnsi="Times New Roman" w:cs="Times New Roman"/>
          <w:sz w:val="24"/>
          <w:szCs w:val="24"/>
        </w:rPr>
        <w:t xml:space="preserve"> consisting</w:t>
      </w:r>
      <w:r w:rsidR="00532A1F">
        <w:rPr>
          <w:rFonts w:ascii="Times New Roman" w:hAnsi="Times New Roman" w:cs="Times New Roman"/>
          <w:sz w:val="24"/>
          <w:szCs w:val="24"/>
        </w:rPr>
        <w:t xml:space="preserve"> of fuel and vehicle and </w:t>
      </w:r>
      <w:r w:rsidR="00EA392A">
        <w:rPr>
          <w:rFonts w:ascii="Times New Roman" w:hAnsi="Times New Roman" w:cs="Times New Roman"/>
          <w:sz w:val="24"/>
          <w:szCs w:val="24"/>
        </w:rPr>
        <w:t xml:space="preserve">general maintenance spare parts, </w:t>
      </w:r>
      <w:r w:rsidR="00D07771">
        <w:rPr>
          <w:rFonts w:ascii="Times New Roman" w:hAnsi="Times New Roman" w:cs="Times New Roman"/>
          <w:sz w:val="24"/>
          <w:szCs w:val="24"/>
        </w:rPr>
        <w:t>which wer</w:t>
      </w:r>
      <w:r w:rsidR="00D91271">
        <w:rPr>
          <w:rFonts w:ascii="Times New Roman" w:hAnsi="Times New Roman" w:cs="Times New Roman"/>
          <w:sz w:val="24"/>
          <w:szCs w:val="24"/>
        </w:rPr>
        <w:t>e in excess of each year’s</w:t>
      </w:r>
      <w:r w:rsidR="00D07771">
        <w:rPr>
          <w:rFonts w:ascii="Times New Roman" w:hAnsi="Times New Roman" w:cs="Times New Roman"/>
          <w:sz w:val="24"/>
          <w:szCs w:val="24"/>
        </w:rPr>
        <w:t xml:space="preserve"> requirements. </w:t>
      </w:r>
      <w:r w:rsidR="00D91271">
        <w:rPr>
          <w:rFonts w:ascii="Times New Roman" w:hAnsi="Times New Roman" w:cs="Times New Roman"/>
          <w:sz w:val="24"/>
          <w:szCs w:val="24"/>
        </w:rPr>
        <w:t>It claimed deductions of the cost of these spare parts in the year</w:t>
      </w:r>
      <w:r w:rsidR="00B15109">
        <w:rPr>
          <w:rFonts w:ascii="Times New Roman" w:hAnsi="Times New Roman" w:cs="Times New Roman"/>
          <w:sz w:val="24"/>
          <w:szCs w:val="24"/>
        </w:rPr>
        <w:t>s</w:t>
      </w:r>
      <w:r w:rsidR="00D91271">
        <w:rPr>
          <w:rFonts w:ascii="Times New Roman" w:hAnsi="Times New Roman" w:cs="Times New Roman"/>
          <w:sz w:val="24"/>
          <w:szCs w:val="24"/>
        </w:rPr>
        <w:t xml:space="preserve"> of assessment in which they were acquired.  </w:t>
      </w:r>
      <w:r w:rsidR="00263D1C">
        <w:rPr>
          <w:rFonts w:ascii="Times New Roman" w:hAnsi="Times New Roman" w:cs="Times New Roman"/>
          <w:sz w:val="24"/>
          <w:szCs w:val="24"/>
        </w:rPr>
        <w:t xml:space="preserve">In this regard, the </w:t>
      </w:r>
      <w:r w:rsidR="00037446">
        <w:rPr>
          <w:rFonts w:ascii="Times New Roman" w:hAnsi="Times New Roman" w:cs="Times New Roman"/>
          <w:sz w:val="24"/>
          <w:szCs w:val="24"/>
        </w:rPr>
        <w:t>appellant claimed</w:t>
      </w:r>
      <w:r w:rsidR="00263D1C">
        <w:rPr>
          <w:rFonts w:ascii="Times New Roman" w:hAnsi="Times New Roman" w:cs="Times New Roman"/>
          <w:sz w:val="24"/>
          <w:szCs w:val="24"/>
        </w:rPr>
        <w:t xml:space="preserve"> US$ 2 336 849 in 2009, US$ 5 116 199 in 2010, US$ 4 813 116 in 2011, US$ 7 713 134 in 2012 and US$ 7 905 287 in 2013</w:t>
      </w:r>
      <w:r w:rsidR="00263D1C">
        <w:rPr>
          <w:rStyle w:val="FootnoteReference"/>
          <w:rFonts w:ascii="Times New Roman" w:hAnsi="Times New Roman" w:cs="Times New Roman"/>
          <w:sz w:val="24"/>
          <w:szCs w:val="24"/>
        </w:rPr>
        <w:footnoteReference w:id="2"/>
      </w:r>
      <w:r w:rsidR="00263D1C">
        <w:rPr>
          <w:rFonts w:ascii="Times New Roman" w:hAnsi="Times New Roman" w:cs="Times New Roman"/>
          <w:sz w:val="24"/>
          <w:szCs w:val="24"/>
        </w:rPr>
        <w:t xml:space="preserve">.  </w:t>
      </w:r>
      <w:r w:rsidR="00D91271">
        <w:rPr>
          <w:rFonts w:ascii="Times New Roman" w:hAnsi="Times New Roman" w:cs="Times New Roman"/>
          <w:sz w:val="24"/>
          <w:szCs w:val="24"/>
        </w:rPr>
        <w:t>The respondent disallowed the dedu</w:t>
      </w:r>
      <w:r w:rsidR="00ED418C">
        <w:rPr>
          <w:rFonts w:ascii="Times New Roman" w:hAnsi="Times New Roman" w:cs="Times New Roman"/>
          <w:sz w:val="24"/>
          <w:szCs w:val="24"/>
        </w:rPr>
        <w:t>cti</w:t>
      </w:r>
      <w:r w:rsidR="00EA392A">
        <w:rPr>
          <w:rFonts w:ascii="Times New Roman" w:hAnsi="Times New Roman" w:cs="Times New Roman"/>
          <w:sz w:val="24"/>
          <w:szCs w:val="24"/>
        </w:rPr>
        <w:t xml:space="preserve">ons </w:t>
      </w:r>
      <w:r w:rsidR="00ED418C">
        <w:rPr>
          <w:rFonts w:ascii="Times New Roman" w:hAnsi="Times New Roman" w:cs="Times New Roman"/>
          <w:sz w:val="24"/>
          <w:szCs w:val="24"/>
        </w:rPr>
        <w:t>on two grounds. The first was that</w:t>
      </w:r>
      <w:r w:rsidR="00BD4F63">
        <w:rPr>
          <w:rFonts w:ascii="Times New Roman" w:hAnsi="Times New Roman" w:cs="Times New Roman"/>
          <w:sz w:val="24"/>
          <w:szCs w:val="24"/>
        </w:rPr>
        <w:t>,</w:t>
      </w:r>
      <w:r w:rsidR="00ED418C">
        <w:rPr>
          <w:rFonts w:ascii="Times New Roman" w:hAnsi="Times New Roman" w:cs="Times New Roman"/>
          <w:sz w:val="24"/>
          <w:szCs w:val="24"/>
        </w:rPr>
        <w:t xml:space="preserve"> the cost could not be claimed as these spare parts did not produce any income in the year of purchase. The second</w:t>
      </w:r>
      <w:r w:rsidR="00D91271">
        <w:rPr>
          <w:rFonts w:ascii="Times New Roman" w:hAnsi="Times New Roman" w:cs="Times New Roman"/>
          <w:sz w:val="24"/>
          <w:szCs w:val="24"/>
        </w:rPr>
        <w:t xml:space="preserve"> was that</w:t>
      </w:r>
      <w:r w:rsidR="00BD4F63">
        <w:rPr>
          <w:rFonts w:ascii="Times New Roman" w:hAnsi="Times New Roman" w:cs="Times New Roman"/>
          <w:sz w:val="24"/>
          <w:szCs w:val="24"/>
        </w:rPr>
        <w:t>,</w:t>
      </w:r>
      <w:r w:rsidR="00D91271">
        <w:rPr>
          <w:rFonts w:ascii="Times New Roman" w:hAnsi="Times New Roman" w:cs="Times New Roman"/>
          <w:sz w:val="24"/>
          <w:szCs w:val="24"/>
        </w:rPr>
        <w:t xml:space="preserve"> as they were entered in the appellant’s books of account as balances, they constituted </w:t>
      </w:r>
      <w:r w:rsidR="00327836">
        <w:rPr>
          <w:rFonts w:ascii="Times New Roman" w:hAnsi="Times New Roman" w:cs="Times New Roman"/>
          <w:sz w:val="24"/>
          <w:szCs w:val="24"/>
        </w:rPr>
        <w:t xml:space="preserve">trading </w:t>
      </w:r>
      <w:r w:rsidR="00D91271">
        <w:rPr>
          <w:rFonts w:ascii="Times New Roman" w:hAnsi="Times New Roman" w:cs="Times New Roman"/>
          <w:sz w:val="24"/>
          <w:szCs w:val="24"/>
        </w:rPr>
        <w:t>stock-on-hand</w:t>
      </w:r>
      <w:r w:rsidR="008744AD">
        <w:rPr>
          <w:rFonts w:ascii="Times New Roman" w:hAnsi="Times New Roman" w:cs="Times New Roman"/>
          <w:sz w:val="24"/>
          <w:szCs w:val="24"/>
        </w:rPr>
        <w:t xml:space="preserve"> or current assets</w:t>
      </w:r>
      <w:r w:rsidR="00D91271">
        <w:rPr>
          <w:rFonts w:ascii="Times New Roman" w:hAnsi="Times New Roman" w:cs="Times New Roman"/>
          <w:sz w:val="24"/>
          <w:szCs w:val="24"/>
        </w:rPr>
        <w:t>, which could not be deducted in terms of the general deduction formula. I</w:t>
      </w:r>
      <w:r w:rsidR="00037446">
        <w:rPr>
          <w:rFonts w:ascii="Times New Roman" w:hAnsi="Times New Roman" w:cs="Times New Roman"/>
          <w:sz w:val="24"/>
          <w:szCs w:val="24"/>
        </w:rPr>
        <w:t xml:space="preserve">t was common </w:t>
      </w:r>
      <w:r w:rsidR="009B5FE3">
        <w:rPr>
          <w:rFonts w:ascii="Times New Roman" w:hAnsi="Times New Roman" w:cs="Times New Roman"/>
          <w:sz w:val="24"/>
          <w:szCs w:val="24"/>
        </w:rPr>
        <w:t>cause that</w:t>
      </w:r>
      <w:r w:rsidR="00D91271">
        <w:rPr>
          <w:rFonts w:ascii="Times New Roman" w:hAnsi="Times New Roman" w:cs="Times New Roman"/>
          <w:sz w:val="24"/>
          <w:szCs w:val="24"/>
        </w:rPr>
        <w:t xml:space="preserve"> s 8 (1) (h) of the Income Tax Act </w:t>
      </w:r>
      <w:r w:rsidR="009B5FE3">
        <w:rPr>
          <w:rFonts w:ascii="Times New Roman" w:hAnsi="Times New Roman" w:cs="Times New Roman"/>
          <w:sz w:val="24"/>
          <w:szCs w:val="24"/>
        </w:rPr>
        <w:t>prescribed that closing stock</w:t>
      </w:r>
      <w:r w:rsidR="00D91271">
        <w:rPr>
          <w:rFonts w:ascii="Times New Roman" w:hAnsi="Times New Roman" w:cs="Times New Roman"/>
          <w:sz w:val="24"/>
          <w:szCs w:val="24"/>
        </w:rPr>
        <w:t xml:space="preserve"> be treated as part of the gross income of the </w:t>
      </w:r>
      <w:r w:rsidR="00ED418C">
        <w:rPr>
          <w:rFonts w:ascii="Times New Roman" w:hAnsi="Times New Roman" w:cs="Times New Roman"/>
          <w:sz w:val="24"/>
          <w:szCs w:val="24"/>
        </w:rPr>
        <w:t xml:space="preserve">subsisting tax year. </w:t>
      </w:r>
    </w:p>
    <w:p w:rsidR="00ED418C" w:rsidRDefault="00ED418C" w:rsidP="00221CC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ground for disallowance amounts to an importation of the concept of matching into our Income Tax Act, which was specifically legislated by the insertion of s 8 (3) and s 15 (2) (a) (ii)  into our Income Tax Act by </w:t>
      </w:r>
      <w:r w:rsidR="00A03F7B">
        <w:rPr>
          <w:rFonts w:ascii="Times New Roman" w:hAnsi="Times New Roman" w:cs="Times New Roman"/>
          <w:sz w:val="24"/>
          <w:szCs w:val="24"/>
        </w:rPr>
        <w:t xml:space="preserve">ss 8 and 9 of </w:t>
      </w:r>
      <w:r w:rsidR="00525341">
        <w:rPr>
          <w:rFonts w:ascii="Times New Roman" w:hAnsi="Times New Roman" w:cs="Times New Roman"/>
          <w:sz w:val="24"/>
          <w:szCs w:val="24"/>
        </w:rPr>
        <w:t>the Finance Act (No 1) of 2018.</w:t>
      </w:r>
      <w:r>
        <w:rPr>
          <w:rFonts w:ascii="Times New Roman" w:hAnsi="Times New Roman" w:cs="Times New Roman"/>
          <w:sz w:val="24"/>
          <w:szCs w:val="24"/>
        </w:rPr>
        <w:t xml:space="preserve">  I agree with both counsel that a new insertion in a statutory provi</w:t>
      </w:r>
      <w:r w:rsidR="00695E15">
        <w:rPr>
          <w:rFonts w:ascii="Times New Roman" w:hAnsi="Times New Roman" w:cs="Times New Roman"/>
          <w:sz w:val="24"/>
          <w:szCs w:val="24"/>
        </w:rPr>
        <w:t>sion can either amplify or alter</w:t>
      </w:r>
      <w:r>
        <w:rPr>
          <w:rFonts w:ascii="Times New Roman" w:hAnsi="Times New Roman" w:cs="Times New Roman"/>
          <w:sz w:val="24"/>
          <w:szCs w:val="24"/>
        </w:rPr>
        <w:t xml:space="preserve"> an existing legal position. I recently held in </w:t>
      </w:r>
      <w:r w:rsidRPr="00CA4641">
        <w:rPr>
          <w:rFonts w:ascii="Times New Roman" w:hAnsi="Times New Roman" w:cs="Times New Roman"/>
          <w:i/>
          <w:sz w:val="24"/>
          <w:szCs w:val="24"/>
        </w:rPr>
        <w:t xml:space="preserve">SZ (Pvt) Ltd </w:t>
      </w:r>
      <w:r w:rsidRPr="00B53DEF">
        <w:rPr>
          <w:rFonts w:ascii="Times New Roman" w:hAnsi="Times New Roman" w:cs="Times New Roman"/>
          <w:sz w:val="24"/>
          <w:szCs w:val="24"/>
        </w:rPr>
        <w:t>v</w:t>
      </w:r>
      <w:r w:rsidRPr="00CA4641">
        <w:rPr>
          <w:rFonts w:ascii="Times New Roman" w:hAnsi="Times New Roman" w:cs="Times New Roman"/>
          <w:i/>
          <w:sz w:val="24"/>
          <w:szCs w:val="24"/>
        </w:rPr>
        <w:t xml:space="preserve"> Zimbabwe Revenue Authority</w:t>
      </w:r>
      <w:r>
        <w:rPr>
          <w:rFonts w:ascii="Times New Roman" w:hAnsi="Times New Roman" w:cs="Times New Roman"/>
          <w:sz w:val="24"/>
          <w:szCs w:val="24"/>
        </w:rPr>
        <w:t xml:space="preserve"> HH 142/2020 at p 10 that</w:t>
      </w:r>
      <w:r w:rsidR="00B7253C">
        <w:rPr>
          <w:rFonts w:ascii="Times New Roman" w:hAnsi="Times New Roman" w:cs="Times New Roman"/>
          <w:sz w:val="24"/>
          <w:szCs w:val="24"/>
        </w:rPr>
        <w:t>,</w:t>
      </w:r>
      <w:r>
        <w:rPr>
          <w:rFonts w:ascii="Times New Roman" w:hAnsi="Times New Roman" w:cs="Times New Roman"/>
          <w:sz w:val="24"/>
          <w:szCs w:val="24"/>
        </w:rPr>
        <w:t xml:space="preserve"> the matching principle was not part of our law during the period the </w:t>
      </w:r>
      <w:r>
        <w:rPr>
          <w:rFonts w:ascii="Times New Roman" w:hAnsi="Times New Roman" w:cs="Times New Roman"/>
          <w:sz w:val="24"/>
          <w:szCs w:val="24"/>
        </w:rPr>
        <w:lastRenderedPageBreak/>
        <w:t>amended assessments were issued in the tax years from 31 December 2009 to 31 December 2013.  I r</w:t>
      </w:r>
      <w:r w:rsidR="00B7253C">
        <w:rPr>
          <w:rFonts w:ascii="Times New Roman" w:hAnsi="Times New Roman" w:cs="Times New Roman"/>
          <w:sz w:val="24"/>
          <w:szCs w:val="24"/>
        </w:rPr>
        <w:t>elied on the construction accorded</w:t>
      </w:r>
      <w:r>
        <w:rPr>
          <w:rFonts w:ascii="Times New Roman" w:hAnsi="Times New Roman" w:cs="Times New Roman"/>
          <w:sz w:val="24"/>
          <w:szCs w:val="24"/>
        </w:rPr>
        <w:t xml:space="preserve"> to the sentiments of  </w:t>
      </w:r>
      <w:r w:rsidRPr="00B7253C">
        <w:rPr>
          <w:rFonts w:ascii="Times New Roman" w:hAnsi="Times New Roman" w:cs="Times New Roman"/>
          <w:smallCaps/>
        </w:rPr>
        <w:t>W</w:t>
      </w:r>
      <w:r w:rsidR="00221CC0" w:rsidRPr="00B7253C">
        <w:rPr>
          <w:rFonts w:ascii="Times New Roman" w:hAnsi="Times New Roman" w:cs="Times New Roman"/>
          <w:smallCaps/>
        </w:rPr>
        <w:t>atermeyer</w:t>
      </w:r>
      <w:r w:rsidRPr="00B7253C">
        <w:rPr>
          <w:rFonts w:ascii="Times New Roman" w:hAnsi="Times New Roman" w:cs="Times New Roman"/>
        </w:rPr>
        <w:t xml:space="preserve"> CJ</w:t>
      </w:r>
      <w:r>
        <w:rPr>
          <w:rFonts w:ascii="Times New Roman" w:hAnsi="Times New Roman" w:cs="Times New Roman"/>
          <w:sz w:val="24"/>
          <w:szCs w:val="24"/>
        </w:rPr>
        <w:t xml:space="preserve"> in </w:t>
      </w:r>
      <w:r>
        <w:rPr>
          <w:rFonts w:ascii="Times New Roman" w:hAnsi="Times New Roman" w:cs="Times New Roman"/>
          <w:i/>
          <w:sz w:val="24"/>
          <w:szCs w:val="24"/>
        </w:rPr>
        <w:t xml:space="preserve">Joffe  and Co Ltd </w:t>
      </w:r>
      <w:r w:rsidRPr="00221CC0">
        <w:rPr>
          <w:rFonts w:ascii="Times New Roman" w:hAnsi="Times New Roman" w:cs="Times New Roman"/>
          <w:sz w:val="24"/>
          <w:szCs w:val="24"/>
        </w:rPr>
        <w:t>v</w:t>
      </w:r>
      <w:r>
        <w:rPr>
          <w:rFonts w:ascii="Times New Roman" w:hAnsi="Times New Roman" w:cs="Times New Roman"/>
          <w:i/>
          <w:sz w:val="24"/>
          <w:szCs w:val="24"/>
        </w:rPr>
        <w:t xml:space="preserve"> CIR </w:t>
      </w:r>
      <w:r w:rsidR="00A80A52">
        <w:rPr>
          <w:rFonts w:ascii="Times New Roman" w:hAnsi="Times New Roman" w:cs="Times New Roman"/>
          <w:sz w:val="24"/>
          <w:szCs w:val="24"/>
        </w:rPr>
        <w:t xml:space="preserve">1946 AD 157 </w:t>
      </w:r>
      <w:r w:rsidR="00331607">
        <w:rPr>
          <w:rFonts w:ascii="Times New Roman" w:hAnsi="Times New Roman" w:cs="Times New Roman"/>
          <w:sz w:val="24"/>
          <w:szCs w:val="24"/>
        </w:rPr>
        <w:t xml:space="preserve">at 163 by </w:t>
      </w:r>
      <w:r w:rsidRPr="00A80A52">
        <w:rPr>
          <w:rFonts w:ascii="Times New Roman" w:hAnsi="Times New Roman" w:cs="Times New Roman"/>
          <w:smallCaps/>
        </w:rPr>
        <w:t>C</w:t>
      </w:r>
      <w:r w:rsidR="00221CC0" w:rsidRPr="00A80A52">
        <w:rPr>
          <w:rFonts w:ascii="Times New Roman" w:hAnsi="Times New Roman" w:cs="Times New Roman"/>
          <w:smallCaps/>
        </w:rPr>
        <w:t>entlivres</w:t>
      </w:r>
      <w:r w:rsidRPr="00A80A52">
        <w:rPr>
          <w:rFonts w:ascii="Times New Roman" w:hAnsi="Times New Roman" w:cs="Times New Roman"/>
        </w:rPr>
        <w:t xml:space="preserve"> JA</w:t>
      </w:r>
      <w:r>
        <w:rPr>
          <w:rFonts w:ascii="Times New Roman" w:hAnsi="Times New Roman" w:cs="Times New Roman"/>
          <w:sz w:val="24"/>
          <w:szCs w:val="24"/>
        </w:rPr>
        <w:t xml:space="preserve"> in </w:t>
      </w:r>
      <w:r>
        <w:rPr>
          <w:rFonts w:ascii="Times New Roman" w:hAnsi="Times New Roman" w:cs="Times New Roman"/>
          <w:i/>
          <w:sz w:val="24"/>
          <w:szCs w:val="24"/>
        </w:rPr>
        <w:t xml:space="preserve">Sub-Nigel Ltd </w:t>
      </w:r>
      <w:r w:rsidRPr="00221CC0">
        <w:rPr>
          <w:rFonts w:ascii="Times New Roman" w:hAnsi="Times New Roman" w:cs="Times New Roman"/>
          <w:sz w:val="24"/>
          <w:szCs w:val="24"/>
        </w:rPr>
        <w:t xml:space="preserve">v </w:t>
      </w:r>
      <w:r>
        <w:rPr>
          <w:rFonts w:ascii="Times New Roman" w:hAnsi="Times New Roman" w:cs="Times New Roman"/>
          <w:i/>
          <w:sz w:val="24"/>
          <w:szCs w:val="24"/>
        </w:rPr>
        <w:t xml:space="preserve">CIR </w:t>
      </w:r>
      <w:r w:rsidRPr="0085611A">
        <w:rPr>
          <w:rFonts w:ascii="Times New Roman" w:hAnsi="Times New Roman" w:cs="Times New Roman"/>
          <w:sz w:val="24"/>
          <w:szCs w:val="24"/>
        </w:rPr>
        <w:t>1948 (4) SA 580 (A) at 589, 591 and 592</w:t>
      </w:r>
      <w:r>
        <w:rPr>
          <w:rFonts w:ascii="Times New Roman" w:hAnsi="Times New Roman" w:cs="Times New Roman"/>
          <w:sz w:val="24"/>
          <w:szCs w:val="24"/>
        </w:rPr>
        <w:t xml:space="preserve"> and </w:t>
      </w:r>
      <w:r w:rsidRPr="000B4806">
        <w:rPr>
          <w:rFonts w:ascii="Times New Roman" w:hAnsi="Times New Roman" w:cs="Times New Roman"/>
          <w:i/>
          <w:sz w:val="24"/>
          <w:szCs w:val="24"/>
        </w:rPr>
        <w:t>ITC 815</w:t>
      </w:r>
      <w:r>
        <w:rPr>
          <w:rFonts w:ascii="Times New Roman" w:hAnsi="Times New Roman" w:cs="Times New Roman"/>
          <w:sz w:val="24"/>
          <w:szCs w:val="24"/>
        </w:rPr>
        <w:t xml:space="preserve"> (1955) 20 SATC 487 at 492.  See also </w:t>
      </w:r>
      <w:r w:rsidRPr="00CD21EB">
        <w:rPr>
          <w:rFonts w:ascii="Times New Roman" w:hAnsi="Times New Roman" w:cs="Times New Roman"/>
          <w:i/>
          <w:sz w:val="24"/>
          <w:szCs w:val="24"/>
        </w:rPr>
        <w:t xml:space="preserve">Commissioner for Inland Revenue </w:t>
      </w:r>
      <w:r w:rsidRPr="00221CC0">
        <w:rPr>
          <w:rFonts w:ascii="Times New Roman" w:hAnsi="Times New Roman" w:cs="Times New Roman"/>
          <w:sz w:val="24"/>
          <w:szCs w:val="24"/>
        </w:rPr>
        <w:t xml:space="preserve">v </w:t>
      </w:r>
      <w:r w:rsidRPr="00CD21EB">
        <w:rPr>
          <w:rFonts w:ascii="Times New Roman" w:hAnsi="Times New Roman" w:cs="Times New Roman"/>
          <w:i/>
          <w:sz w:val="24"/>
          <w:szCs w:val="24"/>
        </w:rPr>
        <w:t>Standard Bank of South Africa Ltd</w:t>
      </w:r>
      <w:r>
        <w:rPr>
          <w:rFonts w:ascii="Times New Roman" w:hAnsi="Times New Roman" w:cs="Times New Roman"/>
          <w:sz w:val="24"/>
          <w:szCs w:val="24"/>
        </w:rPr>
        <w:t xml:space="preserve">, </w:t>
      </w:r>
      <w:r w:rsidRPr="00210A4D">
        <w:rPr>
          <w:rFonts w:ascii="Times New Roman" w:hAnsi="Times New Roman" w:cs="Times New Roman"/>
          <w:i/>
          <w:sz w:val="24"/>
          <w:szCs w:val="24"/>
        </w:rPr>
        <w:t>supra</w:t>
      </w:r>
      <w:r>
        <w:rPr>
          <w:rFonts w:ascii="Times New Roman" w:hAnsi="Times New Roman" w:cs="Times New Roman"/>
          <w:sz w:val="24"/>
          <w:szCs w:val="24"/>
        </w:rPr>
        <w:t>, at 499H</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w:t>
      </w:r>
      <w:r w:rsidR="007F1988">
        <w:rPr>
          <w:rFonts w:ascii="Times New Roman" w:hAnsi="Times New Roman" w:cs="Times New Roman"/>
          <w:sz w:val="24"/>
          <w:szCs w:val="24"/>
        </w:rPr>
        <w:t xml:space="preserve"> </w:t>
      </w:r>
      <w:r>
        <w:rPr>
          <w:rFonts w:ascii="Times New Roman" w:hAnsi="Times New Roman" w:cs="Times New Roman"/>
          <w:sz w:val="24"/>
          <w:szCs w:val="24"/>
        </w:rPr>
        <w:t xml:space="preserve">In the light of that finding I agree with Mr </w:t>
      </w:r>
      <w:r w:rsidRPr="00AD7074">
        <w:rPr>
          <w:rFonts w:ascii="Times New Roman" w:hAnsi="Times New Roman" w:cs="Times New Roman"/>
          <w:i/>
          <w:sz w:val="24"/>
          <w:szCs w:val="24"/>
        </w:rPr>
        <w:t>de Bourbon</w:t>
      </w:r>
      <w:r>
        <w:rPr>
          <w:rFonts w:ascii="Times New Roman" w:hAnsi="Times New Roman" w:cs="Times New Roman"/>
          <w:sz w:val="24"/>
          <w:szCs w:val="24"/>
        </w:rPr>
        <w:t xml:space="preserve"> that the Finance Act (No 1) of 2018 </w:t>
      </w:r>
      <w:r w:rsidR="00331607">
        <w:rPr>
          <w:rFonts w:ascii="Times New Roman" w:hAnsi="Times New Roman" w:cs="Times New Roman"/>
          <w:sz w:val="24"/>
          <w:szCs w:val="24"/>
        </w:rPr>
        <w:t>altered</w:t>
      </w:r>
      <w:r>
        <w:rPr>
          <w:rFonts w:ascii="Times New Roman" w:hAnsi="Times New Roman" w:cs="Times New Roman"/>
          <w:sz w:val="24"/>
          <w:szCs w:val="24"/>
        </w:rPr>
        <w:t xml:space="preserve"> the legal position prevailing in Zimbabwe prior to the amendment.</w:t>
      </w:r>
      <w:r w:rsidR="005E7CBF">
        <w:rPr>
          <w:rFonts w:ascii="Times New Roman" w:hAnsi="Times New Roman" w:cs="Times New Roman"/>
          <w:sz w:val="24"/>
          <w:szCs w:val="24"/>
        </w:rPr>
        <w:t xml:space="preserve"> </w:t>
      </w:r>
    </w:p>
    <w:p w:rsidR="000C75AB" w:rsidRDefault="00AE4015" w:rsidP="00221CC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definition of trad</w:t>
      </w:r>
      <w:r w:rsidR="00797009">
        <w:rPr>
          <w:rFonts w:ascii="Times New Roman" w:hAnsi="Times New Roman" w:cs="Times New Roman"/>
          <w:sz w:val="24"/>
          <w:szCs w:val="24"/>
        </w:rPr>
        <w:t>ing stock provided in s 2</w:t>
      </w:r>
      <w:r w:rsidR="002D4A59">
        <w:rPr>
          <w:rFonts w:ascii="Times New Roman" w:hAnsi="Times New Roman" w:cs="Times New Roman"/>
          <w:sz w:val="24"/>
          <w:szCs w:val="24"/>
        </w:rPr>
        <w:t xml:space="preserve"> </w:t>
      </w:r>
      <w:r w:rsidR="00797009">
        <w:rPr>
          <w:rFonts w:ascii="Times New Roman" w:hAnsi="Times New Roman" w:cs="Times New Roman"/>
          <w:sz w:val="24"/>
          <w:szCs w:val="24"/>
        </w:rPr>
        <w:t xml:space="preserve">of the Income Tax Act covers </w:t>
      </w:r>
      <w:r w:rsidR="002D4A59">
        <w:rPr>
          <w:rFonts w:ascii="Times New Roman" w:hAnsi="Times New Roman" w:cs="Times New Roman"/>
          <w:sz w:val="24"/>
          <w:szCs w:val="24"/>
        </w:rPr>
        <w:t xml:space="preserve">in para (a), (b) and (c) </w:t>
      </w:r>
      <w:r w:rsidR="00797009">
        <w:rPr>
          <w:rFonts w:ascii="Times New Roman" w:hAnsi="Times New Roman" w:cs="Times New Roman"/>
          <w:sz w:val="24"/>
          <w:szCs w:val="24"/>
        </w:rPr>
        <w:t xml:space="preserve">goods and other property of any description </w:t>
      </w:r>
      <w:r w:rsidR="0083678D">
        <w:rPr>
          <w:rFonts w:ascii="Times New Roman" w:hAnsi="Times New Roman" w:cs="Times New Roman"/>
          <w:sz w:val="24"/>
          <w:szCs w:val="24"/>
        </w:rPr>
        <w:t>that are</w:t>
      </w:r>
      <w:r w:rsidR="00797009">
        <w:rPr>
          <w:rFonts w:ascii="Times New Roman" w:hAnsi="Times New Roman" w:cs="Times New Roman"/>
          <w:sz w:val="24"/>
          <w:szCs w:val="24"/>
        </w:rPr>
        <w:t xml:space="preserve">, </w:t>
      </w:r>
      <w:r w:rsidR="00797009" w:rsidRPr="00797009">
        <w:rPr>
          <w:rFonts w:ascii="Times New Roman" w:hAnsi="Times New Roman" w:cs="Times New Roman"/>
          <w:i/>
          <w:sz w:val="24"/>
          <w:szCs w:val="24"/>
        </w:rPr>
        <w:t>inter alia</w:t>
      </w:r>
      <w:r w:rsidR="00797009">
        <w:rPr>
          <w:rFonts w:ascii="Times New Roman" w:hAnsi="Times New Roman" w:cs="Times New Roman"/>
          <w:sz w:val="24"/>
          <w:szCs w:val="24"/>
        </w:rPr>
        <w:t>, acquired, by the taxpayer in the ordinary course of trade</w:t>
      </w:r>
      <w:r w:rsidR="0083678D">
        <w:rPr>
          <w:rFonts w:ascii="Times New Roman" w:hAnsi="Times New Roman" w:cs="Times New Roman"/>
          <w:sz w:val="24"/>
          <w:szCs w:val="24"/>
        </w:rPr>
        <w:t xml:space="preserve"> for the purpose of d</w:t>
      </w:r>
      <w:r w:rsidR="00C579F5">
        <w:rPr>
          <w:rFonts w:ascii="Times New Roman" w:hAnsi="Times New Roman" w:cs="Times New Roman"/>
          <w:sz w:val="24"/>
          <w:szCs w:val="24"/>
        </w:rPr>
        <w:t>isposal in the ordinary course of trade</w:t>
      </w:r>
      <w:r w:rsidR="00A26CBD">
        <w:rPr>
          <w:rFonts w:ascii="Times New Roman" w:hAnsi="Times New Roman" w:cs="Times New Roman"/>
          <w:sz w:val="24"/>
          <w:szCs w:val="24"/>
        </w:rPr>
        <w:t xml:space="preserve"> and</w:t>
      </w:r>
      <w:r w:rsidR="0083678D">
        <w:rPr>
          <w:rFonts w:ascii="Times New Roman" w:hAnsi="Times New Roman" w:cs="Times New Roman"/>
          <w:sz w:val="24"/>
          <w:szCs w:val="24"/>
        </w:rPr>
        <w:t xml:space="preserve"> such goods </w:t>
      </w:r>
      <w:r w:rsidR="00953950">
        <w:rPr>
          <w:rFonts w:ascii="Times New Roman" w:hAnsi="Times New Roman" w:cs="Times New Roman"/>
          <w:sz w:val="24"/>
          <w:szCs w:val="24"/>
        </w:rPr>
        <w:t xml:space="preserve">and other property </w:t>
      </w:r>
      <w:r w:rsidR="002D4A59">
        <w:rPr>
          <w:rFonts w:ascii="Times New Roman" w:hAnsi="Times New Roman" w:cs="Times New Roman"/>
          <w:sz w:val="24"/>
          <w:szCs w:val="24"/>
        </w:rPr>
        <w:t xml:space="preserve">acquired in the ordinary course of trade or in connection with the manufacture, production, construction or improvement of goods or other property of any description </w:t>
      </w:r>
      <w:r w:rsidR="00D44E1A">
        <w:rPr>
          <w:rFonts w:ascii="Times New Roman" w:hAnsi="Times New Roman" w:cs="Times New Roman"/>
          <w:sz w:val="24"/>
          <w:szCs w:val="24"/>
        </w:rPr>
        <w:t>for which</w:t>
      </w:r>
      <w:r w:rsidR="002D4A59">
        <w:rPr>
          <w:rFonts w:ascii="Times New Roman" w:hAnsi="Times New Roman" w:cs="Times New Roman"/>
          <w:sz w:val="24"/>
          <w:szCs w:val="24"/>
        </w:rPr>
        <w:t xml:space="preserve"> the expenditure </w:t>
      </w:r>
      <w:r w:rsidR="00D44E1A">
        <w:rPr>
          <w:rFonts w:ascii="Times New Roman" w:hAnsi="Times New Roman" w:cs="Times New Roman"/>
          <w:sz w:val="24"/>
          <w:szCs w:val="24"/>
        </w:rPr>
        <w:t xml:space="preserve">thereof </w:t>
      </w:r>
      <w:r w:rsidR="002D4A59">
        <w:rPr>
          <w:rFonts w:ascii="Times New Roman" w:hAnsi="Times New Roman" w:cs="Times New Roman"/>
          <w:sz w:val="24"/>
          <w:szCs w:val="24"/>
        </w:rPr>
        <w:t>is allowable as a deduction under the general ded</w:t>
      </w:r>
      <w:r w:rsidR="0080108A">
        <w:rPr>
          <w:rFonts w:ascii="Times New Roman" w:hAnsi="Times New Roman" w:cs="Times New Roman"/>
          <w:sz w:val="24"/>
          <w:szCs w:val="24"/>
        </w:rPr>
        <w:t xml:space="preserve">uction formula and </w:t>
      </w:r>
      <w:r w:rsidR="00D44E1A">
        <w:rPr>
          <w:rFonts w:ascii="Times New Roman" w:hAnsi="Times New Roman" w:cs="Times New Roman"/>
          <w:sz w:val="24"/>
          <w:szCs w:val="24"/>
        </w:rPr>
        <w:t>any partially manufactured, improved, consumed or used</w:t>
      </w:r>
      <w:r w:rsidR="0080108A">
        <w:rPr>
          <w:rFonts w:ascii="Times New Roman" w:hAnsi="Times New Roman" w:cs="Times New Roman"/>
          <w:sz w:val="24"/>
          <w:szCs w:val="24"/>
        </w:rPr>
        <w:t xml:space="preserve"> </w:t>
      </w:r>
      <w:r w:rsidR="00D44E1A">
        <w:rPr>
          <w:rFonts w:ascii="Times New Roman" w:hAnsi="Times New Roman" w:cs="Times New Roman"/>
          <w:sz w:val="24"/>
          <w:szCs w:val="24"/>
        </w:rPr>
        <w:t xml:space="preserve">goods, which are held </w:t>
      </w:r>
      <w:r w:rsidR="0080108A">
        <w:rPr>
          <w:rFonts w:ascii="Times New Roman" w:hAnsi="Times New Roman" w:cs="Times New Roman"/>
          <w:sz w:val="24"/>
          <w:szCs w:val="24"/>
        </w:rPr>
        <w:t xml:space="preserve">at </w:t>
      </w:r>
      <w:r w:rsidR="00D44E1A">
        <w:rPr>
          <w:rFonts w:ascii="Times New Roman" w:hAnsi="Times New Roman" w:cs="Times New Roman"/>
          <w:sz w:val="24"/>
          <w:szCs w:val="24"/>
        </w:rPr>
        <w:t xml:space="preserve">the </w:t>
      </w:r>
      <w:r w:rsidR="0080108A">
        <w:rPr>
          <w:rFonts w:ascii="Times New Roman" w:hAnsi="Times New Roman" w:cs="Times New Roman"/>
          <w:sz w:val="24"/>
          <w:szCs w:val="24"/>
        </w:rPr>
        <w:t>tax</w:t>
      </w:r>
      <w:r w:rsidR="0080108A" w:rsidRPr="0080108A">
        <w:rPr>
          <w:rFonts w:ascii="Times New Roman" w:hAnsi="Times New Roman" w:cs="Times New Roman"/>
          <w:sz w:val="24"/>
          <w:szCs w:val="24"/>
        </w:rPr>
        <w:t xml:space="preserve"> </w:t>
      </w:r>
      <w:r w:rsidR="00D44E1A">
        <w:rPr>
          <w:rFonts w:ascii="Times New Roman" w:hAnsi="Times New Roman" w:cs="Times New Roman"/>
          <w:sz w:val="24"/>
          <w:szCs w:val="24"/>
        </w:rPr>
        <w:t>year end.</w:t>
      </w:r>
      <w:r w:rsidR="0080108A">
        <w:rPr>
          <w:rFonts w:ascii="Times New Roman" w:hAnsi="Times New Roman" w:cs="Times New Roman"/>
          <w:sz w:val="24"/>
          <w:szCs w:val="24"/>
        </w:rPr>
        <w:t xml:space="preserve"> </w:t>
      </w:r>
      <w:r w:rsidR="00D01553">
        <w:rPr>
          <w:rFonts w:ascii="Times New Roman" w:hAnsi="Times New Roman" w:cs="Times New Roman"/>
          <w:sz w:val="24"/>
          <w:szCs w:val="24"/>
        </w:rPr>
        <w:t>It was common cause that t</w:t>
      </w:r>
      <w:r w:rsidR="0080108A">
        <w:rPr>
          <w:rFonts w:ascii="Times New Roman" w:hAnsi="Times New Roman" w:cs="Times New Roman"/>
          <w:sz w:val="24"/>
          <w:szCs w:val="24"/>
        </w:rPr>
        <w:t xml:space="preserve">he consumable parts </w:t>
      </w:r>
      <w:r w:rsidR="00D01553">
        <w:rPr>
          <w:rFonts w:ascii="Times New Roman" w:hAnsi="Times New Roman" w:cs="Times New Roman"/>
          <w:sz w:val="24"/>
          <w:szCs w:val="24"/>
        </w:rPr>
        <w:t xml:space="preserve">in question </w:t>
      </w:r>
      <w:r w:rsidR="0080108A">
        <w:rPr>
          <w:rFonts w:ascii="Times New Roman" w:hAnsi="Times New Roman" w:cs="Times New Roman"/>
          <w:sz w:val="24"/>
          <w:szCs w:val="24"/>
        </w:rPr>
        <w:t>were not acqui</w:t>
      </w:r>
      <w:r w:rsidR="00BA68E5">
        <w:rPr>
          <w:rFonts w:ascii="Times New Roman" w:hAnsi="Times New Roman" w:cs="Times New Roman"/>
          <w:sz w:val="24"/>
          <w:szCs w:val="24"/>
        </w:rPr>
        <w:t>red for resale</w:t>
      </w:r>
      <w:r w:rsidR="0080108A">
        <w:rPr>
          <w:rFonts w:ascii="Times New Roman" w:hAnsi="Times New Roman" w:cs="Times New Roman"/>
          <w:sz w:val="24"/>
          <w:szCs w:val="24"/>
        </w:rPr>
        <w:t xml:space="preserve"> by the appellant but were to be used in the manufacture, production or improvement of other property of any descrip</w:t>
      </w:r>
      <w:r w:rsidR="00080292">
        <w:rPr>
          <w:rFonts w:ascii="Times New Roman" w:hAnsi="Times New Roman" w:cs="Times New Roman"/>
          <w:sz w:val="24"/>
          <w:szCs w:val="24"/>
        </w:rPr>
        <w:t xml:space="preserve">tion </w:t>
      </w:r>
      <w:r w:rsidR="000C75AB">
        <w:rPr>
          <w:rFonts w:ascii="Times New Roman" w:hAnsi="Times New Roman" w:cs="Times New Roman"/>
          <w:sz w:val="24"/>
          <w:szCs w:val="24"/>
        </w:rPr>
        <w:t xml:space="preserve">that were intimately </w:t>
      </w:r>
      <w:r w:rsidR="00D01553">
        <w:rPr>
          <w:rFonts w:ascii="Times New Roman" w:hAnsi="Times New Roman" w:cs="Times New Roman"/>
          <w:sz w:val="24"/>
          <w:szCs w:val="24"/>
        </w:rPr>
        <w:t>related to</w:t>
      </w:r>
      <w:r w:rsidR="00080292">
        <w:rPr>
          <w:rFonts w:ascii="Times New Roman" w:hAnsi="Times New Roman" w:cs="Times New Roman"/>
          <w:sz w:val="24"/>
          <w:szCs w:val="24"/>
        </w:rPr>
        <w:t xml:space="preserve"> </w:t>
      </w:r>
      <w:r w:rsidR="00D01553">
        <w:rPr>
          <w:rFonts w:ascii="Times New Roman" w:hAnsi="Times New Roman" w:cs="Times New Roman"/>
          <w:sz w:val="24"/>
          <w:szCs w:val="24"/>
        </w:rPr>
        <w:t xml:space="preserve">the manufacture and </w:t>
      </w:r>
      <w:r w:rsidR="000C75AB">
        <w:rPr>
          <w:rFonts w:ascii="Times New Roman" w:hAnsi="Times New Roman" w:cs="Times New Roman"/>
          <w:sz w:val="24"/>
          <w:szCs w:val="24"/>
        </w:rPr>
        <w:t>transportation</w:t>
      </w:r>
      <w:r w:rsidR="00080292">
        <w:rPr>
          <w:rFonts w:ascii="Times New Roman" w:hAnsi="Times New Roman" w:cs="Times New Roman"/>
          <w:sz w:val="24"/>
          <w:szCs w:val="24"/>
        </w:rPr>
        <w:t xml:space="preserve"> of cement and</w:t>
      </w:r>
      <w:r w:rsidR="0080108A">
        <w:rPr>
          <w:rFonts w:ascii="Times New Roman" w:hAnsi="Times New Roman" w:cs="Times New Roman"/>
          <w:sz w:val="24"/>
          <w:szCs w:val="24"/>
        </w:rPr>
        <w:t xml:space="preserve"> allied products.  Notwithstanding the use of the conjunctive “and” in the definition of trading stock, it seems to me that each para</w:t>
      </w:r>
      <w:r w:rsidR="000C75AB">
        <w:rPr>
          <w:rFonts w:ascii="Times New Roman" w:hAnsi="Times New Roman" w:cs="Times New Roman"/>
          <w:sz w:val="24"/>
          <w:szCs w:val="24"/>
        </w:rPr>
        <w:t>graph</w:t>
      </w:r>
      <w:r w:rsidR="0080108A">
        <w:rPr>
          <w:rFonts w:ascii="Times New Roman" w:hAnsi="Times New Roman" w:cs="Times New Roman"/>
          <w:sz w:val="24"/>
          <w:szCs w:val="24"/>
        </w:rPr>
        <w:t xml:space="preserve"> under that definition is disjunctive. </w:t>
      </w:r>
      <w:r w:rsidR="00092791">
        <w:rPr>
          <w:rFonts w:ascii="Times New Roman" w:hAnsi="Times New Roman" w:cs="Times New Roman"/>
          <w:sz w:val="24"/>
          <w:szCs w:val="24"/>
        </w:rPr>
        <w:t xml:space="preserve">To construe it as conjunctive would negate the efficacy of the definition. </w:t>
      </w:r>
    </w:p>
    <w:p w:rsidR="00AC268C" w:rsidRDefault="000C75AB" w:rsidP="00221CC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my view, the </w:t>
      </w:r>
      <w:r w:rsidR="00265788">
        <w:rPr>
          <w:rFonts w:ascii="Times New Roman" w:hAnsi="Times New Roman" w:cs="Times New Roman"/>
          <w:sz w:val="24"/>
          <w:szCs w:val="24"/>
        </w:rPr>
        <w:t xml:space="preserve">definition </w:t>
      </w:r>
      <w:r>
        <w:rPr>
          <w:rFonts w:ascii="Times New Roman" w:hAnsi="Times New Roman" w:cs="Times New Roman"/>
          <w:sz w:val="24"/>
          <w:szCs w:val="24"/>
        </w:rPr>
        <w:t>of trading stock</w:t>
      </w:r>
      <w:r w:rsidR="007D136E">
        <w:rPr>
          <w:rFonts w:ascii="Times New Roman" w:hAnsi="Times New Roman" w:cs="Times New Roman"/>
          <w:sz w:val="24"/>
          <w:szCs w:val="24"/>
        </w:rPr>
        <w:t xml:space="preserve"> makes</w:t>
      </w:r>
      <w:r w:rsidR="00265788">
        <w:rPr>
          <w:rFonts w:ascii="Times New Roman" w:hAnsi="Times New Roman" w:cs="Times New Roman"/>
          <w:sz w:val="24"/>
          <w:szCs w:val="24"/>
        </w:rPr>
        <w:t xml:space="preserve"> the consumable spare par</w:t>
      </w:r>
      <w:r w:rsidR="007D136E">
        <w:rPr>
          <w:rFonts w:ascii="Times New Roman" w:hAnsi="Times New Roman" w:cs="Times New Roman"/>
          <w:sz w:val="24"/>
          <w:szCs w:val="24"/>
        </w:rPr>
        <w:t>ts closing stock, which would</w:t>
      </w:r>
      <w:r w:rsidR="00265788">
        <w:rPr>
          <w:rFonts w:ascii="Times New Roman" w:hAnsi="Times New Roman" w:cs="Times New Roman"/>
          <w:sz w:val="24"/>
          <w:szCs w:val="24"/>
        </w:rPr>
        <w:t xml:space="preserve"> not be deductible under the general deduction formula.</w:t>
      </w:r>
      <w:r w:rsidR="00265788" w:rsidRPr="00265788">
        <w:rPr>
          <w:rFonts w:ascii="Times New Roman" w:hAnsi="Times New Roman" w:cs="Times New Roman"/>
          <w:sz w:val="24"/>
          <w:szCs w:val="24"/>
        </w:rPr>
        <w:t xml:space="preserve"> </w:t>
      </w:r>
      <w:r w:rsidR="00265788">
        <w:rPr>
          <w:rFonts w:ascii="Times New Roman" w:hAnsi="Times New Roman" w:cs="Times New Roman"/>
          <w:sz w:val="24"/>
          <w:szCs w:val="24"/>
        </w:rPr>
        <w:t>T</w:t>
      </w:r>
      <w:r w:rsidR="009F387D">
        <w:rPr>
          <w:rFonts w:ascii="Times New Roman" w:hAnsi="Times New Roman" w:cs="Times New Roman"/>
          <w:sz w:val="24"/>
          <w:szCs w:val="24"/>
        </w:rPr>
        <w:t xml:space="preserve">he disallowance by the Commissioner was therefore proper. </w:t>
      </w:r>
      <w:r w:rsidR="00265788">
        <w:rPr>
          <w:rFonts w:ascii="Times New Roman" w:hAnsi="Times New Roman" w:cs="Times New Roman"/>
          <w:sz w:val="24"/>
          <w:szCs w:val="24"/>
        </w:rPr>
        <w:t xml:space="preserve"> </w:t>
      </w:r>
    </w:p>
    <w:p w:rsidR="00890F10" w:rsidRPr="00AC268C" w:rsidRDefault="00890F10" w:rsidP="00AC268C">
      <w:pPr>
        <w:jc w:val="both"/>
        <w:rPr>
          <w:rFonts w:ascii="Times New Roman" w:hAnsi="Times New Roman" w:cs="Times New Roman"/>
          <w:sz w:val="24"/>
          <w:szCs w:val="24"/>
        </w:rPr>
      </w:pPr>
      <w:r w:rsidRPr="00AC268C">
        <w:rPr>
          <w:rFonts w:ascii="Times New Roman" w:hAnsi="Times New Roman" w:cs="Times New Roman"/>
          <w:i/>
          <w:sz w:val="24"/>
          <w:szCs w:val="24"/>
        </w:rPr>
        <w:t xml:space="preserve">Was the cost of the removal of quarry overburden to enable the appellant to recover and utilize limestone to manufacture cement </w:t>
      </w:r>
      <w:r w:rsidR="009D7B0E">
        <w:rPr>
          <w:rFonts w:ascii="Times New Roman" w:hAnsi="Times New Roman" w:cs="Times New Roman"/>
          <w:i/>
          <w:sz w:val="24"/>
          <w:szCs w:val="24"/>
        </w:rPr>
        <w:t xml:space="preserve">revenue expenditure or capital expenditure? </w:t>
      </w:r>
    </w:p>
    <w:p w:rsidR="00C31768" w:rsidRDefault="00B11FB8" w:rsidP="00B53D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common cause that the appellant was the owner of the quarry mine from which limestone was extracted. It produced inspection certificates, certificates of registration, </w:t>
      </w:r>
      <w:r>
        <w:rPr>
          <w:rFonts w:ascii="Times New Roman" w:hAnsi="Times New Roman" w:cs="Times New Roman"/>
          <w:sz w:val="24"/>
          <w:szCs w:val="24"/>
        </w:rPr>
        <w:lastRenderedPageBreak/>
        <w:t xml:space="preserve">appointments of a mine manager and approvals to use explosives in its name, which established that though it was not in the business of mining, it conducted mining operations on its limestone claims. </w:t>
      </w:r>
      <w:r w:rsidR="00471664">
        <w:rPr>
          <w:rFonts w:ascii="Times New Roman" w:hAnsi="Times New Roman" w:cs="Times New Roman"/>
          <w:sz w:val="24"/>
          <w:szCs w:val="24"/>
        </w:rPr>
        <w:t>It was common cause that it removed overburden, the technical term for the soil, rocks and everything else o</w:t>
      </w:r>
      <w:r w:rsidR="0066398C">
        <w:rPr>
          <w:rFonts w:ascii="Times New Roman" w:hAnsi="Times New Roman" w:cs="Times New Roman"/>
          <w:sz w:val="24"/>
          <w:szCs w:val="24"/>
        </w:rPr>
        <w:t>verlaying</w:t>
      </w:r>
      <w:r w:rsidR="00471664">
        <w:rPr>
          <w:rFonts w:ascii="Times New Roman" w:hAnsi="Times New Roman" w:cs="Times New Roman"/>
          <w:sz w:val="24"/>
          <w:szCs w:val="24"/>
        </w:rPr>
        <w:t xml:space="preserve"> the limestone embedded in the belly of the earth. </w:t>
      </w:r>
      <w:r w:rsidR="0019630B">
        <w:rPr>
          <w:rFonts w:ascii="Times New Roman" w:hAnsi="Times New Roman" w:cs="Times New Roman"/>
          <w:sz w:val="24"/>
          <w:szCs w:val="24"/>
        </w:rPr>
        <w:t>The whole purpose of removing the overburden was to r</w:t>
      </w:r>
      <w:r w:rsidR="00354D5A">
        <w:rPr>
          <w:rFonts w:ascii="Times New Roman" w:hAnsi="Times New Roman" w:cs="Times New Roman"/>
          <w:sz w:val="24"/>
          <w:szCs w:val="24"/>
        </w:rPr>
        <w:t>each the limestone, the main raw</w:t>
      </w:r>
      <w:r w:rsidR="0019630B">
        <w:rPr>
          <w:rFonts w:ascii="Times New Roman" w:hAnsi="Times New Roman" w:cs="Times New Roman"/>
          <w:sz w:val="24"/>
          <w:szCs w:val="24"/>
        </w:rPr>
        <w:t xml:space="preserve"> material utilized in the production of cement and its allied products. The real question raised in the first sub-issue is whether the expenses incurred in the removal of overburden </w:t>
      </w:r>
      <w:r w:rsidR="009D7B0E">
        <w:rPr>
          <w:rFonts w:ascii="Times New Roman" w:hAnsi="Times New Roman" w:cs="Times New Roman"/>
          <w:sz w:val="24"/>
          <w:szCs w:val="24"/>
        </w:rPr>
        <w:t>were</w:t>
      </w:r>
      <w:r w:rsidR="0019630B">
        <w:rPr>
          <w:rFonts w:ascii="Times New Roman" w:hAnsi="Times New Roman" w:cs="Times New Roman"/>
          <w:sz w:val="24"/>
          <w:szCs w:val="24"/>
        </w:rPr>
        <w:t xml:space="preserve"> of a capital or revenue nature. </w:t>
      </w:r>
    </w:p>
    <w:p w:rsidR="0019630B" w:rsidRDefault="0019630B" w:rsidP="00B53D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answered this very question in </w:t>
      </w:r>
      <w:r w:rsidRPr="0047253C">
        <w:rPr>
          <w:rFonts w:ascii="Times New Roman" w:hAnsi="Times New Roman" w:cs="Times New Roman"/>
          <w:i/>
          <w:sz w:val="24"/>
          <w:szCs w:val="24"/>
        </w:rPr>
        <w:t xml:space="preserve">SZ (Pvt) Ltd </w:t>
      </w:r>
      <w:r w:rsidRPr="00221CC0">
        <w:rPr>
          <w:rFonts w:ascii="Times New Roman" w:hAnsi="Times New Roman" w:cs="Times New Roman"/>
          <w:sz w:val="24"/>
          <w:szCs w:val="24"/>
        </w:rPr>
        <w:t xml:space="preserve">v </w:t>
      </w:r>
      <w:r w:rsidRPr="0047253C">
        <w:rPr>
          <w:rFonts w:ascii="Times New Roman" w:hAnsi="Times New Roman" w:cs="Times New Roman"/>
          <w:i/>
          <w:sz w:val="24"/>
          <w:szCs w:val="24"/>
        </w:rPr>
        <w:t>Zimbabwe Revenue Authority</w:t>
      </w:r>
      <w:r>
        <w:rPr>
          <w:rFonts w:ascii="Times New Roman" w:hAnsi="Times New Roman" w:cs="Times New Roman"/>
          <w:sz w:val="24"/>
          <w:szCs w:val="24"/>
        </w:rPr>
        <w:t xml:space="preserve"> HH 142/2020 at </w:t>
      </w:r>
      <w:r w:rsidR="0047253C">
        <w:rPr>
          <w:rFonts w:ascii="Times New Roman" w:hAnsi="Times New Roman" w:cs="Times New Roman"/>
          <w:sz w:val="24"/>
          <w:szCs w:val="24"/>
        </w:rPr>
        <w:t xml:space="preserve">p 12 where I held that the removal of </w:t>
      </w:r>
      <w:r w:rsidR="001C0FAF">
        <w:rPr>
          <w:rFonts w:ascii="Times New Roman" w:hAnsi="Times New Roman" w:cs="Times New Roman"/>
          <w:sz w:val="24"/>
          <w:szCs w:val="24"/>
        </w:rPr>
        <w:t>over</w:t>
      </w:r>
      <w:r w:rsidR="0047253C">
        <w:rPr>
          <w:rFonts w:ascii="Times New Roman" w:hAnsi="Times New Roman" w:cs="Times New Roman"/>
          <w:sz w:val="24"/>
          <w:szCs w:val="24"/>
        </w:rPr>
        <w:t xml:space="preserve">burden was an activity of a capital nature. </w:t>
      </w:r>
      <w:r w:rsidR="001B3D8F">
        <w:rPr>
          <w:rFonts w:ascii="Times New Roman" w:hAnsi="Times New Roman" w:cs="Times New Roman"/>
          <w:sz w:val="24"/>
          <w:szCs w:val="24"/>
        </w:rPr>
        <w:t xml:space="preserve">I equated the removal of overburden to shaft sinking, which is treated in para 1 (1) (a) (ii) of the Fifth Schedule to the Income Tax Act as an activity of a capital nature. I further found, like in the present case, that while amortisation of the expense done by the appellant constituted a practical business and sound accounting principle derived from IFRSs, it amounted to an explicit concession by the appellant that quarry stripping was of a capital nature. </w:t>
      </w:r>
      <w:r w:rsidR="001555ED">
        <w:rPr>
          <w:rFonts w:ascii="Times New Roman" w:hAnsi="Times New Roman" w:cs="Times New Roman"/>
          <w:sz w:val="24"/>
          <w:szCs w:val="24"/>
        </w:rPr>
        <w:t xml:space="preserve"> I hold that in the present case, t</w:t>
      </w:r>
      <w:r w:rsidR="0047253C">
        <w:rPr>
          <w:rFonts w:ascii="Times New Roman" w:hAnsi="Times New Roman" w:cs="Times New Roman"/>
          <w:sz w:val="24"/>
          <w:szCs w:val="24"/>
        </w:rPr>
        <w:t xml:space="preserve">he costs of removing the overburden were expensed in creating </w:t>
      </w:r>
      <w:r w:rsidR="006F45F8">
        <w:rPr>
          <w:rFonts w:ascii="Times New Roman" w:hAnsi="Times New Roman" w:cs="Times New Roman"/>
          <w:sz w:val="24"/>
          <w:szCs w:val="24"/>
        </w:rPr>
        <w:t>the limestone mine or acquiring the limestone, which would become the source</w:t>
      </w:r>
      <w:r w:rsidR="0047253C">
        <w:rPr>
          <w:rFonts w:ascii="Times New Roman" w:hAnsi="Times New Roman" w:cs="Times New Roman"/>
          <w:sz w:val="24"/>
          <w:szCs w:val="24"/>
        </w:rPr>
        <w:t xml:space="preserve"> of profit and</w:t>
      </w:r>
      <w:r w:rsidR="006F45F8">
        <w:rPr>
          <w:rFonts w:ascii="Times New Roman" w:hAnsi="Times New Roman" w:cs="Times New Roman"/>
          <w:sz w:val="24"/>
          <w:szCs w:val="24"/>
        </w:rPr>
        <w:t xml:space="preserve"> not in working the limestone </w:t>
      </w:r>
      <w:r w:rsidR="006F45F8" w:rsidRPr="006F45F8">
        <w:rPr>
          <w:rFonts w:ascii="Times New Roman" w:hAnsi="Times New Roman" w:cs="Times New Roman"/>
          <w:i/>
          <w:sz w:val="24"/>
          <w:szCs w:val="24"/>
        </w:rPr>
        <w:t>qua</w:t>
      </w:r>
      <w:r w:rsidR="0047253C">
        <w:rPr>
          <w:rFonts w:ascii="Times New Roman" w:hAnsi="Times New Roman" w:cs="Times New Roman"/>
          <w:sz w:val="24"/>
          <w:szCs w:val="24"/>
        </w:rPr>
        <w:t xml:space="preserve"> source of profit. </w:t>
      </w:r>
      <w:r w:rsidR="001C0FAF">
        <w:rPr>
          <w:rFonts w:ascii="Times New Roman" w:hAnsi="Times New Roman" w:cs="Times New Roman"/>
          <w:sz w:val="24"/>
          <w:szCs w:val="24"/>
        </w:rPr>
        <w:t xml:space="preserve">This finding accords with </w:t>
      </w:r>
      <w:r w:rsidR="001555ED">
        <w:rPr>
          <w:rFonts w:ascii="Times New Roman" w:hAnsi="Times New Roman" w:cs="Times New Roman"/>
          <w:sz w:val="24"/>
          <w:szCs w:val="24"/>
        </w:rPr>
        <w:t xml:space="preserve">the sentiments of </w:t>
      </w:r>
      <w:r w:rsidR="001555ED" w:rsidRPr="00B92992">
        <w:rPr>
          <w:rFonts w:ascii="Times New Roman" w:hAnsi="Times New Roman" w:cs="Times New Roman"/>
          <w:smallCaps/>
        </w:rPr>
        <w:t>M</w:t>
      </w:r>
      <w:r w:rsidR="00221CC0" w:rsidRPr="00B92992">
        <w:rPr>
          <w:rFonts w:ascii="Times New Roman" w:hAnsi="Times New Roman" w:cs="Times New Roman"/>
          <w:smallCaps/>
        </w:rPr>
        <w:t>elamet</w:t>
      </w:r>
      <w:r w:rsidR="001555ED" w:rsidRPr="00B92992">
        <w:rPr>
          <w:rFonts w:ascii="Times New Roman" w:hAnsi="Times New Roman" w:cs="Times New Roman"/>
        </w:rPr>
        <w:t xml:space="preserve"> J</w:t>
      </w:r>
      <w:r w:rsidR="001555ED">
        <w:rPr>
          <w:rFonts w:ascii="Times New Roman" w:hAnsi="Times New Roman" w:cs="Times New Roman"/>
          <w:sz w:val="24"/>
          <w:szCs w:val="24"/>
        </w:rPr>
        <w:t xml:space="preserve"> i</w:t>
      </w:r>
      <w:r w:rsidR="001E2C93">
        <w:rPr>
          <w:rFonts w:ascii="Times New Roman" w:hAnsi="Times New Roman" w:cs="Times New Roman"/>
          <w:sz w:val="24"/>
          <w:szCs w:val="24"/>
        </w:rPr>
        <w:t>n</w:t>
      </w:r>
      <w:r w:rsidR="0066398C">
        <w:rPr>
          <w:rFonts w:ascii="Times New Roman" w:hAnsi="Times New Roman" w:cs="Times New Roman"/>
          <w:sz w:val="24"/>
          <w:szCs w:val="24"/>
        </w:rPr>
        <w:t xml:space="preserve"> </w:t>
      </w:r>
      <w:r w:rsidR="0047253C" w:rsidRPr="0062608F">
        <w:rPr>
          <w:rFonts w:ascii="Times New Roman" w:hAnsi="Times New Roman" w:cs="Times New Roman"/>
          <w:i/>
          <w:sz w:val="24"/>
          <w:szCs w:val="24"/>
        </w:rPr>
        <w:t>ITC 1594</w:t>
      </w:r>
      <w:r w:rsidR="0047253C">
        <w:rPr>
          <w:rFonts w:ascii="Times New Roman" w:hAnsi="Times New Roman" w:cs="Times New Roman"/>
          <w:sz w:val="24"/>
          <w:szCs w:val="24"/>
        </w:rPr>
        <w:t xml:space="preserve"> (1995) 57 SATC 259 at 267</w:t>
      </w:r>
      <w:r w:rsidR="001555ED">
        <w:rPr>
          <w:rFonts w:ascii="Times New Roman" w:hAnsi="Times New Roman" w:cs="Times New Roman"/>
          <w:sz w:val="24"/>
          <w:szCs w:val="24"/>
        </w:rPr>
        <w:t xml:space="preserve"> that:</w:t>
      </w:r>
    </w:p>
    <w:p w:rsidR="0047253C" w:rsidRPr="00221CC0" w:rsidRDefault="0047253C" w:rsidP="00BB7F91">
      <w:pPr>
        <w:ind w:left="720"/>
        <w:jc w:val="both"/>
        <w:rPr>
          <w:rFonts w:ascii="Times New Roman" w:hAnsi="Times New Roman" w:cs="Times New Roman"/>
        </w:rPr>
      </w:pPr>
      <w:r>
        <w:rPr>
          <w:rFonts w:ascii="Times New Roman" w:hAnsi="Times New Roman" w:cs="Times New Roman"/>
          <w:sz w:val="24"/>
          <w:szCs w:val="24"/>
        </w:rPr>
        <w:t>“</w:t>
      </w:r>
      <w:r w:rsidR="002863EA" w:rsidRPr="00221CC0">
        <w:rPr>
          <w:rFonts w:ascii="Times New Roman" w:hAnsi="Times New Roman" w:cs="Times New Roman"/>
        </w:rPr>
        <w:t xml:space="preserve">The Act does not contain a definition of what is expenditure of a capital nature and in the nature of things it is not possible to lay down a precise definition that will be of universal application. It is a matter which can only be decided on the facts of each particular case. The question has been considered in various cases and there are a variety of tests whether or not a particular receipt or expenditure is of a revenue nature or a capital nature. These are mere guidelines and there is no single infallible test of invariable application. </w:t>
      </w:r>
      <w:r w:rsidR="00BB7F91" w:rsidRPr="00221CC0">
        <w:rPr>
          <w:rFonts w:ascii="Times New Roman" w:hAnsi="Times New Roman" w:cs="Times New Roman"/>
        </w:rPr>
        <w:t>Whatever</w:t>
      </w:r>
      <w:r w:rsidR="002863EA" w:rsidRPr="00221CC0">
        <w:rPr>
          <w:rFonts w:ascii="Times New Roman" w:hAnsi="Times New Roman" w:cs="Times New Roman"/>
        </w:rPr>
        <w:t xml:space="preserve"> guideline is chosen it should not result in a classification contrary to sound commercial and good sense. A guideline which has been </w:t>
      </w:r>
      <w:r w:rsidR="00BB7F91" w:rsidRPr="00221CC0">
        <w:rPr>
          <w:rFonts w:ascii="Times New Roman" w:hAnsi="Times New Roman" w:cs="Times New Roman"/>
        </w:rPr>
        <w:t xml:space="preserve">applied </w:t>
      </w:r>
      <w:r w:rsidR="001555ED" w:rsidRPr="00221CC0">
        <w:rPr>
          <w:rFonts w:ascii="Times New Roman" w:hAnsi="Times New Roman" w:cs="Times New Roman"/>
        </w:rPr>
        <w:t>consistently</w:t>
      </w:r>
      <w:r w:rsidR="00BB7F91" w:rsidRPr="00221CC0">
        <w:rPr>
          <w:rFonts w:ascii="Times New Roman" w:hAnsi="Times New Roman" w:cs="Times New Roman"/>
        </w:rPr>
        <w:t xml:space="preserve"> in relation to the categorisation of expenditure is summarised as follows:</w:t>
      </w:r>
    </w:p>
    <w:p w:rsidR="00BB7F91" w:rsidRPr="00221CC0" w:rsidRDefault="00BB7F91" w:rsidP="001555ED">
      <w:pPr>
        <w:ind w:left="1440"/>
        <w:jc w:val="both"/>
        <w:rPr>
          <w:rFonts w:ascii="Times New Roman" w:hAnsi="Times New Roman" w:cs="Times New Roman"/>
        </w:rPr>
      </w:pPr>
      <w:r w:rsidRPr="00221CC0">
        <w:rPr>
          <w:rFonts w:ascii="Times New Roman" w:hAnsi="Times New Roman" w:cs="Times New Roman"/>
        </w:rPr>
        <w:t>“</w:t>
      </w:r>
      <w:r w:rsidR="001555ED" w:rsidRPr="00221CC0">
        <w:rPr>
          <w:rFonts w:ascii="Times New Roman" w:hAnsi="Times New Roman" w:cs="Times New Roman"/>
        </w:rPr>
        <w:t>There</w:t>
      </w:r>
      <w:r w:rsidRPr="00221CC0">
        <w:rPr>
          <w:rFonts w:ascii="Times New Roman" w:hAnsi="Times New Roman" w:cs="Times New Roman"/>
        </w:rPr>
        <w:t xml:space="preserve"> is a great difference between money spent in creating or acquiring a source of profit and money spent working it. The one is capita</w:t>
      </w:r>
      <w:r w:rsidR="001555ED" w:rsidRPr="00221CC0">
        <w:rPr>
          <w:rFonts w:ascii="Times New Roman" w:hAnsi="Times New Roman" w:cs="Times New Roman"/>
        </w:rPr>
        <w:t xml:space="preserve">l expenditure the other is not.” </w:t>
      </w:r>
    </w:p>
    <w:p w:rsidR="009A0675" w:rsidRPr="009A0675" w:rsidRDefault="009A0675" w:rsidP="00221CC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case of </w:t>
      </w:r>
      <w:r w:rsidRPr="009A0675">
        <w:rPr>
          <w:rFonts w:ascii="Times New Roman" w:hAnsi="Times New Roman" w:cs="Times New Roman"/>
          <w:i/>
          <w:sz w:val="24"/>
          <w:szCs w:val="24"/>
        </w:rPr>
        <w:t xml:space="preserve">Blue Circle Cement Ltd </w:t>
      </w:r>
      <w:r w:rsidRPr="00221CC0">
        <w:rPr>
          <w:rFonts w:ascii="Times New Roman" w:hAnsi="Times New Roman" w:cs="Times New Roman"/>
          <w:sz w:val="24"/>
          <w:szCs w:val="24"/>
        </w:rPr>
        <w:t>v</w:t>
      </w:r>
      <w:r w:rsidRPr="009A0675">
        <w:rPr>
          <w:rFonts w:ascii="Times New Roman" w:hAnsi="Times New Roman" w:cs="Times New Roman"/>
          <w:i/>
          <w:sz w:val="24"/>
          <w:szCs w:val="24"/>
        </w:rPr>
        <w:t xml:space="preserve"> Commissioner for Inland Revenue </w:t>
      </w:r>
      <w:r>
        <w:rPr>
          <w:rFonts w:ascii="Times New Roman" w:hAnsi="Times New Roman" w:cs="Times New Roman"/>
          <w:sz w:val="24"/>
          <w:szCs w:val="24"/>
        </w:rPr>
        <w:t xml:space="preserve">1984 (2) SA 764 (A), cited by Mr </w:t>
      </w:r>
      <w:r w:rsidRPr="007E25E5">
        <w:rPr>
          <w:rFonts w:ascii="Times New Roman" w:hAnsi="Times New Roman" w:cs="Times New Roman"/>
          <w:i/>
          <w:sz w:val="24"/>
          <w:szCs w:val="24"/>
        </w:rPr>
        <w:t>de Bourbon</w:t>
      </w:r>
      <w:r>
        <w:rPr>
          <w:rFonts w:ascii="Times New Roman" w:hAnsi="Times New Roman" w:cs="Times New Roman"/>
          <w:sz w:val="24"/>
          <w:szCs w:val="24"/>
        </w:rPr>
        <w:t xml:space="preserve"> in a bid to persuade me to treat the removal of overburden as expenditure of a revenue nature</w:t>
      </w:r>
      <w:r w:rsidR="007E25E5">
        <w:rPr>
          <w:rFonts w:ascii="Times New Roman" w:hAnsi="Times New Roman" w:cs="Times New Roman"/>
          <w:sz w:val="24"/>
          <w:szCs w:val="24"/>
        </w:rPr>
        <w:t>, i</w:t>
      </w:r>
      <w:r>
        <w:rPr>
          <w:rFonts w:ascii="Times New Roman" w:hAnsi="Times New Roman" w:cs="Times New Roman"/>
          <w:sz w:val="24"/>
          <w:szCs w:val="24"/>
        </w:rPr>
        <w:t xml:space="preserve">s distinguishable to the present case on both the facts and the issue under consideration. That case concerned the construction of a </w:t>
      </w:r>
      <w:r w:rsidR="00897F4E">
        <w:rPr>
          <w:rFonts w:ascii="Times New Roman" w:hAnsi="Times New Roman" w:cs="Times New Roman"/>
          <w:sz w:val="24"/>
          <w:szCs w:val="24"/>
        </w:rPr>
        <w:t xml:space="preserve">41km </w:t>
      </w:r>
      <w:r>
        <w:rPr>
          <w:rFonts w:ascii="Times New Roman" w:hAnsi="Times New Roman" w:cs="Times New Roman"/>
          <w:sz w:val="24"/>
          <w:szCs w:val="24"/>
        </w:rPr>
        <w:t xml:space="preserve">railway line to carry crushed limestone from the mine to the manufacturing plant and not the removal of overburden. The issue was whether </w:t>
      </w:r>
      <w:r w:rsidR="000A4801">
        <w:rPr>
          <w:rFonts w:ascii="Times New Roman" w:hAnsi="Times New Roman" w:cs="Times New Roman"/>
          <w:sz w:val="24"/>
          <w:szCs w:val="24"/>
        </w:rPr>
        <w:t xml:space="preserve">the appellant was entitled to a machinery initial allowance in terms of s </w:t>
      </w:r>
      <w:r w:rsidR="000A4801">
        <w:rPr>
          <w:rFonts w:ascii="Times New Roman" w:hAnsi="Times New Roman" w:cs="Times New Roman"/>
          <w:sz w:val="24"/>
          <w:szCs w:val="24"/>
        </w:rPr>
        <w:lastRenderedPageBreak/>
        <w:t>12 (1) and a machinery investment allowance in terms of s 12 (2) of the</w:t>
      </w:r>
      <w:r w:rsidR="000D6E25">
        <w:rPr>
          <w:rFonts w:ascii="Times New Roman" w:hAnsi="Times New Roman" w:cs="Times New Roman"/>
          <w:sz w:val="24"/>
          <w:szCs w:val="24"/>
        </w:rPr>
        <w:t xml:space="preserve"> South African Income Tax Act No.</w:t>
      </w:r>
      <w:r w:rsidR="000A4801">
        <w:rPr>
          <w:rFonts w:ascii="Times New Roman" w:hAnsi="Times New Roman" w:cs="Times New Roman"/>
          <w:sz w:val="24"/>
          <w:szCs w:val="24"/>
        </w:rPr>
        <w:t xml:space="preserve"> 58 of 1962 for the</w:t>
      </w:r>
      <w:r>
        <w:rPr>
          <w:rFonts w:ascii="Times New Roman" w:hAnsi="Times New Roman" w:cs="Times New Roman"/>
          <w:sz w:val="24"/>
          <w:szCs w:val="24"/>
        </w:rPr>
        <w:t xml:space="preserve"> construction </w:t>
      </w:r>
      <w:r w:rsidR="00570CD0">
        <w:rPr>
          <w:rFonts w:ascii="Times New Roman" w:hAnsi="Times New Roman" w:cs="Times New Roman"/>
          <w:sz w:val="24"/>
          <w:szCs w:val="24"/>
        </w:rPr>
        <w:t>of that</w:t>
      </w:r>
      <w:r w:rsidR="000A4801">
        <w:rPr>
          <w:rFonts w:ascii="Times New Roman" w:hAnsi="Times New Roman" w:cs="Times New Roman"/>
          <w:sz w:val="24"/>
          <w:szCs w:val="24"/>
        </w:rPr>
        <w:t xml:space="preserve"> railway line</w:t>
      </w:r>
      <w:r w:rsidR="00570CD0">
        <w:rPr>
          <w:rFonts w:ascii="Times New Roman" w:hAnsi="Times New Roman" w:cs="Times New Roman"/>
          <w:sz w:val="24"/>
          <w:szCs w:val="24"/>
        </w:rPr>
        <w:t>.</w:t>
      </w:r>
      <w:r w:rsidR="000A4801">
        <w:rPr>
          <w:rFonts w:ascii="Times New Roman" w:hAnsi="Times New Roman" w:cs="Times New Roman"/>
          <w:sz w:val="24"/>
          <w:szCs w:val="24"/>
        </w:rPr>
        <w:t xml:space="preserve"> The answer was dependent on whether such a construction and use</w:t>
      </w:r>
      <w:r w:rsidR="0035396D">
        <w:rPr>
          <w:rFonts w:ascii="Times New Roman" w:hAnsi="Times New Roman" w:cs="Times New Roman"/>
          <w:sz w:val="24"/>
          <w:szCs w:val="24"/>
        </w:rPr>
        <w:t xml:space="preserve"> of the rail</w:t>
      </w:r>
      <w:r w:rsidR="00864186">
        <w:rPr>
          <w:rFonts w:ascii="Times New Roman" w:hAnsi="Times New Roman" w:cs="Times New Roman"/>
          <w:sz w:val="24"/>
          <w:szCs w:val="24"/>
        </w:rPr>
        <w:t>way</w:t>
      </w:r>
      <w:r w:rsidR="0035396D">
        <w:rPr>
          <w:rFonts w:ascii="Times New Roman" w:hAnsi="Times New Roman" w:cs="Times New Roman"/>
          <w:sz w:val="24"/>
          <w:szCs w:val="24"/>
        </w:rPr>
        <w:t xml:space="preserve"> line</w:t>
      </w:r>
      <w:r w:rsidR="000A4801">
        <w:rPr>
          <w:rFonts w:ascii="Times New Roman" w:hAnsi="Times New Roman" w:cs="Times New Roman"/>
          <w:sz w:val="24"/>
          <w:szCs w:val="24"/>
        </w:rPr>
        <w:t xml:space="preserve"> fell within the ambit of a plant, as defined</w:t>
      </w:r>
      <w:r w:rsidR="00BD05B8">
        <w:rPr>
          <w:rFonts w:ascii="Times New Roman" w:hAnsi="Times New Roman" w:cs="Times New Roman"/>
          <w:sz w:val="24"/>
          <w:szCs w:val="24"/>
        </w:rPr>
        <w:t>, in circumstances where the Commissioner conceded that the process of manufacturing commenced at the quarry</w:t>
      </w:r>
      <w:r w:rsidR="00C54CCC">
        <w:rPr>
          <w:rFonts w:ascii="Times New Roman" w:hAnsi="Times New Roman" w:cs="Times New Roman"/>
          <w:sz w:val="24"/>
          <w:szCs w:val="24"/>
        </w:rPr>
        <w:t xml:space="preserve">, at a stage prior to loading the crushed limestone onto the railway </w:t>
      </w:r>
      <w:r w:rsidR="00AE0761">
        <w:rPr>
          <w:rFonts w:ascii="Times New Roman" w:hAnsi="Times New Roman" w:cs="Times New Roman"/>
          <w:sz w:val="24"/>
          <w:szCs w:val="24"/>
        </w:rPr>
        <w:t>wagons</w:t>
      </w:r>
      <w:r w:rsidR="00BD05B8">
        <w:rPr>
          <w:rFonts w:ascii="Times New Roman" w:hAnsi="Times New Roman" w:cs="Times New Roman"/>
          <w:sz w:val="24"/>
          <w:szCs w:val="24"/>
        </w:rPr>
        <w:t>.</w:t>
      </w:r>
      <w:r w:rsidR="00C47140">
        <w:rPr>
          <w:rFonts w:ascii="Times New Roman" w:hAnsi="Times New Roman" w:cs="Times New Roman"/>
          <w:sz w:val="24"/>
          <w:szCs w:val="24"/>
        </w:rPr>
        <w:t xml:space="preserve"> In any event, </w:t>
      </w:r>
      <w:r w:rsidR="00C47140" w:rsidRPr="0024624A">
        <w:rPr>
          <w:rFonts w:ascii="Times New Roman" w:hAnsi="Times New Roman" w:cs="Times New Roman"/>
          <w:smallCaps/>
        </w:rPr>
        <w:t>C</w:t>
      </w:r>
      <w:r w:rsidR="00221CC0" w:rsidRPr="0024624A">
        <w:rPr>
          <w:rFonts w:ascii="Times New Roman" w:hAnsi="Times New Roman" w:cs="Times New Roman"/>
          <w:smallCaps/>
        </w:rPr>
        <w:t>orbett</w:t>
      </w:r>
      <w:r w:rsidR="00C47140" w:rsidRPr="0024624A">
        <w:rPr>
          <w:rFonts w:ascii="Times New Roman" w:hAnsi="Times New Roman" w:cs="Times New Roman"/>
        </w:rPr>
        <w:t xml:space="preserve"> JA</w:t>
      </w:r>
      <w:r w:rsidR="00C47140">
        <w:rPr>
          <w:rFonts w:ascii="Times New Roman" w:hAnsi="Times New Roman" w:cs="Times New Roman"/>
          <w:sz w:val="24"/>
          <w:szCs w:val="24"/>
        </w:rPr>
        <w:t xml:space="preserve"> recognised by reference to the English cases that the claimed allowances were capital allowances.</w:t>
      </w:r>
    </w:p>
    <w:p w:rsidR="005A379B" w:rsidRPr="004F12E7" w:rsidRDefault="00890F10" w:rsidP="004F12E7">
      <w:pPr>
        <w:jc w:val="both"/>
        <w:rPr>
          <w:rFonts w:ascii="Times New Roman" w:hAnsi="Times New Roman" w:cs="Times New Roman"/>
          <w:i/>
          <w:sz w:val="24"/>
          <w:szCs w:val="24"/>
        </w:rPr>
      </w:pPr>
      <w:r w:rsidRPr="004F12E7">
        <w:rPr>
          <w:rFonts w:ascii="Times New Roman" w:hAnsi="Times New Roman" w:cs="Times New Roman"/>
          <w:i/>
          <w:sz w:val="24"/>
          <w:szCs w:val="24"/>
        </w:rPr>
        <w:t>Was such an expense in any event incurred in respect of mini</w:t>
      </w:r>
      <w:r w:rsidR="0047253C" w:rsidRPr="004F12E7">
        <w:rPr>
          <w:rFonts w:ascii="Times New Roman" w:hAnsi="Times New Roman" w:cs="Times New Roman"/>
          <w:i/>
          <w:sz w:val="24"/>
          <w:szCs w:val="24"/>
        </w:rPr>
        <w:t xml:space="preserve">ng operations and </w:t>
      </w:r>
      <w:r w:rsidRPr="004F12E7">
        <w:rPr>
          <w:rFonts w:ascii="Times New Roman" w:hAnsi="Times New Roman" w:cs="Times New Roman"/>
          <w:i/>
          <w:sz w:val="24"/>
          <w:szCs w:val="24"/>
        </w:rPr>
        <w:t>thus deductible in terms of the Fifth Schedule to the Income Tax Act?</w:t>
      </w:r>
    </w:p>
    <w:p w:rsidR="00356D79" w:rsidRDefault="005A379B" w:rsidP="00A464B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appellant made the alternative contention that the cost </w:t>
      </w:r>
      <w:r w:rsidR="001D56C6">
        <w:rPr>
          <w:rFonts w:ascii="Times New Roman" w:hAnsi="Times New Roman" w:cs="Times New Roman"/>
          <w:sz w:val="24"/>
          <w:szCs w:val="24"/>
        </w:rPr>
        <w:t xml:space="preserve">of removing the overburden was </w:t>
      </w:r>
      <w:r w:rsidR="000606BC">
        <w:rPr>
          <w:rFonts w:ascii="Times New Roman" w:hAnsi="Times New Roman" w:cs="Times New Roman"/>
          <w:sz w:val="24"/>
          <w:szCs w:val="24"/>
        </w:rPr>
        <w:t>an allowable</w:t>
      </w:r>
      <w:r w:rsidR="001D56C6">
        <w:rPr>
          <w:rFonts w:ascii="Times New Roman" w:hAnsi="Times New Roman" w:cs="Times New Roman"/>
          <w:sz w:val="24"/>
          <w:szCs w:val="24"/>
        </w:rPr>
        <w:t xml:space="preserve"> </w:t>
      </w:r>
      <w:r>
        <w:rPr>
          <w:rFonts w:ascii="Times New Roman" w:hAnsi="Times New Roman" w:cs="Times New Roman"/>
          <w:sz w:val="24"/>
          <w:szCs w:val="24"/>
        </w:rPr>
        <w:t>deduction</w:t>
      </w:r>
      <w:r w:rsidR="001D56C6">
        <w:rPr>
          <w:rFonts w:ascii="Times New Roman" w:hAnsi="Times New Roman" w:cs="Times New Roman"/>
          <w:sz w:val="24"/>
          <w:szCs w:val="24"/>
        </w:rPr>
        <w:t xml:space="preserve"> in terms of s 15 (2) (f) (ii) of the Income Tax Act.</w:t>
      </w:r>
      <w:r>
        <w:rPr>
          <w:rFonts w:ascii="Times New Roman" w:hAnsi="Times New Roman" w:cs="Times New Roman"/>
          <w:sz w:val="24"/>
          <w:szCs w:val="24"/>
        </w:rPr>
        <w:t xml:space="preserve"> </w:t>
      </w:r>
      <w:r w:rsidR="00851FEA">
        <w:rPr>
          <w:rFonts w:ascii="Times New Roman" w:hAnsi="Times New Roman" w:cs="Times New Roman"/>
          <w:sz w:val="24"/>
          <w:szCs w:val="24"/>
        </w:rPr>
        <w:t>The respondent contended that the deduction of quarry overburden costs were precluded by the provisions of s 15 (2) (f) (i), as the appellant did not derive income from mining activities but from the proceeds from the sale of cement.</w:t>
      </w:r>
      <w:r w:rsidR="001D2728">
        <w:rPr>
          <w:rFonts w:ascii="Times New Roman" w:hAnsi="Times New Roman" w:cs="Times New Roman"/>
          <w:sz w:val="24"/>
          <w:szCs w:val="24"/>
        </w:rPr>
        <w:t xml:space="preserve"> </w:t>
      </w:r>
    </w:p>
    <w:p w:rsidR="00EE69D4" w:rsidRDefault="00CE2A65" w:rsidP="00A464B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his oral submissions, Mr </w:t>
      </w:r>
      <w:r w:rsidRPr="003B537D">
        <w:rPr>
          <w:rFonts w:ascii="Times New Roman" w:hAnsi="Times New Roman" w:cs="Times New Roman"/>
          <w:i/>
          <w:sz w:val="24"/>
          <w:szCs w:val="24"/>
        </w:rPr>
        <w:t>de Bourbon</w:t>
      </w:r>
      <w:r>
        <w:rPr>
          <w:rFonts w:ascii="Times New Roman" w:hAnsi="Times New Roman" w:cs="Times New Roman"/>
          <w:sz w:val="24"/>
          <w:szCs w:val="24"/>
        </w:rPr>
        <w:t xml:space="preserve"> correctly conceded that the appellant did not derive any income from mining activities not</w:t>
      </w:r>
      <w:r w:rsidR="00F6275E">
        <w:rPr>
          <w:rFonts w:ascii="Times New Roman" w:hAnsi="Times New Roman" w:cs="Times New Roman"/>
          <w:sz w:val="24"/>
          <w:szCs w:val="24"/>
        </w:rPr>
        <w:t>withstanding the averment in</w:t>
      </w:r>
      <w:r>
        <w:rPr>
          <w:rFonts w:ascii="Times New Roman" w:hAnsi="Times New Roman" w:cs="Times New Roman"/>
          <w:sz w:val="24"/>
          <w:szCs w:val="24"/>
        </w:rPr>
        <w:t xml:space="preserve"> para 26 of his written submissions, that “a small quantity of the overburden was sold as aggregates and the income from those sales included in the declared income of the appellant</w:t>
      </w:r>
      <w:r w:rsidR="009D1DEE">
        <w:rPr>
          <w:rFonts w:ascii="Times New Roman" w:hAnsi="Times New Roman" w:cs="Times New Roman"/>
          <w:sz w:val="24"/>
          <w:szCs w:val="24"/>
        </w:rPr>
        <w:t>”</w:t>
      </w:r>
      <w:r>
        <w:rPr>
          <w:rFonts w:ascii="Times New Roman" w:hAnsi="Times New Roman" w:cs="Times New Roman"/>
          <w:sz w:val="24"/>
          <w:szCs w:val="24"/>
        </w:rPr>
        <w:t>. It is correct that aggregates</w:t>
      </w:r>
      <w:r w:rsidR="00370190">
        <w:rPr>
          <w:rFonts w:ascii="Times New Roman" w:hAnsi="Times New Roman" w:cs="Times New Roman"/>
          <w:sz w:val="24"/>
          <w:szCs w:val="24"/>
        </w:rPr>
        <w:t xml:space="preserve">, consisting of ¾ </w:t>
      </w:r>
      <w:r w:rsidR="00406E7C">
        <w:rPr>
          <w:rFonts w:ascii="Times New Roman" w:hAnsi="Times New Roman" w:cs="Times New Roman"/>
          <w:sz w:val="24"/>
          <w:szCs w:val="24"/>
        </w:rPr>
        <w:t>stones, 6mm stones, crusher run</w:t>
      </w:r>
      <w:r w:rsidR="00370190">
        <w:rPr>
          <w:rFonts w:ascii="Times New Roman" w:hAnsi="Times New Roman" w:cs="Times New Roman"/>
          <w:sz w:val="24"/>
          <w:szCs w:val="24"/>
        </w:rPr>
        <w:t xml:space="preserve"> and washed sand,</w:t>
      </w:r>
      <w:r w:rsidR="00370190" w:rsidRPr="00370190">
        <w:rPr>
          <w:rFonts w:ascii="Times New Roman" w:hAnsi="Times New Roman" w:cs="Times New Roman"/>
          <w:b/>
          <w:sz w:val="24"/>
          <w:szCs w:val="24"/>
        </w:rPr>
        <w:t xml:space="preserve"> </w:t>
      </w:r>
      <w:r>
        <w:rPr>
          <w:rFonts w:ascii="Times New Roman" w:hAnsi="Times New Roman" w:cs="Times New Roman"/>
          <w:sz w:val="24"/>
          <w:szCs w:val="24"/>
        </w:rPr>
        <w:t xml:space="preserve">were sold and included in the income declared by the appellant </w:t>
      </w:r>
      <w:r w:rsidR="00370190">
        <w:rPr>
          <w:rFonts w:ascii="Times New Roman" w:hAnsi="Times New Roman" w:cs="Times New Roman"/>
          <w:sz w:val="24"/>
          <w:szCs w:val="24"/>
        </w:rPr>
        <w:t xml:space="preserve">in its </w:t>
      </w:r>
      <w:r w:rsidR="005E226C">
        <w:rPr>
          <w:rFonts w:ascii="Times New Roman" w:hAnsi="Times New Roman" w:cs="Times New Roman"/>
          <w:sz w:val="24"/>
          <w:szCs w:val="24"/>
        </w:rPr>
        <w:t xml:space="preserve">initial tax computations </w:t>
      </w:r>
      <w:r>
        <w:rPr>
          <w:rFonts w:ascii="Times New Roman" w:hAnsi="Times New Roman" w:cs="Times New Roman"/>
          <w:sz w:val="24"/>
          <w:szCs w:val="24"/>
        </w:rPr>
        <w:t>in each of the tax years under consideration</w:t>
      </w:r>
      <w:r w:rsidR="005E226C">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00406E7C">
        <w:rPr>
          <w:rFonts w:ascii="Times New Roman" w:hAnsi="Times New Roman" w:cs="Times New Roman"/>
          <w:sz w:val="24"/>
          <w:szCs w:val="24"/>
        </w:rPr>
        <w:t>This ground was not raised in the objection and could not properly be raised for the first time in the notice of appeal without the consent of the respondent or l</w:t>
      </w:r>
      <w:r w:rsidR="00BC1337">
        <w:rPr>
          <w:rFonts w:ascii="Times New Roman" w:hAnsi="Times New Roman" w:cs="Times New Roman"/>
          <w:sz w:val="24"/>
          <w:szCs w:val="24"/>
        </w:rPr>
        <w:t>eave of the Court, both of which were never sought by the appellant.</w:t>
      </w:r>
      <w:r w:rsidR="003B537D">
        <w:rPr>
          <w:rFonts w:ascii="Times New Roman" w:hAnsi="Times New Roman" w:cs="Times New Roman"/>
          <w:sz w:val="24"/>
          <w:szCs w:val="24"/>
        </w:rPr>
        <w:t xml:space="preserve"> I agree that the appellant could not claim the deductions under s 15 (2) (f) (i) of the Income Tax Act.</w:t>
      </w:r>
    </w:p>
    <w:p w:rsidR="00EE69D4" w:rsidRDefault="00EE69D4" w:rsidP="00E33591">
      <w:pPr>
        <w:ind w:firstLine="720"/>
        <w:jc w:val="both"/>
        <w:rPr>
          <w:rFonts w:ascii="Times New Roman" w:hAnsi="Times New Roman" w:cs="Times New Roman"/>
          <w:sz w:val="24"/>
          <w:szCs w:val="24"/>
        </w:rPr>
      </w:pPr>
      <w:r>
        <w:rPr>
          <w:rFonts w:ascii="Times New Roman" w:hAnsi="Times New Roman" w:cs="Times New Roman"/>
          <w:sz w:val="24"/>
          <w:szCs w:val="24"/>
        </w:rPr>
        <w:t>Section 15 (2) (f) (ii) states:</w:t>
      </w:r>
    </w:p>
    <w:p w:rsidR="0059500E" w:rsidRPr="00A464BC" w:rsidRDefault="005326EC" w:rsidP="005326EC">
      <w:pPr>
        <w:ind w:firstLine="720"/>
        <w:jc w:val="both"/>
        <w:rPr>
          <w:rFonts w:ascii="Times New Roman" w:hAnsi="Times New Roman" w:cs="Times New Roman"/>
          <w:b/>
        </w:rPr>
      </w:pPr>
      <w:r w:rsidRPr="00A464BC">
        <w:rPr>
          <w:rFonts w:ascii="Times New Roman" w:hAnsi="Times New Roman" w:cs="Times New Roman"/>
        </w:rPr>
        <w:t>“</w:t>
      </w:r>
      <w:r w:rsidR="00E20B3E" w:rsidRPr="00A464BC">
        <w:rPr>
          <w:rFonts w:ascii="Times New Roman" w:hAnsi="Times New Roman" w:cs="Times New Roman"/>
        </w:rPr>
        <w:t>(2)</w:t>
      </w:r>
      <w:r w:rsidRPr="00A464BC">
        <w:rPr>
          <w:rFonts w:ascii="Times New Roman" w:hAnsi="Times New Roman" w:cs="Times New Roman"/>
        </w:rPr>
        <w:t xml:space="preserve"> (f)</w:t>
      </w:r>
      <w:r w:rsidR="00E20B3E" w:rsidRPr="00A464BC">
        <w:rPr>
          <w:rFonts w:ascii="Times New Roman" w:hAnsi="Times New Roman" w:cs="Times New Roman"/>
        </w:rPr>
        <w:t xml:space="preserve"> The deductions allowed shall be—</w:t>
      </w:r>
    </w:p>
    <w:p w:rsidR="00367A9D" w:rsidRPr="00E25006" w:rsidRDefault="00367A9D" w:rsidP="00E25006">
      <w:pPr>
        <w:autoSpaceDE w:val="0"/>
        <w:autoSpaceDN w:val="0"/>
        <w:adjustRightInd w:val="0"/>
        <w:spacing w:after="0" w:line="240" w:lineRule="auto"/>
        <w:ind w:left="2160" w:hanging="720"/>
        <w:jc w:val="both"/>
        <w:rPr>
          <w:rFonts w:ascii="Times New Roman" w:hAnsi="Times New Roman" w:cs="Times New Roman"/>
        </w:rPr>
      </w:pPr>
      <w:r w:rsidRPr="00A464BC">
        <w:rPr>
          <w:rFonts w:ascii="Times New Roman" w:hAnsi="Times New Roman" w:cs="Times New Roman"/>
        </w:rPr>
        <w:t xml:space="preserve">(ii) </w:t>
      </w:r>
      <w:r w:rsidR="005326EC" w:rsidRPr="00A464BC">
        <w:rPr>
          <w:rFonts w:ascii="Times New Roman" w:hAnsi="Times New Roman" w:cs="Times New Roman"/>
        </w:rPr>
        <w:tab/>
      </w:r>
      <w:r w:rsidRPr="00A464BC">
        <w:rPr>
          <w:rFonts w:ascii="Times New Roman" w:hAnsi="Times New Roman" w:cs="Times New Roman"/>
          <w:u w:val="single"/>
        </w:rPr>
        <w:t>where the taxpayer is a miner, any expenditure</w:t>
      </w:r>
      <w:r w:rsidRPr="00A464BC">
        <w:rPr>
          <w:rFonts w:ascii="Times New Roman" w:hAnsi="Times New Roman" w:cs="Times New Roman"/>
        </w:rPr>
        <w:t xml:space="preserve"> (other than expenditure in respect of which a deduction</w:t>
      </w:r>
      <w:r w:rsidR="005326EC" w:rsidRPr="00A464BC">
        <w:rPr>
          <w:rFonts w:ascii="Times New Roman" w:hAnsi="Times New Roman" w:cs="Times New Roman"/>
        </w:rPr>
        <w:t xml:space="preserve"> </w:t>
      </w:r>
      <w:r w:rsidRPr="00A464BC">
        <w:rPr>
          <w:rFonts w:ascii="Times New Roman" w:hAnsi="Times New Roman" w:cs="Times New Roman"/>
        </w:rPr>
        <w:t>is allowable in terms of paragraph (</w:t>
      </w:r>
      <w:r w:rsidRPr="00A464BC">
        <w:rPr>
          <w:rFonts w:ascii="Times New Roman" w:hAnsi="Times New Roman" w:cs="Times New Roman"/>
          <w:i/>
          <w:iCs/>
        </w:rPr>
        <w:t>a</w:t>
      </w:r>
      <w:r w:rsidRPr="00A464BC">
        <w:rPr>
          <w:rFonts w:ascii="Times New Roman" w:hAnsi="Times New Roman" w:cs="Times New Roman"/>
        </w:rPr>
        <w:t xml:space="preserve">)), </w:t>
      </w:r>
      <w:r w:rsidRPr="00A464BC">
        <w:rPr>
          <w:rFonts w:ascii="Times New Roman" w:hAnsi="Times New Roman" w:cs="Times New Roman"/>
          <w:u w:val="single"/>
        </w:rPr>
        <w:t>which is proved to the satisfaction of the Commissioner</w:t>
      </w:r>
      <w:r w:rsidR="005326EC" w:rsidRPr="00A464BC">
        <w:rPr>
          <w:rFonts w:ascii="Times New Roman" w:hAnsi="Times New Roman" w:cs="Times New Roman"/>
        </w:rPr>
        <w:t xml:space="preserve"> </w:t>
      </w:r>
      <w:r w:rsidRPr="00A464BC">
        <w:rPr>
          <w:rFonts w:ascii="Times New Roman" w:hAnsi="Times New Roman" w:cs="Times New Roman"/>
          <w:u w:val="single"/>
        </w:rPr>
        <w:t>to have been incurred during the year of assessment by the taxpayer on surveys, boreholes,</w:t>
      </w:r>
      <w:r w:rsidR="005326EC" w:rsidRPr="00A464BC">
        <w:rPr>
          <w:rFonts w:ascii="Times New Roman" w:hAnsi="Times New Roman" w:cs="Times New Roman"/>
        </w:rPr>
        <w:t xml:space="preserve"> </w:t>
      </w:r>
      <w:r w:rsidRPr="00A464BC">
        <w:rPr>
          <w:rFonts w:ascii="Times New Roman" w:hAnsi="Times New Roman" w:cs="Times New Roman"/>
          <w:u w:val="single"/>
        </w:rPr>
        <w:t>trenches, pits and other prospecting and exploratory works undertaken for the purpose of acquiring</w:t>
      </w:r>
      <w:r w:rsidR="005326EC" w:rsidRPr="00A464BC">
        <w:rPr>
          <w:rFonts w:ascii="Times New Roman" w:hAnsi="Times New Roman" w:cs="Times New Roman"/>
        </w:rPr>
        <w:t xml:space="preserve"> </w:t>
      </w:r>
      <w:r w:rsidRPr="00A464BC">
        <w:rPr>
          <w:rFonts w:ascii="Times New Roman" w:hAnsi="Times New Roman" w:cs="Times New Roman"/>
          <w:u w:val="single"/>
        </w:rPr>
        <w:t xml:space="preserve">rights to mine minerals in Zimbabwe </w:t>
      </w:r>
      <w:r w:rsidRPr="00A464BC">
        <w:rPr>
          <w:rFonts w:ascii="Times New Roman" w:hAnsi="Times New Roman" w:cs="Times New Roman"/>
        </w:rPr>
        <w:t xml:space="preserve">or </w:t>
      </w:r>
      <w:r w:rsidRPr="00A464BC">
        <w:rPr>
          <w:rFonts w:ascii="Times New Roman" w:hAnsi="Times New Roman" w:cs="Times New Roman"/>
          <w:u w:val="single"/>
        </w:rPr>
        <w:t>incurred on a mining location in Zimbabwe, together with</w:t>
      </w:r>
      <w:r w:rsidR="005326EC" w:rsidRPr="00A464BC">
        <w:rPr>
          <w:rFonts w:ascii="Times New Roman" w:hAnsi="Times New Roman" w:cs="Times New Roman"/>
        </w:rPr>
        <w:t xml:space="preserve"> </w:t>
      </w:r>
      <w:r w:rsidRPr="00A464BC">
        <w:rPr>
          <w:rFonts w:ascii="Times New Roman" w:hAnsi="Times New Roman" w:cs="Times New Roman"/>
          <w:u w:val="single"/>
        </w:rPr>
        <w:t xml:space="preserve">any other expenditure </w:t>
      </w:r>
      <w:r w:rsidRPr="00A464BC">
        <w:rPr>
          <w:rFonts w:ascii="Times New Roman" w:hAnsi="Times New Roman" w:cs="Times New Roman"/>
        </w:rPr>
        <w:t>(other than expenditure referred to in paragraph (</w:t>
      </w:r>
      <w:r w:rsidRPr="00A464BC">
        <w:rPr>
          <w:rFonts w:ascii="Times New Roman" w:hAnsi="Times New Roman" w:cs="Times New Roman"/>
          <w:i/>
          <w:iCs/>
        </w:rPr>
        <w:t>a</w:t>
      </w:r>
      <w:r w:rsidRPr="00A464BC">
        <w:rPr>
          <w:rFonts w:ascii="Times New Roman" w:hAnsi="Times New Roman" w:cs="Times New Roman"/>
        </w:rPr>
        <w:t>) of the definition of</w:t>
      </w:r>
      <w:r w:rsidR="00E25006">
        <w:rPr>
          <w:rFonts w:ascii="Times New Roman" w:hAnsi="Times New Roman" w:cs="Times New Roman"/>
        </w:rPr>
        <w:t xml:space="preserve"> </w:t>
      </w:r>
      <w:r w:rsidRPr="00A464BC">
        <w:rPr>
          <w:rFonts w:ascii="Times New Roman" w:hAnsi="Times New Roman" w:cs="Times New Roman"/>
        </w:rPr>
        <w:t xml:space="preserve">“capital </w:t>
      </w:r>
      <w:r w:rsidRPr="00A464BC">
        <w:rPr>
          <w:rFonts w:ascii="Times New Roman" w:hAnsi="Times New Roman" w:cs="Times New Roman"/>
        </w:rPr>
        <w:lastRenderedPageBreak/>
        <w:t xml:space="preserve">expenditure” in paragraph 1 of the Fifth Schedule) </w:t>
      </w:r>
      <w:r w:rsidRPr="00A464BC">
        <w:rPr>
          <w:rFonts w:ascii="Times New Roman" w:hAnsi="Times New Roman" w:cs="Times New Roman"/>
          <w:u w:val="single"/>
        </w:rPr>
        <w:t>which, in the opinion of the Commissioner,</w:t>
      </w:r>
      <w:r w:rsidR="005326EC" w:rsidRPr="00A464BC">
        <w:rPr>
          <w:rFonts w:ascii="Times New Roman" w:hAnsi="Times New Roman" w:cs="Times New Roman"/>
          <w:u w:val="single"/>
        </w:rPr>
        <w:t xml:space="preserve"> </w:t>
      </w:r>
      <w:r w:rsidRPr="00A464BC">
        <w:rPr>
          <w:rFonts w:ascii="Times New Roman" w:hAnsi="Times New Roman" w:cs="Times New Roman"/>
          <w:u w:val="single"/>
        </w:rPr>
        <w:t>is incidental thereto:</w:t>
      </w:r>
    </w:p>
    <w:p w:rsidR="00367A9D" w:rsidRPr="00A464BC" w:rsidRDefault="00367A9D" w:rsidP="00E25006">
      <w:pPr>
        <w:autoSpaceDE w:val="0"/>
        <w:autoSpaceDN w:val="0"/>
        <w:adjustRightInd w:val="0"/>
        <w:spacing w:after="0" w:line="240" w:lineRule="auto"/>
        <w:ind w:left="2160" w:firstLine="720"/>
        <w:jc w:val="both"/>
        <w:rPr>
          <w:rFonts w:ascii="Times New Roman" w:hAnsi="Times New Roman" w:cs="Times New Roman"/>
        </w:rPr>
      </w:pPr>
      <w:r w:rsidRPr="00A464BC">
        <w:rPr>
          <w:rFonts w:ascii="Times New Roman" w:hAnsi="Times New Roman" w:cs="Times New Roman"/>
        </w:rPr>
        <w:t>Provided that the taxpayer may elect (which election shall b</w:t>
      </w:r>
      <w:r w:rsidR="005326EC" w:rsidRPr="00A464BC">
        <w:rPr>
          <w:rFonts w:ascii="Times New Roman" w:hAnsi="Times New Roman" w:cs="Times New Roman"/>
        </w:rPr>
        <w:t xml:space="preserve">e binding) that the expenditure </w:t>
      </w:r>
      <w:r w:rsidRPr="00A464BC">
        <w:rPr>
          <w:rFonts w:ascii="Times New Roman" w:hAnsi="Times New Roman" w:cs="Times New Roman"/>
        </w:rPr>
        <w:t>be—</w:t>
      </w:r>
    </w:p>
    <w:p w:rsidR="00367A9D" w:rsidRPr="00A464BC" w:rsidRDefault="00367A9D" w:rsidP="005326EC">
      <w:pPr>
        <w:autoSpaceDE w:val="0"/>
        <w:autoSpaceDN w:val="0"/>
        <w:adjustRightInd w:val="0"/>
        <w:spacing w:after="0" w:line="240" w:lineRule="auto"/>
        <w:ind w:left="1440" w:firstLine="720"/>
        <w:jc w:val="both"/>
        <w:rPr>
          <w:rFonts w:ascii="Times New Roman" w:hAnsi="Times New Roman" w:cs="Times New Roman"/>
        </w:rPr>
      </w:pPr>
      <w:r w:rsidRPr="00A464BC">
        <w:rPr>
          <w:rFonts w:ascii="Times New Roman" w:hAnsi="Times New Roman" w:cs="Times New Roman"/>
        </w:rPr>
        <w:t>(</w:t>
      </w:r>
      <w:r w:rsidRPr="00A464BC">
        <w:rPr>
          <w:rFonts w:ascii="Times New Roman" w:hAnsi="Times New Roman" w:cs="Times New Roman"/>
          <w:i/>
          <w:iCs/>
        </w:rPr>
        <w:t>a</w:t>
      </w:r>
      <w:r w:rsidRPr="00A464BC">
        <w:rPr>
          <w:rFonts w:ascii="Times New Roman" w:hAnsi="Times New Roman" w:cs="Times New Roman"/>
        </w:rPr>
        <w:t xml:space="preserve">) </w:t>
      </w:r>
      <w:r w:rsidR="00570449">
        <w:rPr>
          <w:rFonts w:ascii="Times New Roman" w:hAnsi="Times New Roman" w:cs="Times New Roman"/>
        </w:rPr>
        <w:tab/>
      </w:r>
      <w:r w:rsidRPr="00A464BC">
        <w:rPr>
          <w:rFonts w:ascii="Times New Roman" w:hAnsi="Times New Roman" w:cs="Times New Roman"/>
        </w:rPr>
        <w:t>allowed in the year of assessment in which it is incurred; or</w:t>
      </w:r>
    </w:p>
    <w:p w:rsidR="00367A9D" w:rsidRPr="00A464BC" w:rsidRDefault="00367A9D" w:rsidP="00570449">
      <w:pPr>
        <w:autoSpaceDE w:val="0"/>
        <w:autoSpaceDN w:val="0"/>
        <w:adjustRightInd w:val="0"/>
        <w:spacing w:after="0" w:line="240" w:lineRule="auto"/>
        <w:ind w:left="2880" w:hanging="720"/>
        <w:jc w:val="both"/>
        <w:rPr>
          <w:rFonts w:ascii="Times New Roman" w:hAnsi="Times New Roman" w:cs="Times New Roman"/>
        </w:rPr>
      </w:pPr>
      <w:r w:rsidRPr="00A464BC">
        <w:rPr>
          <w:rFonts w:ascii="Times New Roman" w:hAnsi="Times New Roman" w:cs="Times New Roman"/>
        </w:rPr>
        <w:t>(</w:t>
      </w:r>
      <w:r w:rsidRPr="00A464BC">
        <w:rPr>
          <w:rFonts w:ascii="Times New Roman" w:hAnsi="Times New Roman" w:cs="Times New Roman"/>
          <w:i/>
          <w:iCs/>
        </w:rPr>
        <w:t>b</w:t>
      </w:r>
      <w:r w:rsidRPr="00A464BC">
        <w:rPr>
          <w:rFonts w:ascii="Times New Roman" w:hAnsi="Times New Roman" w:cs="Times New Roman"/>
        </w:rPr>
        <w:t xml:space="preserve">) </w:t>
      </w:r>
      <w:r w:rsidR="00570449">
        <w:rPr>
          <w:rFonts w:ascii="Times New Roman" w:hAnsi="Times New Roman" w:cs="Times New Roman"/>
        </w:rPr>
        <w:tab/>
      </w:r>
      <w:r w:rsidRPr="00A464BC">
        <w:rPr>
          <w:rFonts w:ascii="Times New Roman" w:hAnsi="Times New Roman" w:cs="Times New Roman"/>
        </w:rPr>
        <w:t>carried forward and allowed against income from mining operations in any subsequent year of</w:t>
      </w:r>
      <w:r w:rsidR="005326EC" w:rsidRPr="00A464BC">
        <w:rPr>
          <w:rFonts w:ascii="Times New Roman" w:hAnsi="Times New Roman" w:cs="Times New Roman"/>
        </w:rPr>
        <w:t xml:space="preserve"> </w:t>
      </w:r>
      <w:r w:rsidRPr="00A464BC">
        <w:rPr>
          <w:rFonts w:ascii="Times New Roman" w:hAnsi="Times New Roman" w:cs="Times New Roman"/>
        </w:rPr>
        <w:t>assessment.</w:t>
      </w:r>
      <w:r w:rsidR="00E25006">
        <w:rPr>
          <w:rFonts w:ascii="Times New Roman" w:hAnsi="Times New Roman" w:cs="Times New Roman"/>
        </w:rPr>
        <w:t xml:space="preserve"> </w:t>
      </w:r>
    </w:p>
    <w:p w:rsidR="00367A9D" w:rsidRPr="00A464BC" w:rsidRDefault="00367A9D" w:rsidP="00570449">
      <w:pPr>
        <w:autoSpaceDE w:val="0"/>
        <w:autoSpaceDN w:val="0"/>
        <w:adjustRightInd w:val="0"/>
        <w:spacing w:after="0" w:line="240" w:lineRule="auto"/>
        <w:ind w:left="720" w:firstLine="720"/>
        <w:jc w:val="both"/>
        <w:rPr>
          <w:rFonts w:ascii="Times New Roman" w:hAnsi="Times New Roman" w:cs="Times New Roman"/>
        </w:rPr>
      </w:pPr>
      <w:r w:rsidRPr="00A464BC">
        <w:rPr>
          <w:rFonts w:ascii="Times New Roman" w:hAnsi="Times New Roman" w:cs="Times New Roman"/>
        </w:rPr>
        <w:t>For the purposes of this subparagraph—</w:t>
      </w:r>
    </w:p>
    <w:p w:rsidR="00367A9D" w:rsidRPr="00A464BC" w:rsidRDefault="00367A9D" w:rsidP="00570449">
      <w:pPr>
        <w:autoSpaceDE w:val="0"/>
        <w:autoSpaceDN w:val="0"/>
        <w:adjustRightInd w:val="0"/>
        <w:spacing w:after="0" w:line="240" w:lineRule="auto"/>
        <w:ind w:left="720" w:firstLine="720"/>
        <w:jc w:val="both"/>
        <w:rPr>
          <w:rFonts w:ascii="Times New Roman" w:hAnsi="Times New Roman" w:cs="Times New Roman"/>
        </w:rPr>
      </w:pPr>
      <w:r w:rsidRPr="00A464BC">
        <w:rPr>
          <w:rFonts w:ascii="Times New Roman" w:hAnsi="Times New Roman" w:cs="Times New Roman"/>
        </w:rPr>
        <w:t>“</w:t>
      </w:r>
      <w:r w:rsidRPr="00A464BC">
        <w:rPr>
          <w:rFonts w:ascii="Times New Roman" w:hAnsi="Times New Roman" w:cs="Times New Roman"/>
          <w:u w:val="single"/>
        </w:rPr>
        <w:t>miner” means any person who at the time the expenditure was incurred was</w:t>
      </w:r>
      <w:r w:rsidRPr="00A464BC">
        <w:rPr>
          <w:rFonts w:ascii="Times New Roman" w:hAnsi="Times New Roman" w:cs="Times New Roman"/>
        </w:rPr>
        <w:t>—</w:t>
      </w:r>
    </w:p>
    <w:p w:rsidR="00367A9D" w:rsidRPr="00EE71B6" w:rsidRDefault="00367A9D" w:rsidP="00A464BC">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A464BC">
        <w:rPr>
          <w:rFonts w:ascii="Times New Roman" w:hAnsi="Times New Roman" w:cs="Times New Roman"/>
          <w:u w:val="single"/>
        </w:rPr>
        <w:t>the owner</w:t>
      </w:r>
      <w:r w:rsidRPr="00A464BC">
        <w:rPr>
          <w:rFonts w:ascii="Times New Roman" w:hAnsi="Times New Roman" w:cs="Times New Roman"/>
        </w:rPr>
        <w:t xml:space="preserve">, tributor or option holder </w:t>
      </w:r>
      <w:r w:rsidRPr="00A464BC">
        <w:rPr>
          <w:rFonts w:ascii="Times New Roman" w:hAnsi="Times New Roman" w:cs="Times New Roman"/>
          <w:u w:val="single"/>
        </w:rPr>
        <w:t>of a mining location</w:t>
      </w:r>
      <w:r w:rsidRPr="00A464BC">
        <w:rPr>
          <w:rFonts w:ascii="Times New Roman" w:hAnsi="Times New Roman" w:cs="Times New Roman"/>
        </w:rPr>
        <w:t>; or</w:t>
      </w:r>
      <w:r w:rsidR="00EE71B6">
        <w:rPr>
          <w:rFonts w:ascii="Times New Roman" w:hAnsi="Times New Roman" w:cs="Times New Roman"/>
        </w:rPr>
        <w:t xml:space="preserve"> </w:t>
      </w:r>
      <w:r w:rsidR="00EE71B6" w:rsidRPr="00EE71B6">
        <w:rPr>
          <w:rFonts w:ascii="Times New Roman" w:hAnsi="Times New Roman" w:cs="Times New Roman"/>
          <w:sz w:val="24"/>
          <w:szCs w:val="24"/>
        </w:rPr>
        <w:t>(underlining my own for emphasis)</w:t>
      </w:r>
    </w:p>
    <w:p w:rsidR="00A464BC" w:rsidRPr="00A464BC" w:rsidRDefault="00570449" w:rsidP="00A464BC">
      <w:pPr>
        <w:pStyle w:val="ListParagraph"/>
        <w:autoSpaceDE w:val="0"/>
        <w:autoSpaceDN w:val="0"/>
        <w:adjustRightInd w:val="0"/>
        <w:spacing w:after="0" w:line="240" w:lineRule="auto"/>
        <w:ind w:left="1440"/>
        <w:jc w:val="both"/>
        <w:rPr>
          <w:rFonts w:ascii="Times New Roman" w:hAnsi="Times New Roman" w:cs="Times New Roman"/>
        </w:rPr>
      </w:pPr>
      <w:r>
        <w:rPr>
          <w:rFonts w:ascii="Times New Roman" w:hAnsi="Times New Roman" w:cs="Times New Roman"/>
        </w:rPr>
        <w:t xml:space="preserve"> </w:t>
      </w:r>
    </w:p>
    <w:p w:rsidR="00ED60A9" w:rsidRPr="00017EF8" w:rsidRDefault="00C26578" w:rsidP="00AC33E7">
      <w:pPr>
        <w:jc w:val="both"/>
        <w:rPr>
          <w:rFonts w:ascii="Times New Roman" w:hAnsi="Times New Roman" w:cs="Times New Roman"/>
          <w:sz w:val="24"/>
          <w:szCs w:val="24"/>
        </w:rPr>
      </w:pPr>
      <w:r w:rsidRPr="00017EF8">
        <w:rPr>
          <w:rFonts w:ascii="Times New Roman" w:hAnsi="Times New Roman" w:cs="Times New Roman"/>
          <w:sz w:val="24"/>
          <w:szCs w:val="24"/>
        </w:rPr>
        <w:t>The requisite</w:t>
      </w:r>
      <w:r w:rsidR="008F5CA6" w:rsidRPr="00017EF8">
        <w:rPr>
          <w:rFonts w:ascii="Times New Roman" w:hAnsi="Times New Roman" w:cs="Times New Roman"/>
          <w:sz w:val="24"/>
          <w:szCs w:val="24"/>
        </w:rPr>
        <w:t xml:space="preserve"> elements prescribed in s 15 (2) (f) (ii) are:</w:t>
      </w:r>
    </w:p>
    <w:p w:rsidR="008F5CA6" w:rsidRPr="005252BF" w:rsidRDefault="00FE10E9" w:rsidP="008F5CA6">
      <w:pPr>
        <w:pStyle w:val="ListParagraph"/>
        <w:numPr>
          <w:ilvl w:val="0"/>
          <w:numId w:val="4"/>
        </w:numPr>
        <w:jc w:val="both"/>
        <w:rPr>
          <w:rFonts w:ascii="Times New Roman" w:hAnsi="Times New Roman" w:cs="Times New Roman"/>
          <w:sz w:val="24"/>
          <w:szCs w:val="24"/>
        </w:rPr>
      </w:pPr>
      <w:r w:rsidRPr="005252BF">
        <w:rPr>
          <w:rFonts w:ascii="Times New Roman" w:hAnsi="Times New Roman" w:cs="Times New Roman"/>
          <w:sz w:val="24"/>
          <w:szCs w:val="24"/>
        </w:rPr>
        <w:t>The tax</w:t>
      </w:r>
      <w:r w:rsidR="008F5CA6" w:rsidRPr="005252BF">
        <w:rPr>
          <w:rFonts w:ascii="Times New Roman" w:hAnsi="Times New Roman" w:cs="Times New Roman"/>
          <w:sz w:val="24"/>
          <w:szCs w:val="24"/>
        </w:rPr>
        <w:t>payer must be a miner</w:t>
      </w:r>
      <w:r w:rsidRPr="005252BF">
        <w:rPr>
          <w:rFonts w:ascii="Times New Roman" w:hAnsi="Times New Roman" w:cs="Times New Roman"/>
          <w:sz w:val="24"/>
          <w:szCs w:val="24"/>
        </w:rPr>
        <w:t>;</w:t>
      </w:r>
    </w:p>
    <w:p w:rsidR="008F5CA6" w:rsidRPr="005252BF" w:rsidRDefault="00E41BDD" w:rsidP="008F5CA6">
      <w:pPr>
        <w:pStyle w:val="ListParagraph"/>
        <w:numPr>
          <w:ilvl w:val="0"/>
          <w:numId w:val="4"/>
        </w:numPr>
        <w:jc w:val="both"/>
        <w:rPr>
          <w:rFonts w:ascii="Times New Roman" w:hAnsi="Times New Roman" w:cs="Times New Roman"/>
          <w:sz w:val="24"/>
          <w:szCs w:val="24"/>
        </w:rPr>
      </w:pPr>
      <w:r w:rsidRPr="005252BF">
        <w:rPr>
          <w:rFonts w:ascii="Times New Roman" w:hAnsi="Times New Roman" w:cs="Times New Roman"/>
          <w:sz w:val="24"/>
          <w:szCs w:val="24"/>
        </w:rPr>
        <w:t>The</w:t>
      </w:r>
      <w:r w:rsidR="008F5CA6" w:rsidRPr="005252BF">
        <w:rPr>
          <w:rFonts w:ascii="Times New Roman" w:hAnsi="Times New Roman" w:cs="Times New Roman"/>
          <w:sz w:val="24"/>
          <w:szCs w:val="24"/>
        </w:rPr>
        <w:t xml:space="preserve"> expenditure</w:t>
      </w:r>
      <w:r w:rsidRPr="005252BF">
        <w:rPr>
          <w:rFonts w:ascii="Times New Roman" w:hAnsi="Times New Roman" w:cs="Times New Roman"/>
          <w:sz w:val="24"/>
          <w:szCs w:val="24"/>
        </w:rPr>
        <w:t xml:space="preserve"> must be any expenditure</w:t>
      </w:r>
      <w:r w:rsidR="008F5CA6" w:rsidRPr="005252BF">
        <w:rPr>
          <w:rFonts w:ascii="Times New Roman" w:hAnsi="Times New Roman" w:cs="Times New Roman"/>
          <w:sz w:val="24"/>
          <w:szCs w:val="24"/>
        </w:rPr>
        <w:t>, excluding expenditure deductible und</w:t>
      </w:r>
      <w:r w:rsidRPr="005252BF">
        <w:rPr>
          <w:rFonts w:ascii="Times New Roman" w:hAnsi="Times New Roman" w:cs="Times New Roman"/>
          <w:sz w:val="24"/>
          <w:szCs w:val="24"/>
        </w:rPr>
        <w:t>er the general deduction formula</w:t>
      </w:r>
      <w:r w:rsidR="008F5CA6" w:rsidRPr="005252BF">
        <w:rPr>
          <w:rFonts w:ascii="Times New Roman" w:hAnsi="Times New Roman" w:cs="Times New Roman"/>
          <w:sz w:val="24"/>
          <w:szCs w:val="24"/>
        </w:rPr>
        <w:t>, proved to the satisfaction of the Commissioner to have been incurred:</w:t>
      </w:r>
    </w:p>
    <w:p w:rsidR="008F5CA6" w:rsidRPr="005252BF" w:rsidRDefault="008F5CA6" w:rsidP="005252BF">
      <w:pPr>
        <w:pStyle w:val="ListParagraph"/>
        <w:numPr>
          <w:ilvl w:val="0"/>
          <w:numId w:val="5"/>
        </w:numPr>
        <w:jc w:val="both"/>
        <w:rPr>
          <w:rFonts w:ascii="Times New Roman" w:hAnsi="Times New Roman" w:cs="Times New Roman"/>
          <w:sz w:val="24"/>
          <w:szCs w:val="24"/>
        </w:rPr>
      </w:pPr>
      <w:r w:rsidRPr="005252BF">
        <w:rPr>
          <w:rFonts w:ascii="Times New Roman" w:hAnsi="Times New Roman" w:cs="Times New Roman"/>
          <w:sz w:val="24"/>
          <w:szCs w:val="24"/>
        </w:rPr>
        <w:t>in the year of assessment on surveys, boreholes, trenches, pits and other prospecting and exploratory work undertaken to acquire rights to minerals</w:t>
      </w:r>
      <w:r w:rsidR="005252BF">
        <w:rPr>
          <w:rFonts w:ascii="Times New Roman" w:hAnsi="Times New Roman" w:cs="Times New Roman"/>
          <w:sz w:val="24"/>
          <w:szCs w:val="24"/>
        </w:rPr>
        <w:t xml:space="preserve">; or  </w:t>
      </w:r>
    </w:p>
    <w:p w:rsidR="00BE6361" w:rsidRPr="005252BF" w:rsidRDefault="00BE6361" w:rsidP="00E41BDD">
      <w:pPr>
        <w:pStyle w:val="ListParagraph"/>
        <w:numPr>
          <w:ilvl w:val="0"/>
          <w:numId w:val="5"/>
        </w:numPr>
        <w:jc w:val="both"/>
        <w:rPr>
          <w:rFonts w:ascii="Times New Roman" w:hAnsi="Times New Roman" w:cs="Times New Roman"/>
          <w:sz w:val="24"/>
          <w:szCs w:val="24"/>
        </w:rPr>
      </w:pPr>
      <w:r w:rsidRPr="005252BF">
        <w:rPr>
          <w:rFonts w:ascii="Times New Roman" w:hAnsi="Times New Roman" w:cs="Times New Roman"/>
          <w:sz w:val="24"/>
          <w:szCs w:val="24"/>
        </w:rPr>
        <w:t>o</w:t>
      </w:r>
      <w:r w:rsidR="00E41BDD" w:rsidRPr="005252BF">
        <w:rPr>
          <w:rFonts w:ascii="Times New Roman" w:hAnsi="Times New Roman" w:cs="Times New Roman"/>
          <w:sz w:val="24"/>
          <w:szCs w:val="24"/>
        </w:rPr>
        <w:t xml:space="preserve">n a mining location in Zimbabwe, </w:t>
      </w:r>
      <w:r w:rsidRPr="005252BF">
        <w:rPr>
          <w:rFonts w:ascii="Times New Roman" w:hAnsi="Times New Roman" w:cs="Times New Roman"/>
          <w:sz w:val="24"/>
          <w:szCs w:val="24"/>
        </w:rPr>
        <w:t>together with any other expenditure, excluding capital expenditure as defined in para 1 of the Fifth Schedule, which in the opinion of the Commissioner is incidental thereto</w:t>
      </w:r>
      <w:r w:rsidR="00E41BDD" w:rsidRPr="005252BF">
        <w:rPr>
          <w:rFonts w:ascii="Times New Roman" w:hAnsi="Times New Roman" w:cs="Times New Roman"/>
          <w:sz w:val="24"/>
          <w:szCs w:val="24"/>
        </w:rPr>
        <w:t>;</w:t>
      </w:r>
      <w:r w:rsidR="005252BF">
        <w:rPr>
          <w:rFonts w:ascii="Times New Roman" w:hAnsi="Times New Roman" w:cs="Times New Roman"/>
          <w:sz w:val="24"/>
          <w:szCs w:val="24"/>
        </w:rPr>
        <w:t xml:space="preserve"> </w:t>
      </w:r>
    </w:p>
    <w:p w:rsidR="00BE6361" w:rsidRPr="005252BF" w:rsidRDefault="00BE6361" w:rsidP="00BE6361">
      <w:pPr>
        <w:pStyle w:val="ListParagraph"/>
        <w:numPr>
          <w:ilvl w:val="0"/>
          <w:numId w:val="4"/>
        </w:numPr>
        <w:jc w:val="both"/>
        <w:rPr>
          <w:rFonts w:ascii="Times New Roman" w:hAnsi="Times New Roman" w:cs="Times New Roman"/>
          <w:sz w:val="24"/>
          <w:szCs w:val="24"/>
        </w:rPr>
      </w:pPr>
      <w:r w:rsidRPr="005252BF">
        <w:rPr>
          <w:rFonts w:ascii="Times New Roman" w:hAnsi="Times New Roman" w:cs="Times New Roman"/>
          <w:sz w:val="24"/>
          <w:szCs w:val="24"/>
        </w:rPr>
        <w:t>the miner makes a binding election t</w:t>
      </w:r>
      <w:r w:rsidR="00CA0679" w:rsidRPr="005252BF">
        <w:rPr>
          <w:rFonts w:ascii="Times New Roman" w:hAnsi="Times New Roman" w:cs="Times New Roman"/>
          <w:sz w:val="24"/>
          <w:szCs w:val="24"/>
        </w:rPr>
        <w:t>o</w:t>
      </w:r>
      <w:r w:rsidRPr="005252BF">
        <w:rPr>
          <w:rFonts w:ascii="Times New Roman" w:hAnsi="Times New Roman" w:cs="Times New Roman"/>
          <w:sz w:val="24"/>
          <w:szCs w:val="24"/>
        </w:rPr>
        <w:t>:</w:t>
      </w:r>
    </w:p>
    <w:p w:rsidR="00BE6361" w:rsidRPr="005252BF" w:rsidRDefault="00BE6361" w:rsidP="00BE6361">
      <w:pPr>
        <w:pStyle w:val="ListParagraph"/>
        <w:numPr>
          <w:ilvl w:val="0"/>
          <w:numId w:val="6"/>
        </w:numPr>
        <w:jc w:val="both"/>
        <w:rPr>
          <w:rFonts w:ascii="Times New Roman" w:hAnsi="Times New Roman" w:cs="Times New Roman"/>
          <w:sz w:val="24"/>
          <w:szCs w:val="24"/>
        </w:rPr>
      </w:pPr>
      <w:r w:rsidRPr="005252BF">
        <w:rPr>
          <w:rFonts w:ascii="Times New Roman" w:hAnsi="Times New Roman" w:cs="Times New Roman"/>
          <w:sz w:val="24"/>
          <w:szCs w:val="24"/>
        </w:rPr>
        <w:t xml:space="preserve"> claim the whole amount in the year in which it was incurred; or</w:t>
      </w:r>
    </w:p>
    <w:p w:rsidR="00BE6361" w:rsidRPr="005252BF" w:rsidRDefault="00E41BDD" w:rsidP="00BE6361">
      <w:pPr>
        <w:pStyle w:val="ListParagraph"/>
        <w:numPr>
          <w:ilvl w:val="0"/>
          <w:numId w:val="6"/>
        </w:numPr>
        <w:jc w:val="both"/>
        <w:rPr>
          <w:rFonts w:ascii="Times New Roman" w:hAnsi="Times New Roman" w:cs="Times New Roman"/>
          <w:sz w:val="24"/>
          <w:szCs w:val="24"/>
        </w:rPr>
      </w:pPr>
      <w:r w:rsidRPr="005252BF">
        <w:rPr>
          <w:rFonts w:ascii="Times New Roman" w:hAnsi="Times New Roman" w:cs="Times New Roman"/>
          <w:sz w:val="24"/>
          <w:szCs w:val="24"/>
        </w:rPr>
        <w:t>c</w:t>
      </w:r>
      <w:r w:rsidR="00BE6361" w:rsidRPr="005252BF">
        <w:rPr>
          <w:rFonts w:ascii="Times New Roman" w:hAnsi="Times New Roman" w:cs="Times New Roman"/>
          <w:sz w:val="24"/>
          <w:szCs w:val="24"/>
        </w:rPr>
        <w:t>arry it forward and claim it against income from mining operations in any subsequent tax year</w:t>
      </w:r>
      <w:r w:rsidR="00A464BC" w:rsidRPr="005252BF">
        <w:rPr>
          <w:rFonts w:ascii="Times New Roman" w:hAnsi="Times New Roman" w:cs="Times New Roman"/>
          <w:sz w:val="24"/>
          <w:szCs w:val="24"/>
        </w:rPr>
        <w:t>.”</w:t>
      </w:r>
    </w:p>
    <w:p w:rsidR="00A14D41" w:rsidRDefault="00A14D41" w:rsidP="00B53D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Both Mr </w:t>
      </w:r>
      <w:r w:rsidRPr="00A14D41">
        <w:rPr>
          <w:rFonts w:ascii="Times New Roman" w:hAnsi="Times New Roman" w:cs="Times New Roman"/>
          <w:i/>
          <w:sz w:val="24"/>
          <w:szCs w:val="24"/>
        </w:rPr>
        <w:t>de Bourbon</w:t>
      </w:r>
      <w:r>
        <w:rPr>
          <w:rFonts w:ascii="Times New Roman" w:hAnsi="Times New Roman" w:cs="Times New Roman"/>
          <w:sz w:val="24"/>
          <w:szCs w:val="24"/>
        </w:rPr>
        <w:t xml:space="preserve"> and Mr </w:t>
      </w:r>
      <w:r w:rsidRPr="00A14D41">
        <w:rPr>
          <w:rFonts w:ascii="Times New Roman" w:hAnsi="Times New Roman" w:cs="Times New Roman"/>
          <w:i/>
          <w:sz w:val="24"/>
          <w:szCs w:val="24"/>
        </w:rPr>
        <w:t>Bhebhe</w:t>
      </w:r>
      <w:r>
        <w:rPr>
          <w:rFonts w:ascii="Times New Roman" w:hAnsi="Times New Roman" w:cs="Times New Roman"/>
          <w:sz w:val="24"/>
          <w:szCs w:val="24"/>
        </w:rPr>
        <w:t xml:space="preserve"> were in agreement that the three requisites were conjunctive and not disjunctive. This, therefore, means the appellant can only benefit from the provisions of s 15 (2) (f) (ii) if it is able to establish each requirement on a balance of probabilities. </w:t>
      </w:r>
    </w:p>
    <w:p w:rsidR="009D37FE" w:rsidRDefault="009560DD" w:rsidP="00B53D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common cause </w:t>
      </w:r>
      <w:r w:rsidR="00D46C1A">
        <w:rPr>
          <w:rFonts w:ascii="Times New Roman" w:hAnsi="Times New Roman" w:cs="Times New Roman"/>
          <w:sz w:val="24"/>
          <w:szCs w:val="24"/>
        </w:rPr>
        <w:t xml:space="preserve">that the appellant was a miner. This is apparent from the definition of miner provided in the sub-para under consideration. </w:t>
      </w:r>
      <w:r w:rsidR="00A14D41">
        <w:rPr>
          <w:rFonts w:ascii="Times New Roman" w:hAnsi="Times New Roman" w:cs="Times New Roman"/>
          <w:sz w:val="24"/>
          <w:szCs w:val="24"/>
        </w:rPr>
        <w:t>In any event</w:t>
      </w:r>
      <w:r w:rsidR="007622DE">
        <w:rPr>
          <w:rFonts w:ascii="Times New Roman" w:hAnsi="Times New Roman" w:cs="Times New Roman"/>
          <w:sz w:val="24"/>
          <w:szCs w:val="24"/>
        </w:rPr>
        <w:t xml:space="preserve">, </w:t>
      </w:r>
      <w:r w:rsidR="00D46C1A">
        <w:rPr>
          <w:rFonts w:ascii="Times New Roman" w:hAnsi="Times New Roman" w:cs="Times New Roman"/>
          <w:sz w:val="24"/>
          <w:szCs w:val="24"/>
        </w:rPr>
        <w:t>lime</w:t>
      </w:r>
      <w:r w:rsidR="00CE56BB">
        <w:rPr>
          <w:rFonts w:ascii="Times New Roman" w:hAnsi="Times New Roman" w:cs="Times New Roman"/>
          <w:sz w:val="24"/>
          <w:szCs w:val="24"/>
        </w:rPr>
        <w:t>stone is specifically identified and defined</w:t>
      </w:r>
      <w:r w:rsidR="00D46C1A">
        <w:rPr>
          <w:rFonts w:ascii="Times New Roman" w:hAnsi="Times New Roman" w:cs="Times New Roman"/>
          <w:sz w:val="24"/>
          <w:szCs w:val="24"/>
        </w:rPr>
        <w:t xml:space="preserve"> as a mineral in section 2 of the Income Tax Act. See </w:t>
      </w:r>
      <w:r w:rsidR="00D46C1A">
        <w:rPr>
          <w:rFonts w:ascii="Times New Roman" w:hAnsi="Times New Roman" w:cs="Times New Roman"/>
          <w:i/>
          <w:sz w:val="24"/>
          <w:szCs w:val="24"/>
        </w:rPr>
        <w:t>S</w:t>
      </w:r>
      <w:r w:rsidR="00D46C1A" w:rsidRPr="00D46C1A">
        <w:rPr>
          <w:rFonts w:ascii="Times New Roman" w:hAnsi="Times New Roman" w:cs="Times New Roman"/>
          <w:i/>
          <w:sz w:val="24"/>
          <w:szCs w:val="24"/>
        </w:rPr>
        <w:t>Z (Pvt) Ltd</w:t>
      </w:r>
      <w:r w:rsidR="00D46C1A">
        <w:rPr>
          <w:rFonts w:ascii="Times New Roman" w:hAnsi="Times New Roman" w:cs="Times New Roman"/>
          <w:sz w:val="24"/>
          <w:szCs w:val="24"/>
        </w:rPr>
        <w:t xml:space="preserve">, </w:t>
      </w:r>
      <w:r w:rsidR="00D46C1A" w:rsidRPr="00D46C1A">
        <w:rPr>
          <w:rFonts w:ascii="Times New Roman" w:hAnsi="Times New Roman" w:cs="Times New Roman"/>
          <w:i/>
          <w:sz w:val="24"/>
          <w:szCs w:val="24"/>
        </w:rPr>
        <w:t>supra</w:t>
      </w:r>
      <w:r w:rsidR="00D46C1A">
        <w:rPr>
          <w:rFonts w:ascii="Times New Roman" w:hAnsi="Times New Roman" w:cs="Times New Roman"/>
          <w:sz w:val="24"/>
          <w:szCs w:val="24"/>
        </w:rPr>
        <w:t xml:space="preserve">, at p 5. </w:t>
      </w:r>
      <w:r w:rsidR="00727B96">
        <w:rPr>
          <w:rFonts w:ascii="Times New Roman" w:hAnsi="Times New Roman" w:cs="Times New Roman"/>
          <w:sz w:val="24"/>
          <w:szCs w:val="24"/>
        </w:rPr>
        <w:t xml:space="preserve"> The appellant meets the first requisite element.</w:t>
      </w:r>
    </w:p>
    <w:p w:rsidR="00727B96" w:rsidRDefault="00727B96" w:rsidP="00A464B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also common cause that the appellant </w:t>
      </w:r>
      <w:r w:rsidR="00A827DB">
        <w:rPr>
          <w:rFonts w:ascii="Times New Roman" w:hAnsi="Times New Roman" w:cs="Times New Roman"/>
          <w:sz w:val="24"/>
          <w:szCs w:val="24"/>
        </w:rPr>
        <w:t>amortised US$3 782 791 in the 2013 tax year</w:t>
      </w:r>
      <w:r w:rsidR="00DD0539">
        <w:rPr>
          <w:rFonts w:ascii="Times New Roman" w:hAnsi="Times New Roman" w:cs="Times New Roman"/>
          <w:sz w:val="24"/>
          <w:szCs w:val="24"/>
        </w:rPr>
        <w:t xml:space="preserve">, which was disallowed. I have </w:t>
      </w:r>
      <w:r w:rsidR="00D659C3">
        <w:rPr>
          <w:rFonts w:ascii="Times New Roman" w:hAnsi="Times New Roman" w:cs="Times New Roman"/>
          <w:sz w:val="24"/>
          <w:szCs w:val="24"/>
        </w:rPr>
        <w:t xml:space="preserve">already </w:t>
      </w:r>
      <w:r w:rsidR="00DD0539">
        <w:rPr>
          <w:rFonts w:ascii="Times New Roman" w:hAnsi="Times New Roman" w:cs="Times New Roman"/>
          <w:sz w:val="24"/>
          <w:szCs w:val="24"/>
        </w:rPr>
        <w:t xml:space="preserve">held that the appellant could not claim the deduction under the general deduction formula. </w:t>
      </w:r>
      <w:r w:rsidR="00572C36">
        <w:rPr>
          <w:rFonts w:ascii="Times New Roman" w:hAnsi="Times New Roman" w:cs="Times New Roman"/>
          <w:sz w:val="24"/>
          <w:szCs w:val="24"/>
        </w:rPr>
        <w:t xml:space="preserve">It was common cause that the expenditure claimed did not relate to prospecting and exploratory work undertaken to acquire the right to mine the limestone. The mining rights to the claims had been acquired more than 20 years before the tax </w:t>
      </w:r>
      <w:r w:rsidR="00572C36">
        <w:rPr>
          <w:rFonts w:ascii="Times New Roman" w:hAnsi="Times New Roman" w:cs="Times New Roman"/>
          <w:sz w:val="24"/>
          <w:szCs w:val="24"/>
        </w:rPr>
        <w:lastRenderedPageBreak/>
        <w:t xml:space="preserve">years in </w:t>
      </w:r>
      <w:r w:rsidR="00D76823">
        <w:rPr>
          <w:rFonts w:ascii="Times New Roman" w:hAnsi="Times New Roman" w:cs="Times New Roman"/>
          <w:sz w:val="24"/>
          <w:szCs w:val="24"/>
        </w:rPr>
        <w:t xml:space="preserve">question. </w:t>
      </w:r>
      <w:r w:rsidR="0093514F">
        <w:rPr>
          <w:rFonts w:ascii="Times New Roman" w:hAnsi="Times New Roman" w:cs="Times New Roman"/>
          <w:sz w:val="24"/>
          <w:szCs w:val="24"/>
        </w:rPr>
        <w:t xml:space="preserve">The appellant </w:t>
      </w:r>
      <w:r w:rsidR="00885C68">
        <w:rPr>
          <w:rFonts w:ascii="Times New Roman" w:hAnsi="Times New Roman" w:cs="Times New Roman"/>
          <w:sz w:val="24"/>
          <w:szCs w:val="24"/>
        </w:rPr>
        <w:t>did not, therefore, establish the requiremen</w:t>
      </w:r>
      <w:r w:rsidR="006059D6">
        <w:rPr>
          <w:rFonts w:ascii="Times New Roman" w:hAnsi="Times New Roman" w:cs="Times New Roman"/>
          <w:sz w:val="24"/>
          <w:szCs w:val="24"/>
        </w:rPr>
        <w:t>t prescribed in (b) (i) of my formulation.</w:t>
      </w:r>
    </w:p>
    <w:p w:rsidR="002F51CA" w:rsidRPr="002F51CA" w:rsidRDefault="00D76823" w:rsidP="00A464BC">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D76823">
        <w:rPr>
          <w:rFonts w:ascii="Times New Roman" w:hAnsi="Times New Roman" w:cs="Times New Roman"/>
          <w:i/>
          <w:sz w:val="24"/>
          <w:szCs w:val="24"/>
        </w:rPr>
        <w:t>de Bourbon</w:t>
      </w:r>
      <w:r>
        <w:rPr>
          <w:rFonts w:ascii="Times New Roman" w:hAnsi="Times New Roman" w:cs="Times New Roman"/>
          <w:sz w:val="24"/>
          <w:szCs w:val="24"/>
        </w:rPr>
        <w:t xml:space="preserve"> contended that the claimed deduction had been proved to the satisfaction of the Commissioner to have been incurred on a mining location in Zimbabwe. </w:t>
      </w:r>
      <w:r w:rsidR="0093514F">
        <w:rPr>
          <w:rFonts w:ascii="Times New Roman" w:hAnsi="Times New Roman" w:cs="Times New Roman"/>
          <w:sz w:val="24"/>
          <w:szCs w:val="24"/>
        </w:rPr>
        <w:t xml:space="preserve">He submitted that the deduction was properly claimed under (b) (ii), above.  </w:t>
      </w:r>
      <w:r w:rsidR="002F51CA">
        <w:rPr>
          <w:rFonts w:ascii="Times New Roman" w:hAnsi="Times New Roman" w:cs="Times New Roman"/>
          <w:sz w:val="24"/>
          <w:szCs w:val="24"/>
        </w:rPr>
        <w:t xml:space="preserve">Mr </w:t>
      </w:r>
      <w:r w:rsidR="002F51CA" w:rsidRPr="00A464BC">
        <w:rPr>
          <w:rFonts w:ascii="Times New Roman" w:hAnsi="Times New Roman" w:cs="Times New Roman"/>
          <w:i/>
          <w:sz w:val="24"/>
          <w:szCs w:val="24"/>
        </w:rPr>
        <w:t>Bhebhe</w:t>
      </w:r>
      <w:r w:rsidR="002F51CA">
        <w:rPr>
          <w:rFonts w:ascii="Times New Roman" w:hAnsi="Times New Roman" w:cs="Times New Roman"/>
          <w:sz w:val="24"/>
          <w:szCs w:val="24"/>
        </w:rPr>
        <w:t xml:space="preserve"> conceded that the expenditure had been incurred on a mining location in Zimbabwe but argued that the appellant had failed to establish that the expenditure did not fall into the excluded category of </w:t>
      </w:r>
      <w:r w:rsidR="002F51CA" w:rsidRPr="002F51CA">
        <w:rPr>
          <w:rFonts w:ascii="Times New Roman" w:hAnsi="Times New Roman" w:cs="Times New Roman"/>
          <w:sz w:val="24"/>
          <w:szCs w:val="24"/>
        </w:rPr>
        <w:t xml:space="preserve">“capital expenditure” </w:t>
      </w:r>
      <w:r w:rsidR="002F51CA">
        <w:rPr>
          <w:rFonts w:ascii="Times New Roman" w:hAnsi="Times New Roman" w:cs="Times New Roman"/>
          <w:sz w:val="24"/>
          <w:szCs w:val="24"/>
        </w:rPr>
        <w:t xml:space="preserve">as defined </w:t>
      </w:r>
      <w:r w:rsidR="002F51CA" w:rsidRPr="002F51CA">
        <w:rPr>
          <w:rFonts w:ascii="Times New Roman" w:hAnsi="Times New Roman" w:cs="Times New Roman"/>
          <w:sz w:val="24"/>
          <w:szCs w:val="24"/>
        </w:rPr>
        <w:t>in paragraph 1</w:t>
      </w:r>
      <w:r w:rsidR="00D0620C">
        <w:rPr>
          <w:rFonts w:ascii="Times New Roman" w:hAnsi="Times New Roman" w:cs="Times New Roman"/>
          <w:sz w:val="24"/>
          <w:szCs w:val="24"/>
        </w:rPr>
        <w:t xml:space="preserve"> (1) </w:t>
      </w:r>
      <w:r w:rsidR="002F51CA">
        <w:rPr>
          <w:rFonts w:ascii="Times New Roman" w:hAnsi="Times New Roman" w:cs="Times New Roman"/>
          <w:sz w:val="24"/>
          <w:szCs w:val="24"/>
        </w:rPr>
        <w:t>(a)</w:t>
      </w:r>
      <w:r w:rsidR="002F51CA" w:rsidRPr="002F51CA">
        <w:rPr>
          <w:rFonts w:ascii="Times New Roman" w:hAnsi="Times New Roman" w:cs="Times New Roman"/>
          <w:sz w:val="24"/>
          <w:szCs w:val="24"/>
        </w:rPr>
        <w:t xml:space="preserve"> of the Fifth Schedule</w:t>
      </w:r>
      <w:r w:rsidR="002F51CA">
        <w:rPr>
          <w:rFonts w:ascii="Times New Roman" w:hAnsi="Times New Roman" w:cs="Times New Roman"/>
          <w:sz w:val="24"/>
          <w:szCs w:val="24"/>
        </w:rPr>
        <w:t xml:space="preserve"> to the Income Tax </w:t>
      </w:r>
      <w:r w:rsidR="002F51CA" w:rsidRPr="002F51CA">
        <w:rPr>
          <w:rFonts w:ascii="Times New Roman" w:hAnsi="Times New Roman" w:cs="Times New Roman"/>
          <w:sz w:val="24"/>
          <w:szCs w:val="24"/>
        </w:rPr>
        <w:t>Act</w:t>
      </w:r>
      <w:r w:rsidR="00C150A5">
        <w:rPr>
          <w:rFonts w:ascii="Times New Roman" w:hAnsi="Times New Roman" w:cs="Times New Roman"/>
          <w:sz w:val="24"/>
          <w:szCs w:val="24"/>
        </w:rPr>
        <w:t>.</w:t>
      </w:r>
      <w:r w:rsidR="002F51CA" w:rsidRPr="002F51CA">
        <w:rPr>
          <w:rFonts w:ascii="Times New Roman" w:hAnsi="Times New Roman" w:cs="Times New Roman"/>
          <w:sz w:val="24"/>
          <w:szCs w:val="24"/>
        </w:rPr>
        <w:t xml:space="preserve"> </w:t>
      </w:r>
    </w:p>
    <w:p w:rsidR="00541346" w:rsidRDefault="00541346" w:rsidP="00A464BC">
      <w:pPr>
        <w:ind w:firstLine="720"/>
        <w:jc w:val="both"/>
        <w:rPr>
          <w:rFonts w:ascii="Times New Roman" w:hAnsi="Times New Roman" w:cs="Times New Roman"/>
          <w:sz w:val="24"/>
          <w:szCs w:val="24"/>
        </w:rPr>
      </w:pPr>
      <w:r>
        <w:rPr>
          <w:rFonts w:ascii="Times New Roman" w:hAnsi="Times New Roman" w:cs="Times New Roman"/>
          <w:sz w:val="24"/>
          <w:szCs w:val="24"/>
        </w:rPr>
        <w:t>In ter</w:t>
      </w:r>
      <w:r w:rsidR="00C05462">
        <w:rPr>
          <w:rFonts w:ascii="Times New Roman" w:hAnsi="Times New Roman" w:cs="Times New Roman"/>
          <w:sz w:val="24"/>
          <w:szCs w:val="24"/>
        </w:rPr>
        <w:t xml:space="preserve">ms of s 2 of the Income Tax Act, </w:t>
      </w:r>
      <w:r>
        <w:rPr>
          <w:rFonts w:ascii="Times New Roman" w:hAnsi="Times New Roman" w:cs="Times New Roman"/>
          <w:sz w:val="24"/>
          <w:szCs w:val="24"/>
        </w:rPr>
        <w:t>a mining location is defined as:</w:t>
      </w:r>
    </w:p>
    <w:p w:rsidR="00541346" w:rsidRDefault="00757238" w:rsidP="00F86B32">
      <w:pPr>
        <w:autoSpaceDE w:val="0"/>
        <w:autoSpaceDN w:val="0"/>
        <w:adjustRightInd w:val="0"/>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w:t>
      </w:r>
      <w:r w:rsidRPr="00A464BC">
        <w:rPr>
          <w:rFonts w:ascii="Times New Roman" w:hAnsi="Times New Roman" w:cs="Times New Roman"/>
        </w:rPr>
        <w:t>mining location” means a mining location registered as such in terms of the Mines and Minerals Act [</w:t>
      </w:r>
      <w:r w:rsidRPr="00A464BC">
        <w:rPr>
          <w:rFonts w:ascii="Times New Roman" w:hAnsi="Times New Roman" w:cs="Times New Roman"/>
          <w:i/>
          <w:iCs/>
        </w:rPr>
        <w:t>Chapter 21:05</w:t>
      </w:r>
      <w:r w:rsidRPr="00A464BC">
        <w:rPr>
          <w:rFonts w:ascii="Times New Roman" w:hAnsi="Times New Roman" w:cs="Times New Roman"/>
        </w:rPr>
        <w:t>];</w:t>
      </w:r>
    </w:p>
    <w:p w:rsidR="00A464BC" w:rsidRPr="00757238" w:rsidRDefault="00A464BC" w:rsidP="00F86B32">
      <w:pPr>
        <w:autoSpaceDE w:val="0"/>
        <w:autoSpaceDN w:val="0"/>
        <w:adjustRightInd w:val="0"/>
        <w:spacing w:after="0" w:line="240" w:lineRule="auto"/>
        <w:ind w:left="720"/>
        <w:jc w:val="both"/>
        <w:rPr>
          <w:rFonts w:ascii="Times New Roman" w:hAnsi="Times New Roman" w:cs="Times New Roman"/>
          <w:i/>
          <w:iCs/>
          <w:sz w:val="20"/>
          <w:szCs w:val="20"/>
        </w:rPr>
      </w:pPr>
    </w:p>
    <w:p w:rsidR="00D76823" w:rsidRDefault="00757238" w:rsidP="00F86B32">
      <w:pPr>
        <w:jc w:val="both"/>
        <w:rPr>
          <w:rFonts w:ascii="Times New Roman" w:hAnsi="Times New Roman" w:cs="Times New Roman"/>
          <w:sz w:val="24"/>
          <w:szCs w:val="24"/>
        </w:rPr>
      </w:pPr>
      <w:r>
        <w:rPr>
          <w:rFonts w:ascii="Times New Roman" w:hAnsi="Times New Roman" w:cs="Times New Roman"/>
          <w:sz w:val="24"/>
          <w:szCs w:val="24"/>
        </w:rPr>
        <w:t xml:space="preserve">And </w:t>
      </w:r>
      <w:r w:rsidR="00F86B32">
        <w:rPr>
          <w:rFonts w:ascii="Times New Roman" w:hAnsi="Times New Roman" w:cs="Times New Roman"/>
          <w:sz w:val="24"/>
          <w:szCs w:val="24"/>
        </w:rPr>
        <w:t>s 5 of the Mines and Minerals Act defines it as follows:</w:t>
      </w:r>
    </w:p>
    <w:p w:rsidR="00F86B32" w:rsidRDefault="00F86B32" w:rsidP="00F86B32">
      <w:pPr>
        <w:autoSpaceDE w:val="0"/>
        <w:autoSpaceDN w:val="0"/>
        <w:adjustRightInd w:val="0"/>
        <w:spacing w:after="0" w:line="240" w:lineRule="auto"/>
        <w:ind w:left="720"/>
        <w:jc w:val="both"/>
        <w:rPr>
          <w:rFonts w:ascii="Times New Roman" w:hAnsi="Times New Roman" w:cs="Times New Roman"/>
          <w:sz w:val="20"/>
          <w:szCs w:val="20"/>
        </w:rPr>
      </w:pPr>
      <w:r>
        <w:rPr>
          <w:rFonts w:ascii="Times New Roman" w:hAnsi="Times New Roman" w:cs="Times New Roman"/>
          <w:sz w:val="20"/>
          <w:szCs w:val="20"/>
        </w:rPr>
        <w:t>““</w:t>
      </w:r>
      <w:r w:rsidRPr="00A464BC">
        <w:rPr>
          <w:rFonts w:ascii="Times New Roman" w:hAnsi="Times New Roman" w:cs="Times New Roman"/>
        </w:rPr>
        <w:t>mining location” means a defined area of ground in respect to which mining rights, or rights in connection with mining, have been acquired under this Act or which were acquired under any previous law relating to mines and minerals and which were held immediately before the 1st November, 1961</w:t>
      </w:r>
      <w:r>
        <w:rPr>
          <w:rFonts w:ascii="Times New Roman" w:hAnsi="Times New Roman" w:cs="Times New Roman"/>
          <w:sz w:val="20"/>
          <w:szCs w:val="20"/>
        </w:rPr>
        <w:t>;”</w:t>
      </w:r>
    </w:p>
    <w:p w:rsidR="00A464BC" w:rsidRPr="00F86B32" w:rsidRDefault="00A464BC" w:rsidP="00F86B32">
      <w:pPr>
        <w:autoSpaceDE w:val="0"/>
        <w:autoSpaceDN w:val="0"/>
        <w:adjustRightInd w:val="0"/>
        <w:spacing w:after="0" w:line="240" w:lineRule="auto"/>
        <w:ind w:left="720"/>
        <w:jc w:val="both"/>
        <w:rPr>
          <w:rFonts w:ascii="Times New Roman" w:hAnsi="Times New Roman" w:cs="Times New Roman"/>
          <w:sz w:val="20"/>
          <w:szCs w:val="20"/>
        </w:rPr>
      </w:pPr>
    </w:p>
    <w:p w:rsidR="001D5599" w:rsidRDefault="001D5599" w:rsidP="00A464B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limestone “quarry” owned by the appellant meets the Income Tax Act definition of a mining location.</w:t>
      </w:r>
      <w:r w:rsidR="00540CA0">
        <w:rPr>
          <w:rFonts w:ascii="Times New Roman" w:hAnsi="Times New Roman" w:cs="Times New Roman"/>
          <w:sz w:val="24"/>
          <w:szCs w:val="24"/>
        </w:rPr>
        <w:t xml:space="preserve"> </w:t>
      </w:r>
      <w:r w:rsidR="00890839">
        <w:rPr>
          <w:rFonts w:ascii="Times New Roman" w:hAnsi="Times New Roman" w:cs="Times New Roman"/>
          <w:sz w:val="24"/>
          <w:szCs w:val="24"/>
        </w:rPr>
        <w:t xml:space="preserve">The conduct of the appellant fell into the </w:t>
      </w:r>
      <w:r w:rsidR="003E51C2">
        <w:rPr>
          <w:rFonts w:ascii="Times New Roman" w:hAnsi="Times New Roman" w:cs="Times New Roman"/>
          <w:sz w:val="24"/>
          <w:szCs w:val="24"/>
        </w:rPr>
        <w:t xml:space="preserve">first part </w:t>
      </w:r>
      <w:r w:rsidR="00890839">
        <w:rPr>
          <w:rFonts w:ascii="Times New Roman" w:hAnsi="Times New Roman" w:cs="Times New Roman"/>
          <w:sz w:val="24"/>
          <w:szCs w:val="24"/>
        </w:rPr>
        <w:t>of (b) (ii</w:t>
      </w:r>
      <w:r w:rsidR="003E51C2">
        <w:rPr>
          <w:rFonts w:ascii="Times New Roman" w:hAnsi="Times New Roman" w:cs="Times New Roman"/>
          <w:sz w:val="24"/>
          <w:szCs w:val="24"/>
        </w:rPr>
        <w:t>) of my formulation.</w:t>
      </w:r>
      <w:r w:rsidR="002F22F6">
        <w:rPr>
          <w:rFonts w:ascii="Times New Roman" w:hAnsi="Times New Roman" w:cs="Times New Roman"/>
          <w:sz w:val="24"/>
          <w:szCs w:val="24"/>
        </w:rPr>
        <w:t xml:space="preserve"> However, the appellant can only succeed in claiming the deduction if it further establishes that the provisions set out in the second portion of b (ii), in my above stated formulation, did not apply to it. </w:t>
      </w:r>
    </w:p>
    <w:p w:rsidR="002F22F6" w:rsidRDefault="002F22F6" w:rsidP="00A464B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Para 1 </w:t>
      </w:r>
      <w:r w:rsidR="00A310AF">
        <w:rPr>
          <w:rFonts w:ascii="Times New Roman" w:hAnsi="Times New Roman" w:cs="Times New Roman"/>
          <w:sz w:val="24"/>
          <w:szCs w:val="24"/>
        </w:rPr>
        <w:t xml:space="preserve">(1) </w:t>
      </w:r>
      <w:r>
        <w:rPr>
          <w:rFonts w:ascii="Times New Roman" w:hAnsi="Times New Roman" w:cs="Times New Roman"/>
          <w:sz w:val="24"/>
          <w:szCs w:val="24"/>
        </w:rPr>
        <w:t>(a) of the Fifth Schedule to the Income Tax Act defines capital expenditure in the following manner:</w:t>
      </w:r>
    </w:p>
    <w:p w:rsidR="007A322C" w:rsidRPr="00A464BC" w:rsidRDefault="002F22F6" w:rsidP="007A322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4"/>
          <w:szCs w:val="24"/>
        </w:rPr>
        <w:tab/>
        <w:t>“</w:t>
      </w:r>
      <w:r w:rsidR="007A322C" w:rsidRPr="00A464BC">
        <w:rPr>
          <w:rFonts w:ascii="Times New Roman" w:hAnsi="Times New Roman" w:cs="Times New Roman"/>
        </w:rPr>
        <w:t>1. (1)</w:t>
      </w:r>
      <w:r w:rsidR="007A322C" w:rsidRPr="00A464BC">
        <w:rPr>
          <w:rFonts w:ascii="Times New Roman" w:hAnsi="Times New Roman" w:cs="Times New Roman"/>
        </w:rPr>
        <w:tab/>
        <w:t>In this Schedule—capital expenditure” means—</w:t>
      </w:r>
    </w:p>
    <w:p w:rsidR="007A322C" w:rsidRPr="00A464BC" w:rsidRDefault="007A322C" w:rsidP="007A322C">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A464BC">
        <w:rPr>
          <w:rFonts w:ascii="Times New Roman" w:hAnsi="Times New Roman" w:cs="Times New Roman"/>
        </w:rPr>
        <w:t>expenditure, in relation to mining operations (other than expenditure in respect of which a deduction is allowable in terms of subparagraph (ii) of paragraph (</w:t>
      </w:r>
      <w:r w:rsidRPr="00A464BC">
        <w:rPr>
          <w:rFonts w:ascii="Times New Roman" w:hAnsi="Times New Roman" w:cs="Times New Roman"/>
          <w:i/>
          <w:iCs/>
        </w:rPr>
        <w:t>f</w:t>
      </w:r>
      <w:r w:rsidRPr="00A464BC">
        <w:rPr>
          <w:rFonts w:ascii="Times New Roman" w:hAnsi="Times New Roman" w:cs="Times New Roman"/>
        </w:rPr>
        <w:t xml:space="preserve">) of subsection (2) of section </w:t>
      </w:r>
      <w:r w:rsidRPr="00A464BC">
        <w:rPr>
          <w:rFonts w:ascii="Times New Roman" w:hAnsi="Times New Roman" w:cs="Times New Roman"/>
          <w:i/>
          <w:iCs/>
        </w:rPr>
        <w:t>fifteen</w:t>
      </w:r>
      <w:r w:rsidRPr="00A464BC">
        <w:rPr>
          <w:rFonts w:ascii="Times New Roman" w:hAnsi="Times New Roman" w:cs="Times New Roman"/>
        </w:rPr>
        <w:t xml:space="preserve">)— </w:t>
      </w:r>
    </w:p>
    <w:p w:rsidR="007A322C" w:rsidRPr="00A464BC" w:rsidRDefault="007A322C" w:rsidP="007A322C">
      <w:pPr>
        <w:pStyle w:val="ListParagraph"/>
        <w:autoSpaceDE w:val="0"/>
        <w:autoSpaceDN w:val="0"/>
        <w:adjustRightInd w:val="0"/>
        <w:spacing w:after="0" w:line="240" w:lineRule="auto"/>
        <w:ind w:left="2880" w:hanging="720"/>
        <w:jc w:val="both"/>
        <w:rPr>
          <w:rFonts w:ascii="Times New Roman" w:hAnsi="Times New Roman" w:cs="Times New Roman"/>
        </w:rPr>
      </w:pPr>
      <w:r w:rsidRPr="00A464BC">
        <w:rPr>
          <w:rFonts w:ascii="Times New Roman" w:hAnsi="Times New Roman" w:cs="Times New Roman"/>
        </w:rPr>
        <w:t xml:space="preserve">(i) </w:t>
      </w:r>
      <w:r w:rsidRPr="00A464BC">
        <w:rPr>
          <w:rFonts w:ascii="Times New Roman" w:hAnsi="Times New Roman" w:cs="Times New Roman"/>
        </w:rPr>
        <w:tab/>
        <w:t>on buildings</w:t>
      </w:r>
      <w:r w:rsidRPr="00A464BC">
        <w:rPr>
          <w:rFonts w:ascii="Times New Roman" w:hAnsi="Times New Roman" w:cs="Times New Roman"/>
          <w:u w:val="single"/>
        </w:rPr>
        <w:t>, works</w:t>
      </w:r>
      <w:r w:rsidRPr="00A464BC">
        <w:rPr>
          <w:rFonts w:ascii="Times New Roman" w:hAnsi="Times New Roman" w:cs="Times New Roman"/>
        </w:rPr>
        <w:t xml:space="preserve"> or equipment,</w:t>
      </w:r>
      <w:r w:rsidR="00533319" w:rsidRPr="00A464BC">
        <w:rPr>
          <w:rFonts w:ascii="Times New Roman" w:hAnsi="Times New Roman" w:cs="Times New Roman"/>
        </w:rPr>
        <w:t>….</w:t>
      </w:r>
      <w:r w:rsidRPr="00A464BC">
        <w:rPr>
          <w:rFonts w:ascii="Times New Roman" w:hAnsi="Times New Roman" w:cs="Times New Roman"/>
        </w:rPr>
        <w:t xml:space="preserve">.. </w:t>
      </w:r>
    </w:p>
    <w:p w:rsidR="007A322C" w:rsidRPr="00A464BC" w:rsidRDefault="007A322C" w:rsidP="007A322C">
      <w:pPr>
        <w:autoSpaceDE w:val="0"/>
        <w:autoSpaceDN w:val="0"/>
        <w:adjustRightInd w:val="0"/>
        <w:spacing w:after="0" w:line="240" w:lineRule="auto"/>
        <w:ind w:left="1440" w:firstLine="720"/>
        <w:jc w:val="both"/>
        <w:rPr>
          <w:rFonts w:ascii="Times New Roman" w:hAnsi="Times New Roman" w:cs="Times New Roman"/>
        </w:rPr>
      </w:pPr>
      <w:r w:rsidRPr="00A464BC">
        <w:rPr>
          <w:rFonts w:ascii="Times New Roman" w:hAnsi="Times New Roman" w:cs="Times New Roman"/>
        </w:rPr>
        <w:t xml:space="preserve">(ii) </w:t>
      </w:r>
      <w:r w:rsidRPr="00A464BC">
        <w:rPr>
          <w:rFonts w:ascii="Times New Roman" w:hAnsi="Times New Roman" w:cs="Times New Roman"/>
        </w:rPr>
        <w:tab/>
        <w:t>on shaft sinking;</w:t>
      </w:r>
    </w:p>
    <w:p w:rsidR="007A322C" w:rsidRPr="00A464BC" w:rsidRDefault="007A322C" w:rsidP="007A322C">
      <w:pPr>
        <w:autoSpaceDE w:val="0"/>
        <w:autoSpaceDN w:val="0"/>
        <w:adjustRightInd w:val="0"/>
        <w:spacing w:after="0" w:line="240" w:lineRule="auto"/>
        <w:ind w:left="2880" w:hanging="720"/>
        <w:jc w:val="both"/>
        <w:rPr>
          <w:rFonts w:ascii="Times New Roman" w:hAnsi="Times New Roman" w:cs="Times New Roman"/>
        </w:rPr>
      </w:pPr>
      <w:r w:rsidRPr="00A464BC">
        <w:rPr>
          <w:rFonts w:ascii="Times New Roman" w:hAnsi="Times New Roman" w:cs="Times New Roman"/>
        </w:rPr>
        <w:t>(iii)</w:t>
      </w:r>
      <w:r w:rsidRPr="00A464BC">
        <w:rPr>
          <w:rFonts w:ascii="Times New Roman" w:hAnsi="Times New Roman" w:cs="Times New Roman"/>
        </w:rPr>
        <w:tab/>
        <w:t>incurred prior to the commencement of production or during any period of non</w:t>
      </w:r>
      <w:r w:rsidR="0012163E" w:rsidRPr="00A464BC">
        <w:rPr>
          <w:rFonts w:ascii="Times New Roman" w:hAnsi="Times New Roman" w:cs="Times New Roman"/>
        </w:rPr>
        <w:t>-</w:t>
      </w:r>
      <w:r w:rsidRPr="00A464BC">
        <w:rPr>
          <w:rFonts w:ascii="Times New Roman" w:hAnsi="Times New Roman" w:cs="Times New Roman"/>
        </w:rPr>
        <w:t xml:space="preserve">production on preliminary surveys, bore-holes, </w:t>
      </w:r>
      <w:r w:rsidRPr="00A464BC">
        <w:rPr>
          <w:rFonts w:ascii="Times New Roman" w:hAnsi="Times New Roman" w:cs="Times New Roman"/>
          <w:u w:val="single"/>
        </w:rPr>
        <w:t>development</w:t>
      </w:r>
      <w:r w:rsidRPr="00A464BC">
        <w:rPr>
          <w:rFonts w:ascii="Times New Roman" w:hAnsi="Times New Roman" w:cs="Times New Roman"/>
        </w:rPr>
        <w:t>, general administration and management, including any interest payable on loans utilized for mining purposes;”</w:t>
      </w:r>
    </w:p>
    <w:p w:rsidR="002C1821" w:rsidRPr="00A464BC" w:rsidRDefault="002C1821" w:rsidP="00AC33E7">
      <w:pPr>
        <w:jc w:val="both"/>
        <w:rPr>
          <w:rFonts w:ascii="Times New Roman" w:hAnsi="Times New Roman" w:cs="Times New Roman"/>
        </w:rPr>
      </w:pPr>
    </w:p>
    <w:p w:rsidR="009C2EBB" w:rsidRDefault="00A310AF" w:rsidP="00A464B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Capital expe</w:t>
      </w:r>
      <w:r w:rsidR="004B6427">
        <w:rPr>
          <w:rFonts w:ascii="Times New Roman" w:hAnsi="Times New Roman" w:cs="Times New Roman"/>
          <w:sz w:val="24"/>
          <w:szCs w:val="24"/>
        </w:rPr>
        <w:t xml:space="preserve">nditure as defined in the above </w:t>
      </w:r>
      <w:r>
        <w:rPr>
          <w:rFonts w:ascii="Times New Roman" w:hAnsi="Times New Roman" w:cs="Times New Roman"/>
          <w:sz w:val="24"/>
          <w:szCs w:val="24"/>
        </w:rPr>
        <w:t>subparagraph encompasses the costs incurred in mining operations</w:t>
      </w:r>
      <w:r w:rsidR="00580240">
        <w:rPr>
          <w:rFonts w:ascii="Times New Roman" w:hAnsi="Times New Roman" w:cs="Times New Roman"/>
          <w:sz w:val="24"/>
          <w:szCs w:val="24"/>
        </w:rPr>
        <w:t xml:space="preserve"> before the commencement of production or during any period of non-produ</w:t>
      </w:r>
      <w:r w:rsidR="0079341E">
        <w:rPr>
          <w:rFonts w:ascii="Times New Roman" w:hAnsi="Times New Roman" w:cs="Times New Roman"/>
          <w:sz w:val="24"/>
          <w:szCs w:val="24"/>
        </w:rPr>
        <w:t xml:space="preserve">ction, </w:t>
      </w:r>
      <w:r w:rsidR="0079341E">
        <w:rPr>
          <w:rFonts w:ascii="Times New Roman" w:hAnsi="Times New Roman" w:cs="Times New Roman"/>
          <w:i/>
          <w:sz w:val="24"/>
          <w:szCs w:val="24"/>
        </w:rPr>
        <w:t xml:space="preserve">inter alia, </w:t>
      </w:r>
      <w:r w:rsidR="0079341E" w:rsidRPr="0079341E">
        <w:rPr>
          <w:rFonts w:ascii="Times New Roman" w:hAnsi="Times New Roman" w:cs="Times New Roman"/>
          <w:sz w:val="24"/>
          <w:szCs w:val="24"/>
        </w:rPr>
        <w:t xml:space="preserve">of </w:t>
      </w:r>
      <w:r w:rsidR="00580240" w:rsidRPr="0079341E">
        <w:rPr>
          <w:rFonts w:ascii="Times New Roman" w:hAnsi="Times New Roman" w:cs="Times New Roman"/>
          <w:sz w:val="24"/>
          <w:szCs w:val="24"/>
        </w:rPr>
        <w:t>d</w:t>
      </w:r>
      <w:r w:rsidR="00580240">
        <w:rPr>
          <w:rFonts w:ascii="Times New Roman" w:hAnsi="Times New Roman" w:cs="Times New Roman"/>
          <w:sz w:val="24"/>
          <w:szCs w:val="24"/>
        </w:rPr>
        <w:t xml:space="preserve">evelopment. It also covers the cost of works and shaft sinking </w:t>
      </w:r>
      <w:r w:rsidR="00580240">
        <w:rPr>
          <w:rFonts w:ascii="Times New Roman" w:hAnsi="Times New Roman" w:cs="Times New Roman"/>
          <w:sz w:val="24"/>
          <w:szCs w:val="24"/>
        </w:rPr>
        <w:lastRenderedPageBreak/>
        <w:t>in relation to mining operations.</w:t>
      </w:r>
      <w:r w:rsidR="00B05357">
        <w:rPr>
          <w:rFonts w:ascii="Times New Roman" w:hAnsi="Times New Roman" w:cs="Times New Roman"/>
          <w:sz w:val="24"/>
          <w:szCs w:val="24"/>
        </w:rPr>
        <w:t xml:space="preserve"> </w:t>
      </w:r>
      <w:r w:rsidR="00182EFB">
        <w:rPr>
          <w:rFonts w:ascii="Times New Roman" w:hAnsi="Times New Roman" w:cs="Times New Roman"/>
          <w:sz w:val="24"/>
          <w:szCs w:val="24"/>
        </w:rPr>
        <w:t xml:space="preserve">Mr </w:t>
      </w:r>
      <w:r w:rsidR="00182EFB" w:rsidRPr="00E559B9">
        <w:rPr>
          <w:rFonts w:ascii="Times New Roman" w:hAnsi="Times New Roman" w:cs="Times New Roman"/>
          <w:i/>
          <w:sz w:val="24"/>
          <w:szCs w:val="24"/>
        </w:rPr>
        <w:t>Bhebhe</w:t>
      </w:r>
      <w:r w:rsidR="00182EFB">
        <w:rPr>
          <w:rFonts w:ascii="Times New Roman" w:hAnsi="Times New Roman" w:cs="Times New Roman"/>
          <w:sz w:val="24"/>
          <w:szCs w:val="24"/>
        </w:rPr>
        <w:t xml:space="preserve"> </w:t>
      </w:r>
      <w:r w:rsidR="0079341E">
        <w:rPr>
          <w:rFonts w:ascii="Times New Roman" w:hAnsi="Times New Roman" w:cs="Times New Roman"/>
          <w:sz w:val="24"/>
          <w:szCs w:val="24"/>
        </w:rPr>
        <w:t xml:space="preserve">pinned his colours to the mast of sub-para (iii) of para 1 (1) (a) </w:t>
      </w:r>
      <w:r w:rsidR="004B6427">
        <w:rPr>
          <w:rFonts w:ascii="Times New Roman" w:hAnsi="Times New Roman" w:cs="Times New Roman"/>
          <w:sz w:val="24"/>
          <w:szCs w:val="24"/>
        </w:rPr>
        <w:t xml:space="preserve">of the Fifth Schedule </w:t>
      </w:r>
      <w:r w:rsidR="0079341E">
        <w:rPr>
          <w:rFonts w:ascii="Times New Roman" w:hAnsi="Times New Roman" w:cs="Times New Roman"/>
          <w:sz w:val="24"/>
          <w:szCs w:val="24"/>
        </w:rPr>
        <w:t xml:space="preserve">for the contention that the removal of overburden constituted a period before the commencement of production. One of the many </w:t>
      </w:r>
      <w:r w:rsidR="004B6427">
        <w:rPr>
          <w:rFonts w:ascii="Times New Roman" w:hAnsi="Times New Roman" w:cs="Times New Roman"/>
          <w:sz w:val="24"/>
          <w:szCs w:val="24"/>
        </w:rPr>
        <w:t>permutations of production enumerated</w:t>
      </w:r>
      <w:r w:rsidR="0079341E">
        <w:rPr>
          <w:rFonts w:ascii="Times New Roman" w:hAnsi="Times New Roman" w:cs="Times New Roman"/>
          <w:sz w:val="24"/>
          <w:szCs w:val="24"/>
        </w:rPr>
        <w:t xml:space="preserve"> in the </w:t>
      </w:r>
      <w:r w:rsidR="0079341E">
        <w:rPr>
          <w:rFonts w:ascii="Times New Roman" w:hAnsi="Times New Roman" w:cs="Times New Roman"/>
          <w:i/>
          <w:sz w:val="24"/>
          <w:szCs w:val="24"/>
        </w:rPr>
        <w:t>Shorter Oxford Dictionary</w:t>
      </w:r>
      <w:r w:rsidR="0079341E">
        <w:rPr>
          <w:rFonts w:ascii="Times New Roman" w:hAnsi="Times New Roman" w:cs="Times New Roman"/>
          <w:sz w:val="24"/>
          <w:szCs w:val="24"/>
        </w:rPr>
        <w:t xml:space="preserve"> is to “bring a thing into existence</w:t>
      </w:r>
      <w:r w:rsidR="009C2EBB">
        <w:rPr>
          <w:rFonts w:ascii="Times New Roman" w:hAnsi="Times New Roman" w:cs="Times New Roman"/>
          <w:sz w:val="24"/>
          <w:szCs w:val="24"/>
        </w:rPr>
        <w:t xml:space="preserve"> from its raw materials or elements.” The same dictionary defines development as “bringing forth a latent or </w:t>
      </w:r>
      <w:r w:rsidR="004B6427">
        <w:rPr>
          <w:rFonts w:ascii="Times New Roman" w:hAnsi="Times New Roman" w:cs="Times New Roman"/>
          <w:sz w:val="24"/>
          <w:szCs w:val="24"/>
        </w:rPr>
        <w:t>elementary condition”. These two</w:t>
      </w:r>
      <w:r w:rsidR="0016055E">
        <w:rPr>
          <w:rFonts w:ascii="Times New Roman" w:hAnsi="Times New Roman" w:cs="Times New Roman"/>
          <w:sz w:val="24"/>
          <w:szCs w:val="24"/>
        </w:rPr>
        <w:t xml:space="preserve"> definitions aptly describe</w:t>
      </w:r>
      <w:r w:rsidR="009C2EBB">
        <w:rPr>
          <w:rFonts w:ascii="Times New Roman" w:hAnsi="Times New Roman" w:cs="Times New Roman"/>
          <w:sz w:val="24"/>
          <w:szCs w:val="24"/>
        </w:rPr>
        <w:t xml:space="preserve"> the process of removing overburden in relation to the mining of limestone. The removal of overburden is done to expose the limestone in order to bring it out in its natural state.</w:t>
      </w:r>
      <w:r w:rsidR="002C1821">
        <w:rPr>
          <w:rFonts w:ascii="Times New Roman" w:hAnsi="Times New Roman" w:cs="Times New Roman"/>
          <w:sz w:val="24"/>
          <w:szCs w:val="24"/>
        </w:rPr>
        <w:t xml:space="preserve"> Again, the removal of overburden constitutes “works” defined in the same dictionary as “something that is or was done, actions involving effort”. </w:t>
      </w:r>
      <w:r w:rsidR="005E417E">
        <w:rPr>
          <w:rFonts w:ascii="Times New Roman" w:hAnsi="Times New Roman" w:cs="Times New Roman"/>
          <w:sz w:val="24"/>
          <w:szCs w:val="24"/>
        </w:rPr>
        <w:t>A reading of the “Geomining Quarry Block Modelling, Reserve Calculation and Mining Plan</w:t>
      </w:r>
      <w:r w:rsidR="005E417E">
        <w:rPr>
          <w:rStyle w:val="FootnoteReference"/>
          <w:rFonts w:ascii="Times New Roman" w:hAnsi="Times New Roman" w:cs="Times New Roman"/>
          <w:sz w:val="24"/>
          <w:szCs w:val="24"/>
        </w:rPr>
        <w:footnoteReference w:id="5"/>
      </w:r>
      <w:r w:rsidR="00DF1F02">
        <w:rPr>
          <w:rFonts w:ascii="Times New Roman" w:hAnsi="Times New Roman" w:cs="Times New Roman"/>
          <w:sz w:val="24"/>
          <w:szCs w:val="24"/>
        </w:rPr>
        <w:t>”,</w:t>
      </w:r>
      <w:r w:rsidR="00A71C76">
        <w:rPr>
          <w:rFonts w:ascii="Times New Roman" w:hAnsi="Times New Roman" w:cs="Times New Roman"/>
          <w:sz w:val="24"/>
          <w:szCs w:val="24"/>
        </w:rPr>
        <w:t xml:space="preserve"> produced into evidence </w:t>
      </w:r>
      <w:r w:rsidR="0065152C">
        <w:rPr>
          <w:rFonts w:ascii="Times New Roman" w:hAnsi="Times New Roman" w:cs="Times New Roman"/>
          <w:sz w:val="24"/>
          <w:szCs w:val="24"/>
        </w:rPr>
        <w:t>by the appellant</w:t>
      </w:r>
      <w:r w:rsidR="00DF1F02">
        <w:rPr>
          <w:rFonts w:ascii="Times New Roman" w:hAnsi="Times New Roman" w:cs="Times New Roman"/>
          <w:sz w:val="24"/>
          <w:szCs w:val="24"/>
        </w:rPr>
        <w:t>,</w:t>
      </w:r>
      <w:r w:rsidR="0065152C">
        <w:rPr>
          <w:rFonts w:ascii="Times New Roman" w:hAnsi="Times New Roman" w:cs="Times New Roman"/>
          <w:sz w:val="24"/>
          <w:szCs w:val="24"/>
        </w:rPr>
        <w:t xml:space="preserve"> </w:t>
      </w:r>
      <w:r w:rsidR="00A71C76">
        <w:rPr>
          <w:rFonts w:ascii="Times New Roman" w:hAnsi="Times New Roman" w:cs="Times New Roman"/>
          <w:sz w:val="24"/>
          <w:szCs w:val="24"/>
        </w:rPr>
        <w:t xml:space="preserve">leaves no doubt in my mind that the removal of overburden constituted the type of works or development envisaged in the definition of capital expenditure in para 1 (1) (a) of the Fifth Schedule. </w:t>
      </w:r>
      <w:r w:rsidR="005E417E">
        <w:rPr>
          <w:rFonts w:ascii="Times New Roman" w:hAnsi="Times New Roman" w:cs="Times New Roman"/>
          <w:sz w:val="24"/>
          <w:szCs w:val="24"/>
        </w:rPr>
        <w:t xml:space="preserve"> </w:t>
      </w:r>
      <w:r w:rsidR="00A71C76">
        <w:rPr>
          <w:rFonts w:ascii="Times New Roman" w:hAnsi="Times New Roman" w:cs="Times New Roman"/>
          <w:sz w:val="24"/>
          <w:szCs w:val="24"/>
        </w:rPr>
        <w:t xml:space="preserve">I have already equated it to shaft sinking; the expenses of which are precluded from deduction.  </w:t>
      </w:r>
      <w:r w:rsidR="002C1821">
        <w:rPr>
          <w:rFonts w:ascii="Times New Roman" w:hAnsi="Times New Roman" w:cs="Times New Roman"/>
          <w:sz w:val="24"/>
          <w:szCs w:val="24"/>
        </w:rPr>
        <w:t xml:space="preserve">I, therefore, agree with Mr </w:t>
      </w:r>
      <w:r w:rsidR="002C1821" w:rsidRPr="00A464BC">
        <w:rPr>
          <w:rFonts w:ascii="Times New Roman" w:hAnsi="Times New Roman" w:cs="Times New Roman"/>
          <w:i/>
          <w:sz w:val="24"/>
          <w:szCs w:val="24"/>
        </w:rPr>
        <w:t>Bhebhe</w:t>
      </w:r>
      <w:r w:rsidR="002C1821">
        <w:rPr>
          <w:rFonts w:ascii="Times New Roman" w:hAnsi="Times New Roman" w:cs="Times New Roman"/>
          <w:sz w:val="24"/>
          <w:szCs w:val="24"/>
        </w:rPr>
        <w:t xml:space="preserve"> that</w:t>
      </w:r>
      <w:r w:rsidR="00DF1F02">
        <w:rPr>
          <w:rFonts w:ascii="Times New Roman" w:hAnsi="Times New Roman" w:cs="Times New Roman"/>
          <w:sz w:val="24"/>
          <w:szCs w:val="24"/>
        </w:rPr>
        <w:t>,</w:t>
      </w:r>
      <w:r w:rsidR="002C1821">
        <w:rPr>
          <w:rFonts w:ascii="Times New Roman" w:hAnsi="Times New Roman" w:cs="Times New Roman"/>
          <w:sz w:val="24"/>
          <w:szCs w:val="24"/>
        </w:rPr>
        <w:t xml:space="preserve"> the expenses incurred in the removal of overburden fall into the category of costs that a taxpayer is precluded from deducting by the second portion of b (ii) of my formulation. </w:t>
      </w:r>
    </w:p>
    <w:p w:rsidR="00DF1F02" w:rsidRDefault="002C1821" w:rsidP="00DF1F0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Accordingly, the Commissioner correctly disallowed the deduction of the amortised quarry development costs</w:t>
      </w:r>
      <w:r w:rsidR="00B23DFC">
        <w:rPr>
          <w:rFonts w:ascii="Times New Roman" w:hAnsi="Times New Roman" w:cs="Times New Roman"/>
          <w:sz w:val="24"/>
          <w:szCs w:val="24"/>
        </w:rPr>
        <w:t xml:space="preserve"> of US$ 3 782 791 claimed by the </w:t>
      </w:r>
      <w:r w:rsidR="00F90FAA">
        <w:rPr>
          <w:rFonts w:ascii="Times New Roman" w:hAnsi="Times New Roman" w:cs="Times New Roman"/>
          <w:sz w:val="24"/>
          <w:szCs w:val="24"/>
        </w:rPr>
        <w:t>appellant in the 2013 tax year.</w:t>
      </w:r>
    </w:p>
    <w:p w:rsidR="00AC33E7" w:rsidRPr="00DF1F02" w:rsidRDefault="00AC33E7" w:rsidP="00DF1F02">
      <w:pPr>
        <w:spacing w:after="0" w:line="480" w:lineRule="auto"/>
        <w:jc w:val="both"/>
        <w:rPr>
          <w:rFonts w:ascii="Times New Roman" w:hAnsi="Times New Roman" w:cs="Times New Roman"/>
          <w:sz w:val="24"/>
          <w:szCs w:val="24"/>
        </w:rPr>
      </w:pPr>
      <w:r w:rsidRPr="00AC33E7">
        <w:rPr>
          <w:rFonts w:ascii="Times New Roman" w:hAnsi="Times New Roman" w:cs="Times New Roman"/>
          <w:i/>
          <w:sz w:val="24"/>
          <w:szCs w:val="24"/>
        </w:rPr>
        <w:t>Was appellant entitled to a capital allowance in respect of the costs of computer software?</w:t>
      </w:r>
    </w:p>
    <w:p w:rsidR="00F87D03" w:rsidRDefault="00A63654" w:rsidP="0021487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appellant claimed special capital allowances in respect of the costs of computer software incurred in the 2011, 2012 and 2013 tax years in the sum of US$10 000, US$ 20 090 and US$ 6 372, respectively. </w:t>
      </w:r>
      <w:r w:rsidR="00352344">
        <w:rPr>
          <w:rFonts w:ascii="Times New Roman" w:hAnsi="Times New Roman" w:cs="Times New Roman"/>
          <w:sz w:val="24"/>
          <w:szCs w:val="24"/>
        </w:rPr>
        <w:t xml:space="preserve"> The appellant relied on my decision in </w:t>
      </w:r>
      <w:r w:rsidR="00352344" w:rsidRPr="00352344">
        <w:rPr>
          <w:rFonts w:ascii="Times New Roman" w:hAnsi="Times New Roman" w:cs="Times New Roman"/>
          <w:i/>
          <w:sz w:val="24"/>
          <w:szCs w:val="24"/>
        </w:rPr>
        <w:t xml:space="preserve">D Bank Ltd </w:t>
      </w:r>
      <w:r w:rsidR="00352344" w:rsidRPr="00A464BC">
        <w:rPr>
          <w:rFonts w:ascii="Times New Roman" w:hAnsi="Times New Roman" w:cs="Times New Roman"/>
          <w:sz w:val="24"/>
          <w:szCs w:val="24"/>
        </w:rPr>
        <w:t>v</w:t>
      </w:r>
      <w:r w:rsidR="00352344" w:rsidRPr="00352344">
        <w:rPr>
          <w:rFonts w:ascii="Times New Roman" w:hAnsi="Times New Roman" w:cs="Times New Roman"/>
          <w:i/>
          <w:sz w:val="24"/>
          <w:szCs w:val="24"/>
        </w:rPr>
        <w:t xml:space="preserve"> Zimbabwe Revenue Authority </w:t>
      </w:r>
      <w:r w:rsidR="00352344" w:rsidRPr="00352344">
        <w:rPr>
          <w:rFonts w:ascii="Times New Roman" w:hAnsi="Times New Roman" w:cs="Times New Roman"/>
          <w:sz w:val="24"/>
          <w:szCs w:val="24"/>
        </w:rPr>
        <w:t>2015 (1) ZLR 176</w:t>
      </w:r>
      <w:r w:rsidR="00E958CC">
        <w:rPr>
          <w:rFonts w:ascii="Times New Roman" w:hAnsi="Times New Roman" w:cs="Times New Roman"/>
          <w:sz w:val="24"/>
          <w:szCs w:val="24"/>
        </w:rPr>
        <w:t xml:space="preserve">, where I held that the taxpayer was entitled to the deduction of special initial allowance on computer software. </w:t>
      </w:r>
      <w:r w:rsidR="00352344">
        <w:rPr>
          <w:rFonts w:ascii="Times New Roman" w:hAnsi="Times New Roman" w:cs="Times New Roman"/>
          <w:sz w:val="24"/>
          <w:szCs w:val="24"/>
        </w:rPr>
        <w:t>The Commissioner took the decision on appeal</w:t>
      </w:r>
      <w:r w:rsidR="00F87D03">
        <w:rPr>
          <w:rFonts w:ascii="Times New Roman" w:hAnsi="Times New Roman" w:cs="Times New Roman"/>
          <w:sz w:val="24"/>
          <w:szCs w:val="24"/>
        </w:rPr>
        <w:t xml:space="preserve"> in</w:t>
      </w:r>
      <w:r w:rsidR="00E958CC">
        <w:rPr>
          <w:rFonts w:ascii="Times New Roman" w:hAnsi="Times New Roman" w:cs="Times New Roman"/>
          <w:sz w:val="24"/>
          <w:szCs w:val="24"/>
        </w:rPr>
        <w:t xml:space="preserve"> </w:t>
      </w:r>
      <w:r w:rsidR="00E958CC" w:rsidRPr="00E958CC">
        <w:rPr>
          <w:rFonts w:ascii="Times New Roman" w:hAnsi="Times New Roman" w:cs="Times New Roman"/>
          <w:i/>
          <w:sz w:val="24"/>
          <w:szCs w:val="24"/>
        </w:rPr>
        <w:t xml:space="preserve">Zimbabwe Revenue Authority </w:t>
      </w:r>
      <w:r w:rsidR="00E958CC" w:rsidRPr="00A464BC">
        <w:rPr>
          <w:rFonts w:ascii="Times New Roman" w:hAnsi="Times New Roman" w:cs="Times New Roman"/>
          <w:sz w:val="24"/>
          <w:szCs w:val="24"/>
        </w:rPr>
        <w:t>v</w:t>
      </w:r>
      <w:r w:rsidR="00E958CC" w:rsidRPr="00E958CC">
        <w:rPr>
          <w:rFonts w:ascii="Times New Roman" w:hAnsi="Times New Roman" w:cs="Times New Roman"/>
          <w:i/>
          <w:sz w:val="24"/>
          <w:szCs w:val="24"/>
        </w:rPr>
        <w:t xml:space="preserve"> Stanbic Bank Zimbabwe Ltd</w:t>
      </w:r>
      <w:r w:rsidR="00E958CC">
        <w:rPr>
          <w:rFonts w:ascii="Times New Roman" w:hAnsi="Times New Roman" w:cs="Times New Roman"/>
          <w:sz w:val="24"/>
          <w:szCs w:val="24"/>
        </w:rPr>
        <w:t xml:space="preserve"> SC 13/2019</w:t>
      </w:r>
      <w:r w:rsidR="00E958CC">
        <w:rPr>
          <w:rFonts w:ascii="Times New Roman" w:hAnsi="Times New Roman" w:cs="Times New Roman"/>
          <w:b/>
          <w:sz w:val="24"/>
          <w:szCs w:val="24"/>
        </w:rPr>
        <w:t xml:space="preserve">, </w:t>
      </w:r>
      <w:r w:rsidR="00352344">
        <w:rPr>
          <w:rFonts w:ascii="Times New Roman" w:hAnsi="Times New Roman" w:cs="Times New Roman"/>
          <w:sz w:val="24"/>
          <w:szCs w:val="24"/>
        </w:rPr>
        <w:t xml:space="preserve">where he successfully argued that </w:t>
      </w:r>
      <w:r w:rsidR="00BF040C">
        <w:rPr>
          <w:rFonts w:ascii="Times New Roman" w:hAnsi="Times New Roman" w:cs="Times New Roman"/>
          <w:sz w:val="24"/>
          <w:szCs w:val="24"/>
        </w:rPr>
        <w:t xml:space="preserve">para 2 (c) of the Fourth Schedule to </w:t>
      </w:r>
      <w:r w:rsidR="00352344">
        <w:rPr>
          <w:rFonts w:ascii="Times New Roman" w:hAnsi="Times New Roman" w:cs="Times New Roman"/>
          <w:sz w:val="24"/>
          <w:szCs w:val="24"/>
        </w:rPr>
        <w:t>the Income Tax Act</w:t>
      </w:r>
      <w:r w:rsidR="009F00B9">
        <w:rPr>
          <w:rFonts w:ascii="Times New Roman" w:hAnsi="Times New Roman" w:cs="Times New Roman"/>
          <w:sz w:val="24"/>
          <w:szCs w:val="24"/>
        </w:rPr>
        <w:t>,</w:t>
      </w:r>
      <w:r w:rsidR="00352344">
        <w:rPr>
          <w:rFonts w:ascii="Times New Roman" w:hAnsi="Times New Roman" w:cs="Times New Roman"/>
          <w:sz w:val="24"/>
          <w:szCs w:val="24"/>
        </w:rPr>
        <w:t xml:space="preserve"> as worded before the amendment</w:t>
      </w:r>
      <w:r w:rsidR="00CD7AEB">
        <w:rPr>
          <w:rFonts w:ascii="Times New Roman" w:hAnsi="Times New Roman" w:cs="Times New Roman"/>
          <w:sz w:val="24"/>
          <w:szCs w:val="24"/>
        </w:rPr>
        <w:t xml:space="preserve"> brought about by s 13</w:t>
      </w:r>
      <w:r w:rsidR="00127E61">
        <w:rPr>
          <w:rFonts w:ascii="Times New Roman" w:hAnsi="Times New Roman" w:cs="Times New Roman"/>
          <w:sz w:val="24"/>
          <w:szCs w:val="24"/>
        </w:rPr>
        <w:t xml:space="preserve"> the</w:t>
      </w:r>
      <w:r w:rsidR="00F92516">
        <w:rPr>
          <w:rFonts w:ascii="Times New Roman" w:hAnsi="Times New Roman" w:cs="Times New Roman"/>
          <w:sz w:val="24"/>
          <w:szCs w:val="24"/>
        </w:rPr>
        <w:t xml:space="preserve"> Finance Act (No. 3)</w:t>
      </w:r>
      <w:r w:rsidR="00127E61" w:rsidRPr="004668A2">
        <w:rPr>
          <w:rFonts w:ascii="Times New Roman" w:hAnsi="Times New Roman" w:cs="Times New Roman"/>
          <w:sz w:val="24"/>
          <w:szCs w:val="24"/>
        </w:rPr>
        <w:t xml:space="preserve"> of 2014</w:t>
      </w:r>
      <w:r w:rsidR="00E958CC">
        <w:rPr>
          <w:rFonts w:ascii="Times New Roman" w:hAnsi="Times New Roman" w:cs="Times New Roman"/>
          <w:sz w:val="24"/>
          <w:szCs w:val="24"/>
        </w:rPr>
        <w:t>,</w:t>
      </w:r>
      <w:r w:rsidR="00127E61">
        <w:rPr>
          <w:rFonts w:ascii="Times New Roman" w:hAnsi="Times New Roman" w:cs="Times New Roman"/>
          <w:sz w:val="24"/>
          <w:szCs w:val="24"/>
        </w:rPr>
        <w:t xml:space="preserve"> which took effect on 1 January 2015</w:t>
      </w:r>
      <w:r w:rsidR="005345B5">
        <w:rPr>
          <w:rFonts w:ascii="Times New Roman" w:hAnsi="Times New Roman" w:cs="Times New Roman"/>
          <w:sz w:val="24"/>
          <w:szCs w:val="24"/>
        </w:rPr>
        <w:t>,</w:t>
      </w:r>
      <w:r w:rsidR="00127E61">
        <w:rPr>
          <w:rFonts w:ascii="Times New Roman" w:hAnsi="Times New Roman" w:cs="Times New Roman"/>
          <w:sz w:val="24"/>
          <w:szCs w:val="24"/>
        </w:rPr>
        <w:t xml:space="preserve"> precluded any claims for special initial allowances on computer software. </w:t>
      </w:r>
    </w:p>
    <w:p w:rsidR="00A63654" w:rsidRDefault="00E958CC" w:rsidP="00B53DEF">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lastRenderedPageBreak/>
        <w:t xml:space="preserve">I, therefore, hold that the appellant improperly claimed for the deductions of the special initial allowances in each of the 3 years </w:t>
      </w:r>
      <w:r w:rsidR="00064667">
        <w:rPr>
          <w:rFonts w:ascii="Times New Roman" w:hAnsi="Times New Roman" w:cs="Times New Roman"/>
          <w:sz w:val="24"/>
          <w:szCs w:val="24"/>
        </w:rPr>
        <w:t xml:space="preserve">in question. </w:t>
      </w:r>
    </w:p>
    <w:p w:rsidR="00076697" w:rsidRDefault="006E7096" w:rsidP="006E7096">
      <w:pPr>
        <w:jc w:val="both"/>
        <w:rPr>
          <w:rFonts w:ascii="Times New Roman" w:hAnsi="Times New Roman" w:cs="Times New Roman"/>
          <w:i/>
          <w:sz w:val="24"/>
          <w:szCs w:val="24"/>
        </w:rPr>
      </w:pPr>
      <w:r w:rsidRPr="006E7096">
        <w:rPr>
          <w:rFonts w:ascii="Times New Roman" w:hAnsi="Times New Roman" w:cs="Times New Roman"/>
          <w:i/>
          <w:sz w:val="24"/>
          <w:szCs w:val="24"/>
        </w:rPr>
        <w:t>Whether or not it was appropriate in the circumstances of this matter for the respondent to impose a penalty at all and if so the quantum thereof?</w:t>
      </w:r>
    </w:p>
    <w:p w:rsidR="00842223" w:rsidRDefault="00842223" w:rsidP="003567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Commissioner imposed a penalty of 60% on the principal tax not paid by the appellant in each of the 5 years in question. I set out the principles that an appeal Court would </w:t>
      </w:r>
      <w:r w:rsidR="008D0A4A">
        <w:rPr>
          <w:rFonts w:ascii="Times New Roman" w:hAnsi="Times New Roman" w:cs="Times New Roman"/>
          <w:sz w:val="24"/>
          <w:szCs w:val="24"/>
        </w:rPr>
        <w:t xml:space="preserve">necessarily consider in assessing </w:t>
      </w:r>
      <w:r>
        <w:rPr>
          <w:rFonts w:ascii="Times New Roman" w:hAnsi="Times New Roman" w:cs="Times New Roman"/>
          <w:sz w:val="24"/>
          <w:szCs w:val="24"/>
        </w:rPr>
        <w:t xml:space="preserve">an appropriate penalty in </w:t>
      </w:r>
      <w:r w:rsidRPr="007E12CF">
        <w:rPr>
          <w:rFonts w:ascii="Times New Roman" w:hAnsi="Times New Roman" w:cs="Times New Roman"/>
          <w:i/>
          <w:sz w:val="24"/>
          <w:szCs w:val="24"/>
        </w:rPr>
        <w:t xml:space="preserve">PL Mines </w:t>
      </w:r>
      <w:r w:rsidRPr="0035670B">
        <w:rPr>
          <w:rFonts w:ascii="Times New Roman" w:hAnsi="Times New Roman" w:cs="Times New Roman"/>
          <w:sz w:val="24"/>
          <w:szCs w:val="24"/>
        </w:rPr>
        <w:t>v</w:t>
      </w:r>
      <w:r w:rsidRPr="007E12CF">
        <w:rPr>
          <w:rFonts w:ascii="Times New Roman" w:hAnsi="Times New Roman" w:cs="Times New Roman"/>
          <w:i/>
          <w:sz w:val="24"/>
          <w:szCs w:val="24"/>
        </w:rPr>
        <w:t xml:space="preserve"> Zimbabwe Revenue Authority</w:t>
      </w:r>
      <w:r>
        <w:rPr>
          <w:rFonts w:ascii="Times New Roman" w:hAnsi="Times New Roman" w:cs="Times New Roman"/>
          <w:sz w:val="24"/>
          <w:szCs w:val="24"/>
        </w:rPr>
        <w:t xml:space="preserve"> </w:t>
      </w:r>
      <w:r w:rsidR="007E12CF">
        <w:rPr>
          <w:rFonts w:ascii="Times New Roman" w:hAnsi="Times New Roman" w:cs="Times New Roman"/>
          <w:sz w:val="24"/>
          <w:szCs w:val="24"/>
        </w:rPr>
        <w:t xml:space="preserve">2015 (1) ZLR 708. </w:t>
      </w:r>
      <w:r w:rsidR="008D0A4A">
        <w:rPr>
          <w:rFonts w:ascii="Times New Roman" w:hAnsi="Times New Roman" w:cs="Times New Roman"/>
          <w:sz w:val="24"/>
          <w:szCs w:val="24"/>
        </w:rPr>
        <w:t xml:space="preserve">I held that the Court would have to consider the triad of the offender, the offence and the interests of society. </w:t>
      </w:r>
    </w:p>
    <w:p w:rsidR="008D0A4A" w:rsidRDefault="008D0A4A" w:rsidP="003567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present matter, the Commissioner averred that he took into account some of the issues raised on appeal by the appellant, when he disallowed the objection on penalties. These pertained to the full disclosure and co-operation exhibited by the appellant during the investigations. </w:t>
      </w:r>
    </w:p>
    <w:p w:rsidR="00867384" w:rsidRDefault="008D0A4A" w:rsidP="003567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were admitted instances </w:t>
      </w:r>
      <w:r w:rsidR="000D4D1D">
        <w:rPr>
          <w:rFonts w:ascii="Times New Roman" w:hAnsi="Times New Roman" w:cs="Times New Roman"/>
          <w:sz w:val="24"/>
          <w:szCs w:val="24"/>
        </w:rPr>
        <w:t>of</w:t>
      </w:r>
      <w:r>
        <w:rPr>
          <w:rFonts w:ascii="Times New Roman" w:hAnsi="Times New Roman" w:cs="Times New Roman"/>
          <w:sz w:val="24"/>
          <w:szCs w:val="24"/>
        </w:rPr>
        <w:t xml:space="preserve"> wrong deductions</w:t>
      </w:r>
      <w:r w:rsidR="000D4D1D">
        <w:rPr>
          <w:rFonts w:ascii="Times New Roman" w:hAnsi="Times New Roman" w:cs="Times New Roman"/>
          <w:sz w:val="24"/>
          <w:szCs w:val="24"/>
        </w:rPr>
        <w:t xml:space="preserve"> made by the appellant</w:t>
      </w:r>
      <w:r w:rsidR="00424F22">
        <w:rPr>
          <w:rFonts w:ascii="Times New Roman" w:hAnsi="Times New Roman" w:cs="Times New Roman"/>
          <w:sz w:val="24"/>
          <w:szCs w:val="24"/>
        </w:rPr>
        <w:t>. I a</w:t>
      </w:r>
      <w:r w:rsidR="000D4D1D">
        <w:rPr>
          <w:rFonts w:ascii="Times New Roman" w:hAnsi="Times New Roman" w:cs="Times New Roman"/>
          <w:sz w:val="24"/>
          <w:szCs w:val="24"/>
        </w:rPr>
        <w:t>lso found that it did so in almost all</w:t>
      </w:r>
      <w:r w:rsidR="00424F22">
        <w:rPr>
          <w:rFonts w:ascii="Times New Roman" w:hAnsi="Times New Roman" w:cs="Times New Roman"/>
          <w:sz w:val="24"/>
          <w:szCs w:val="24"/>
        </w:rPr>
        <w:t xml:space="preserve"> of the instances appealed against.  Such deduction</w:t>
      </w:r>
      <w:r w:rsidR="000D4D1D">
        <w:rPr>
          <w:rFonts w:ascii="Times New Roman" w:hAnsi="Times New Roman" w:cs="Times New Roman"/>
          <w:sz w:val="24"/>
          <w:szCs w:val="24"/>
        </w:rPr>
        <w:t>s are deemed by s 46 (4) of the</w:t>
      </w:r>
      <w:r w:rsidR="00424F22">
        <w:rPr>
          <w:rFonts w:ascii="Times New Roman" w:hAnsi="Times New Roman" w:cs="Times New Roman"/>
          <w:sz w:val="24"/>
          <w:szCs w:val="24"/>
        </w:rPr>
        <w:t xml:space="preserve"> Income Tax Act to be culpable omissions for which a penalty may be imposed. Section 46 (6) of the same Act prescribes the measure of penalties that may be imposed. These range from the maximum dollar for dollar penalty to a complete waiver of penalty. The amount of penalty for an omission depends on whether the taxpayer intended to evade tax. If it did</w:t>
      </w:r>
      <w:r w:rsidR="00867384">
        <w:rPr>
          <w:rFonts w:ascii="Times New Roman" w:hAnsi="Times New Roman" w:cs="Times New Roman"/>
          <w:sz w:val="24"/>
          <w:szCs w:val="24"/>
        </w:rPr>
        <w:t>,</w:t>
      </w:r>
      <w:r w:rsidR="00424F22">
        <w:rPr>
          <w:rFonts w:ascii="Times New Roman" w:hAnsi="Times New Roman" w:cs="Times New Roman"/>
          <w:sz w:val="24"/>
          <w:szCs w:val="24"/>
        </w:rPr>
        <w:t xml:space="preserve"> then the maximum penalty becomes mandatory. </w:t>
      </w:r>
      <w:r w:rsidR="00867384">
        <w:rPr>
          <w:rFonts w:ascii="Times New Roman" w:hAnsi="Times New Roman" w:cs="Times New Roman"/>
          <w:sz w:val="24"/>
          <w:szCs w:val="24"/>
        </w:rPr>
        <w:t xml:space="preserve">If it did not so intend, then the Commissioner and on appeal the Court, has complete and unfettered discretion to impose an appropriate penalty. </w:t>
      </w:r>
    </w:p>
    <w:p w:rsidR="00723E43" w:rsidRDefault="00867384" w:rsidP="003567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this appeal, the appellant raised the same personal circumstan</w:t>
      </w:r>
      <w:r w:rsidR="00C9387B">
        <w:rPr>
          <w:rFonts w:ascii="Times New Roman" w:hAnsi="Times New Roman" w:cs="Times New Roman"/>
          <w:sz w:val="24"/>
          <w:szCs w:val="24"/>
        </w:rPr>
        <w:t>ces that it raised on objection, which the Commissioner took into account in imposing the 60% penalty. In regards to the offences, the appellant did not address how the Court should treat those grounds of appeal it did not object to and those which it did but abandoned on appeal for which the same penalty appealed against was imposed.</w:t>
      </w:r>
      <w:r w:rsidR="00723E43">
        <w:rPr>
          <w:rFonts w:ascii="Times New Roman" w:hAnsi="Times New Roman" w:cs="Times New Roman"/>
          <w:sz w:val="24"/>
          <w:szCs w:val="24"/>
        </w:rPr>
        <w:t xml:space="preserve"> </w:t>
      </w:r>
    </w:p>
    <w:p w:rsidR="008D0A4A" w:rsidRDefault="00150907" w:rsidP="003567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capital allowances</w:t>
      </w:r>
      <w:r w:rsidR="00723E43">
        <w:rPr>
          <w:rFonts w:ascii="Times New Roman" w:hAnsi="Times New Roman" w:cs="Times New Roman"/>
          <w:sz w:val="24"/>
          <w:szCs w:val="24"/>
        </w:rPr>
        <w:t xml:space="preserve"> claimed on the installation of in the XRF </w:t>
      </w:r>
      <w:r w:rsidR="00344B8B">
        <w:rPr>
          <w:rFonts w:ascii="Times New Roman" w:hAnsi="Times New Roman" w:cs="Times New Roman"/>
          <w:sz w:val="24"/>
          <w:szCs w:val="24"/>
        </w:rPr>
        <w:t xml:space="preserve">Panalytical machine </w:t>
      </w:r>
      <w:r w:rsidR="00723E43">
        <w:rPr>
          <w:rFonts w:ascii="Times New Roman" w:hAnsi="Times New Roman" w:cs="Times New Roman"/>
          <w:sz w:val="24"/>
          <w:szCs w:val="24"/>
        </w:rPr>
        <w:t>were in the equal amount of US$ 13 441.71 in the 2009 and 2010 tax years. The failure to retain appropriate invoices justifying the claim raised the moral turpitude of the appellant. The same applied to the abandoned write-off of obsolete spare parts. The appellant sought to deduct the amount, which had already been accounted fo</w:t>
      </w:r>
      <w:r>
        <w:rPr>
          <w:rFonts w:ascii="Times New Roman" w:hAnsi="Times New Roman" w:cs="Times New Roman"/>
          <w:sz w:val="24"/>
          <w:szCs w:val="24"/>
        </w:rPr>
        <w:t>r in its income statement</w:t>
      </w:r>
      <w:r w:rsidR="00723E43">
        <w:rPr>
          <w:rFonts w:ascii="Times New Roman" w:hAnsi="Times New Roman" w:cs="Times New Roman"/>
          <w:sz w:val="24"/>
          <w:szCs w:val="24"/>
        </w:rPr>
        <w:t>. The amounts disallowed in respect of employee</w:t>
      </w:r>
      <w:r w:rsidR="00724F58">
        <w:rPr>
          <w:rFonts w:ascii="Times New Roman" w:hAnsi="Times New Roman" w:cs="Times New Roman"/>
          <w:sz w:val="24"/>
          <w:szCs w:val="24"/>
        </w:rPr>
        <w:t xml:space="preserve"> benefits were in the sum of US$355 558 for 2009, US$ 449 </w:t>
      </w:r>
      <w:r w:rsidR="00724F58">
        <w:rPr>
          <w:rFonts w:ascii="Times New Roman" w:hAnsi="Times New Roman" w:cs="Times New Roman"/>
          <w:sz w:val="24"/>
          <w:szCs w:val="24"/>
        </w:rPr>
        <w:lastRenderedPageBreak/>
        <w:t xml:space="preserve">414 for 2010, US$ 715 352 for 2011, US$ 547 350 for 2012 and US$ 762 501 for 2013. The appellant did not disclose the basis for </w:t>
      </w:r>
      <w:r>
        <w:rPr>
          <w:rFonts w:ascii="Times New Roman" w:hAnsi="Times New Roman" w:cs="Times New Roman"/>
          <w:sz w:val="24"/>
          <w:szCs w:val="24"/>
        </w:rPr>
        <w:t xml:space="preserve">its </w:t>
      </w:r>
      <w:r w:rsidR="00724F58">
        <w:rPr>
          <w:rFonts w:ascii="Times New Roman" w:hAnsi="Times New Roman" w:cs="Times New Roman"/>
          <w:sz w:val="24"/>
          <w:szCs w:val="24"/>
        </w:rPr>
        <w:t>capitulation</w:t>
      </w:r>
      <w:r w:rsidR="002A1775">
        <w:rPr>
          <w:rFonts w:ascii="Times New Roman" w:hAnsi="Times New Roman" w:cs="Times New Roman"/>
          <w:sz w:val="24"/>
          <w:szCs w:val="24"/>
        </w:rPr>
        <w:t xml:space="preserve"> in regards to employee benefits</w:t>
      </w:r>
      <w:r w:rsidR="00724F58">
        <w:rPr>
          <w:rFonts w:ascii="Times New Roman" w:hAnsi="Times New Roman" w:cs="Times New Roman"/>
          <w:sz w:val="24"/>
          <w:szCs w:val="24"/>
        </w:rPr>
        <w:t>. These amou</w:t>
      </w:r>
      <w:r w:rsidR="002A1775">
        <w:rPr>
          <w:rFonts w:ascii="Times New Roman" w:hAnsi="Times New Roman" w:cs="Times New Roman"/>
          <w:sz w:val="24"/>
          <w:szCs w:val="24"/>
        </w:rPr>
        <w:t>nts were relatively high</w:t>
      </w:r>
      <w:r w:rsidR="00724F58">
        <w:rPr>
          <w:rFonts w:ascii="Times New Roman" w:hAnsi="Times New Roman" w:cs="Times New Roman"/>
          <w:sz w:val="24"/>
          <w:szCs w:val="24"/>
        </w:rPr>
        <w:t>. There is an obvious need to personally deter the appellant from attempting t</w:t>
      </w:r>
      <w:r>
        <w:rPr>
          <w:rFonts w:ascii="Times New Roman" w:hAnsi="Times New Roman" w:cs="Times New Roman"/>
          <w:sz w:val="24"/>
          <w:szCs w:val="24"/>
        </w:rPr>
        <w:t>o deprive the fiscus of tax</w:t>
      </w:r>
      <w:r w:rsidR="00BA0AB5">
        <w:rPr>
          <w:rFonts w:ascii="Times New Roman" w:hAnsi="Times New Roman" w:cs="Times New Roman"/>
          <w:sz w:val="24"/>
          <w:szCs w:val="24"/>
        </w:rPr>
        <w:t xml:space="preserve"> that was</w:t>
      </w:r>
      <w:r w:rsidR="00724F58">
        <w:rPr>
          <w:rFonts w:ascii="Times New Roman" w:hAnsi="Times New Roman" w:cs="Times New Roman"/>
          <w:sz w:val="24"/>
          <w:szCs w:val="24"/>
        </w:rPr>
        <w:t xml:space="preserve"> properly due to it. </w:t>
      </w:r>
    </w:p>
    <w:p w:rsidR="00724F58" w:rsidRDefault="005331D4" w:rsidP="0035670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amounts involved in the franchise claims</w:t>
      </w:r>
      <w:r w:rsidR="00690166">
        <w:rPr>
          <w:rFonts w:ascii="Times New Roman" w:hAnsi="Times New Roman" w:cs="Times New Roman"/>
          <w:sz w:val="24"/>
          <w:szCs w:val="24"/>
        </w:rPr>
        <w:t xml:space="preserve"> and consumable </w:t>
      </w:r>
      <w:r w:rsidR="00AE4508">
        <w:rPr>
          <w:rFonts w:ascii="Times New Roman" w:hAnsi="Times New Roman" w:cs="Times New Roman"/>
          <w:sz w:val="24"/>
          <w:szCs w:val="24"/>
        </w:rPr>
        <w:t xml:space="preserve">spare </w:t>
      </w:r>
      <w:r w:rsidR="00690166">
        <w:rPr>
          <w:rFonts w:ascii="Times New Roman" w:hAnsi="Times New Roman" w:cs="Times New Roman"/>
          <w:sz w:val="24"/>
          <w:szCs w:val="24"/>
        </w:rPr>
        <w:t>parts</w:t>
      </w:r>
      <w:r>
        <w:rPr>
          <w:rFonts w:ascii="Times New Roman" w:hAnsi="Times New Roman" w:cs="Times New Roman"/>
          <w:sz w:val="24"/>
          <w:szCs w:val="24"/>
        </w:rPr>
        <w:t xml:space="preserve"> </w:t>
      </w:r>
      <w:r w:rsidR="00690166">
        <w:rPr>
          <w:rFonts w:ascii="Times New Roman" w:hAnsi="Times New Roman" w:cs="Times New Roman"/>
          <w:sz w:val="24"/>
          <w:szCs w:val="24"/>
        </w:rPr>
        <w:t>were extremely high while those relating to costs of computer software deductions were low. The</w:t>
      </w:r>
      <w:r w:rsidR="00683FD2">
        <w:rPr>
          <w:rFonts w:ascii="Times New Roman" w:hAnsi="Times New Roman" w:cs="Times New Roman"/>
          <w:sz w:val="24"/>
          <w:szCs w:val="24"/>
        </w:rPr>
        <w:t xml:space="preserve"> cost of software deductions were made long before the </w:t>
      </w:r>
      <w:r w:rsidR="00683FD2" w:rsidRPr="00683FD2">
        <w:rPr>
          <w:rFonts w:ascii="Times New Roman" w:hAnsi="Times New Roman" w:cs="Times New Roman"/>
          <w:i/>
          <w:sz w:val="24"/>
          <w:szCs w:val="24"/>
        </w:rPr>
        <w:t>D Bank</w:t>
      </w:r>
      <w:r w:rsidR="00683FD2">
        <w:rPr>
          <w:rFonts w:ascii="Times New Roman" w:hAnsi="Times New Roman" w:cs="Times New Roman"/>
          <w:sz w:val="24"/>
          <w:szCs w:val="24"/>
        </w:rPr>
        <w:t xml:space="preserve"> judgment was delivered. I regard the reliance placed by the appellant on that judgment at the objection stage </w:t>
      </w:r>
      <w:r w:rsidR="00690166">
        <w:rPr>
          <w:rFonts w:ascii="Times New Roman" w:hAnsi="Times New Roman" w:cs="Times New Roman"/>
          <w:sz w:val="24"/>
          <w:szCs w:val="24"/>
        </w:rPr>
        <w:t>as</w:t>
      </w:r>
      <w:r w:rsidR="00683FD2">
        <w:rPr>
          <w:rFonts w:ascii="Times New Roman" w:hAnsi="Times New Roman" w:cs="Times New Roman"/>
          <w:sz w:val="24"/>
          <w:szCs w:val="24"/>
        </w:rPr>
        <w:t xml:space="preserve"> opportunistic. It was apparent from a reading of that judgment that the award of the special initial allowance was not based on the interpretation of the relevant provisions of the Fourth Schedule to the Income Tax Act. </w:t>
      </w:r>
      <w:r w:rsidR="003E7415">
        <w:rPr>
          <w:rFonts w:ascii="Times New Roman" w:hAnsi="Times New Roman" w:cs="Times New Roman"/>
          <w:sz w:val="24"/>
          <w:szCs w:val="24"/>
        </w:rPr>
        <w:t xml:space="preserve">I do not consider the opportunistic reliance on an unexplained order lessens the moral blameworthiness of the appellant. </w:t>
      </w:r>
      <w:r w:rsidR="00CB6D7D">
        <w:rPr>
          <w:rFonts w:ascii="Times New Roman" w:hAnsi="Times New Roman" w:cs="Times New Roman"/>
          <w:sz w:val="24"/>
          <w:szCs w:val="24"/>
        </w:rPr>
        <w:t xml:space="preserve">The appellant exhibited </w:t>
      </w:r>
      <w:r w:rsidR="00B0632C">
        <w:rPr>
          <w:rFonts w:ascii="Times New Roman" w:hAnsi="Times New Roman" w:cs="Times New Roman"/>
          <w:sz w:val="24"/>
          <w:szCs w:val="24"/>
        </w:rPr>
        <w:t xml:space="preserve">serious lapses of judgment which call for both personal and general deterrence. </w:t>
      </w:r>
    </w:p>
    <w:p w:rsidR="00B0632C" w:rsidRDefault="00B0632C" w:rsidP="0035670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exercise of my own discretion I would impose the same penalty as the Commissioner in the present matter. </w:t>
      </w:r>
      <w:r w:rsidR="00006C1D">
        <w:rPr>
          <w:rFonts w:ascii="Times New Roman" w:hAnsi="Times New Roman" w:cs="Times New Roman"/>
          <w:sz w:val="24"/>
          <w:szCs w:val="24"/>
        </w:rPr>
        <w:t>Accordingly, the 60% penalty imposed by the Commissioner stands.</w:t>
      </w:r>
    </w:p>
    <w:p w:rsidR="00006C1D" w:rsidRDefault="00006C1D" w:rsidP="006E7096">
      <w:pPr>
        <w:jc w:val="both"/>
        <w:rPr>
          <w:rFonts w:ascii="Times New Roman" w:hAnsi="Times New Roman" w:cs="Times New Roman"/>
          <w:sz w:val="24"/>
          <w:szCs w:val="24"/>
          <w:u w:val="single"/>
        </w:rPr>
      </w:pPr>
      <w:r w:rsidRPr="00006C1D">
        <w:rPr>
          <w:rFonts w:ascii="Times New Roman" w:hAnsi="Times New Roman" w:cs="Times New Roman"/>
          <w:sz w:val="24"/>
          <w:szCs w:val="24"/>
          <w:u w:val="single"/>
        </w:rPr>
        <w:t>Costs</w:t>
      </w:r>
    </w:p>
    <w:p w:rsidR="00006C1D" w:rsidRDefault="00006C1D" w:rsidP="0035670B">
      <w:pPr>
        <w:spacing w:after="0" w:line="360" w:lineRule="auto"/>
        <w:ind w:firstLine="720"/>
        <w:jc w:val="both"/>
        <w:rPr>
          <w:rFonts w:ascii="Times New Roman" w:hAnsi="Times New Roman" w:cs="Times New Roman"/>
          <w:sz w:val="24"/>
          <w:szCs w:val="24"/>
        </w:rPr>
      </w:pPr>
      <w:r w:rsidRPr="00006C1D">
        <w:rPr>
          <w:rFonts w:ascii="Times New Roman" w:hAnsi="Times New Roman" w:cs="Times New Roman"/>
          <w:sz w:val="24"/>
          <w:szCs w:val="24"/>
        </w:rPr>
        <w:t xml:space="preserve">I do not </w:t>
      </w:r>
      <w:r w:rsidR="001B29E8" w:rsidRPr="00006C1D">
        <w:rPr>
          <w:rFonts w:ascii="Times New Roman" w:hAnsi="Times New Roman" w:cs="Times New Roman"/>
          <w:sz w:val="24"/>
          <w:szCs w:val="24"/>
        </w:rPr>
        <w:t xml:space="preserve">find </w:t>
      </w:r>
      <w:r w:rsidR="001B29E8">
        <w:rPr>
          <w:rFonts w:ascii="Times New Roman" w:hAnsi="Times New Roman" w:cs="Times New Roman"/>
          <w:sz w:val="24"/>
          <w:szCs w:val="24"/>
        </w:rPr>
        <w:t>the</w:t>
      </w:r>
      <w:r>
        <w:rPr>
          <w:rFonts w:ascii="Times New Roman" w:hAnsi="Times New Roman" w:cs="Times New Roman"/>
          <w:sz w:val="24"/>
          <w:szCs w:val="24"/>
        </w:rPr>
        <w:t xml:space="preserve"> </w:t>
      </w:r>
      <w:r w:rsidR="001B29E8">
        <w:rPr>
          <w:rFonts w:ascii="Times New Roman" w:hAnsi="Times New Roman" w:cs="Times New Roman"/>
          <w:sz w:val="24"/>
          <w:szCs w:val="24"/>
        </w:rPr>
        <w:t xml:space="preserve">claims </w:t>
      </w:r>
      <w:r w:rsidR="0041748C">
        <w:rPr>
          <w:rFonts w:ascii="Times New Roman" w:hAnsi="Times New Roman" w:cs="Times New Roman"/>
          <w:sz w:val="24"/>
          <w:szCs w:val="24"/>
        </w:rPr>
        <w:t>of the Commissioner to be</w:t>
      </w:r>
      <w:r w:rsidR="001B29E8">
        <w:rPr>
          <w:rFonts w:ascii="Times New Roman" w:hAnsi="Times New Roman" w:cs="Times New Roman"/>
          <w:sz w:val="24"/>
          <w:szCs w:val="24"/>
        </w:rPr>
        <w:t xml:space="preserve"> unreasonable nor the </w:t>
      </w:r>
      <w:r>
        <w:rPr>
          <w:rFonts w:ascii="Times New Roman" w:hAnsi="Times New Roman" w:cs="Times New Roman"/>
          <w:sz w:val="24"/>
          <w:szCs w:val="24"/>
        </w:rPr>
        <w:t>grounds of appeal</w:t>
      </w:r>
      <w:r w:rsidR="001B29E8">
        <w:rPr>
          <w:rFonts w:ascii="Times New Roman" w:hAnsi="Times New Roman" w:cs="Times New Roman"/>
          <w:sz w:val="24"/>
          <w:szCs w:val="24"/>
        </w:rPr>
        <w:t xml:space="preserve"> therefrom frivolous. </w:t>
      </w:r>
      <w:r>
        <w:rPr>
          <w:rFonts w:ascii="Times New Roman" w:hAnsi="Times New Roman" w:cs="Times New Roman"/>
          <w:sz w:val="24"/>
          <w:szCs w:val="24"/>
        </w:rPr>
        <w:t xml:space="preserve"> </w:t>
      </w:r>
      <w:r w:rsidR="001B29E8">
        <w:rPr>
          <w:rFonts w:ascii="Times New Roman" w:hAnsi="Times New Roman" w:cs="Times New Roman"/>
          <w:sz w:val="24"/>
          <w:szCs w:val="24"/>
        </w:rPr>
        <w:t>I will</w:t>
      </w:r>
      <w:r w:rsidR="0041748C">
        <w:rPr>
          <w:rFonts w:ascii="Times New Roman" w:hAnsi="Times New Roman" w:cs="Times New Roman"/>
          <w:sz w:val="24"/>
          <w:szCs w:val="24"/>
        </w:rPr>
        <w:t>,</w:t>
      </w:r>
      <w:r w:rsidR="001B29E8">
        <w:rPr>
          <w:rFonts w:ascii="Times New Roman" w:hAnsi="Times New Roman" w:cs="Times New Roman"/>
          <w:sz w:val="24"/>
          <w:szCs w:val="24"/>
        </w:rPr>
        <w:t xml:space="preserve"> therefore</w:t>
      </w:r>
      <w:r w:rsidR="0041748C">
        <w:rPr>
          <w:rFonts w:ascii="Times New Roman" w:hAnsi="Times New Roman" w:cs="Times New Roman"/>
          <w:sz w:val="24"/>
          <w:szCs w:val="24"/>
        </w:rPr>
        <w:t>,</w:t>
      </w:r>
      <w:r w:rsidR="001B29E8">
        <w:rPr>
          <w:rFonts w:ascii="Times New Roman" w:hAnsi="Times New Roman" w:cs="Times New Roman"/>
          <w:sz w:val="24"/>
          <w:szCs w:val="24"/>
        </w:rPr>
        <w:t xml:space="preserve"> make no adverse </w:t>
      </w:r>
      <w:r w:rsidR="00D75656">
        <w:rPr>
          <w:rFonts w:ascii="Times New Roman" w:hAnsi="Times New Roman" w:cs="Times New Roman"/>
          <w:sz w:val="24"/>
          <w:szCs w:val="24"/>
        </w:rPr>
        <w:t>order for</w:t>
      </w:r>
      <w:r w:rsidR="001B29E8">
        <w:rPr>
          <w:rFonts w:ascii="Times New Roman" w:hAnsi="Times New Roman" w:cs="Times New Roman"/>
          <w:sz w:val="24"/>
          <w:szCs w:val="24"/>
        </w:rPr>
        <w:t xml:space="preserve"> costs against either party. </w:t>
      </w:r>
    </w:p>
    <w:p w:rsidR="00860DA8" w:rsidRDefault="00065C33" w:rsidP="0035670B">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appellant prayed for s 15 (2) (aa) costs. These are costs incurred by the taxpayer in connection with a s 65 of the Income Tax appeal,</w:t>
      </w:r>
      <w:r w:rsidR="00CF2A8B">
        <w:rPr>
          <w:rFonts w:ascii="Times New Roman" w:hAnsi="Times New Roman" w:cs="Times New Roman"/>
          <w:sz w:val="24"/>
          <w:szCs w:val="24"/>
        </w:rPr>
        <w:t xml:space="preserve"> </w:t>
      </w:r>
      <w:r>
        <w:rPr>
          <w:rFonts w:ascii="Times New Roman" w:hAnsi="Times New Roman" w:cs="Times New Roman"/>
          <w:sz w:val="24"/>
          <w:szCs w:val="24"/>
        </w:rPr>
        <w:t xml:space="preserve">which have to be taxed by the registrar of the High Court, </w:t>
      </w:r>
      <w:r w:rsidR="00CF2A8B">
        <w:rPr>
          <w:rFonts w:ascii="Times New Roman" w:hAnsi="Times New Roman" w:cs="Times New Roman"/>
          <w:sz w:val="24"/>
          <w:szCs w:val="24"/>
        </w:rPr>
        <w:t xml:space="preserve"> that are allowed as a deduction by order of this Court</w:t>
      </w:r>
      <w:r w:rsidR="00D31C6C">
        <w:rPr>
          <w:rFonts w:ascii="Times New Roman" w:hAnsi="Times New Roman" w:cs="Times New Roman"/>
          <w:sz w:val="24"/>
          <w:szCs w:val="24"/>
        </w:rPr>
        <w:t xml:space="preserve"> </w:t>
      </w:r>
      <w:r w:rsidR="00937363">
        <w:rPr>
          <w:rFonts w:ascii="Times New Roman" w:hAnsi="Times New Roman" w:cs="Times New Roman"/>
          <w:sz w:val="24"/>
          <w:szCs w:val="24"/>
        </w:rPr>
        <w:t xml:space="preserve">in those circumstances were the appeal has been allowed in full or </w:t>
      </w:r>
      <w:r w:rsidR="00860DA8">
        <w:rPr>
          <w:rFonts w:ascii="Times New Roman" w:hAnsi="Times New Roman" w:cs="Times New Roman"/>
          <w:sz w:val="24"/>
          <w:szCs w:val="24"/>
        </w:rPr>
        <w:t xml:space="preserve">to a substantial degree. </w:t>
      </w:r>
      <w:r w:rsidR="00EE1E47">
        <w:rPr>
          <w:rFonts w:ascii="Times New Roman" w:hAnsi="Times New Roman" w:cs="Times New Roman"/>
          <w:sz w:val="24"/>
          <w:szCs w:val="24"/>
        </w:rPr>
        <w:t xml:space="preserve"> The appellant did not achieve anything approximating to substantial success in this appeal. </w:t>
      </w:r>
      <w:r w:rsidR="00860DA8">
        <w:rPr>
          <w:rFonts w:ascii="Times New Roman" w:hAnsi="Times New Roman" w:cs="Times New Roman"/>
          <w:sz w:val="24"/>
          <w:szCs w:val="24"/>
        </w:rPr>
        <w:t>I cannot, therefore make the s 15 (2) (aa) order sought by the appellant.</w:t>
      </w:r>
    </w:p>
    <w:p w:rsidR="00006C1D" w:rsidRDefault="00006C1D" w:rsidP="00860DA8">
      <w:pPr>
        <w:jc w:val="both"/>
        <w:rPr>
          <w:rFonts w:ascii="Times New Roman" w:hAnsi="Times New Roman" w:cs="Times New Roman"/>
          <w:sz w:val="24"/>
          <w:szCs w:val="24"/>
        </w:rPr>
      </w:pPr>
    </w:p>
    <w:p w:rsidR="00860DA8" w:rsidRDefault="00860DA8" w:rsidP="00860DA8">
      <w:pPr>
        <w:jc w:val="both"/>
        <w:rPr>
          <w:rFonts w:ascii="Times New Roman" w:hAnsi="Times New Roman" w:cs="Times New Roman"/>
          <w:sz w:val="24"/>
          <w:szCs w:val="24"/>
          <w:u w:val="single"/>
        </w:rPr>
      </w:pPr>
      <w:r w:rsidRPr="00860DA8">
        <w:rPr>
          <w:rFonts w:ascii="Times New Roman" w:hAnsi="Times New Roman" w:cs="Times New Roman"/>
          <w:sz w:val="24"/>
          <w:szCs w:val="24"/>
          <w:u w:val="single"/>
        </w:rPr>
        <w:t>Disposition</w:t>
      </w:r>
    </w:p>
    <w:p w:rsidR="00860DA8" w:rsidRPr="00860DA8" w:rsidRDefault="00860DA8" w:rsidP="00860DA8">
      <w:pPr>
        <w:jc w:val="both"/>
        <w:rPr>
          <w:rFonts w:ascii="Times New Roman" w:hAnsi="Times New Roman" w:cs="Times New Roman"/>
          <w:sz w:val="24"/>
          <w:szCs w:val="24"/>
        </w:rPr>
      </w:pPr>
      <w:r w:rsidRPr="00860DA8">
        <w:rPr>
          <w:rFonts w:ascii="Times New Roman" w:hAnsi="Times New Roman" w:cs="Times New Roman"/>
          <w:sz w:val="24"/>
          <w:szCs w:val="24"/>
        </w:rPr>
        <w:t>Accordingly, it is ordered that:</w:t>
      </w:r>
    </w:p>
    <w:p w:rsidR="007F344C" w:rsidRDefault="007F344C" w:rsidP="00860DA8">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The manual notices of assessment for income tax numbers </w:t>
      </w:r>
      <w:r w:rsidR="008070C4">
        <w:rPr>
          <w:rFonts w:ascii="Times New Roman" w:hAnsi="Times New Roman" w:cs="Times New Roman"/>
          <w:sz w:val="24"/>
          <w:szCs w:val="24"/>
        </w:rPr>
        <w:t>6458  for the 2009 tax year, 64</w:t>
      </w:r>
      <w:r>
        <w:rPr>
          <w:rFonts w:ascii="Times New Roman" w:hAnsi="Times New Roman" w:cs="Times New Roman"/>
          <w:sz w:val="24"/>
          <w:szCs w:val="24"/>
        </w:rPr>
        <w:t xml:space="preserve">59 for the 2010 tax year, 6460 for the 2011 tax year, 6461 for the 2012 tax year and 6498 for the 2013 tax year issued by the Commissioner to the </w:t>
      </w:r>
      <w:r w:rsidR="00D10D76">
        <w:rPr>
          <w:rFonts w:ascii="Times New Roman" w:hAnsi="Times New Roman" w:cs="Times New Roman"/>
          <w:sz w:val="24"/>
          <w:szCs w:val="24"/>
        </w:rPr>
        <w:t>appellant</w:t>
      </w:r>
      <w:r>
        <w:rPr>
          <w:rFonts w:ascii="Times New Roman" w:hAnsi="Times New Roman" w:cs="Times New Roman"/>
          <w:sz w:val="24"/>
          <w:szCs w:val="24"/>
        </w:rPr>
        <w:t xml:space="preserve"> on 22 March 2016 be and are hereby set aside. </w:t>
      </w:r>
    </w:p>
    <w:p w:rsidR="005268A5" w:rsidRDefault="007F344C" w:rsidP="00860DA8">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Commissioner shall issue further amended </w:t>
      </w:r>
      <w:r w:rsidR="005268A5">
        <w:rPr>
          <w:rFonts w:ascii="Times New Roman" w:hAnsi="Times New Roman" w:cs="Times New Roman"/>
          <w:sz w:val="24"/>
          <w:szCs w:val="24"/>
        </w:rPr>
        <w:t>assessments</w:t>
      </w:r>
      <w:r>
        <w:rPr>
          <w:rFonts w:ascii="Times New Roman" w:hAnsi="Times New Roman" w:cs="Times New Roman"/>
          <w:sz w:val="24"/>
          <w:szCs w:val="24"/>
        </w:rPr>
        <w:t xml:space="preserve"> </w:t>
      </w:r>
      <w:r w:rsidR="005268A5">
        <w:rPr>
          <w:rFonts w:ascii="Times New Roman" w:hAnsi="Times New Roman" w:cs="Times New Roman"/>
          <w:sz w:val="24"/>
          <w:szCs w:val="24"/>
        </w:rPr>
        <w:t>for the 2009 to 2013 tax years,</w:t>
      </w:r>
      <w:r w:rsidR="003C20F5">
        <w:rPr>
          <w:rFonts w:ascii="Times New Roman" w:hAnsi="Times New Roman" w:cs="Times New Roman"/>
          <w:sz w:val="24"/>
          <w:szCs w:val="24"/>
        </w:rPr>
        <w:t xml:space="preserve"> in ac</w:t>
      </w:r>
      <w:r w:rsidR="00EE1E47">
        <w:rPr>
          <w:rFonts w:ascii="Times New Roman" w:hAnsi="Times New Roman" w:cs="Times New Roman"/>
          <w:sz w:val="24"/>
          <w:szCs w:val="24"/>
        </w:rPr>
        <w:t>cordance with this judgment</w:t>
      </w:r>
      <w:r w:rsidR="00B164CB">
        <w:rPr>
          <w:rFonts w:ascii="Times New Roman" w:hAnsi="Times New Roman" w:cs="Times New Roman"/>
          <w:sz w:val="24"/>
          <w:szCs w:val="24"/>
        </w:rPr>
        <w:t>, which</w:t>
      </w:r>
      <w:r w:rsidR="00EE1E47">
        <w:rPr>
          <w:rFonts w:ascii="Times New Roman" w:hAnsi="Times New Roman" w:cs="Times New Roman"/>
          <w:sz w:val="24"/>
          <w:szCs w:val="24"/>
        </w:rPr>
        <w:t>:</w:t>
      </w:r>
    </w:p>
    <w:p w:rsidR="005268A5" w:rsidRDefault="005268A5" w:rsidP="005268A5">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Allow the deduction of master branding fe</w:t>
      </w:r>
      <w:r w:rsidR="00B164CB">
        <w:rPr>
          <w:rFonts w:ascii="Times New Roman" w:hAnsi="Times New Roman" w:cs="Times New Roman"/>
          <w:sz w:val="24"/>
          <w:szCs w:val="24"/>
        </w:rPr>
        <w:t>es in the sum of US$ 212 356.13 in</w:t>
      </w:r>
      <w:r>
        <w:rPr>
          <w:rFonts w:ascii="Times New Roman" w:hAnsi="Times New Roman" w:cs="Times New Roman"/>
          <w:sz w:val="24"/>
          <w:szCs w:val="24"/>
        </w:rPr>
        <w:t xml:space="preserve"> the 2009 tax year, US</w:t>
      </w:r>
      <w:r w:rsidR="00B164CB">
        <w:rPr>
          <w:rFonts w:ascii="Times New Roman" w:hAnsi="Times New Roman" w:cs="Times New Roman"/>
          <w:sz w:val="24"/>
          <w:szCs w:val="24"/>
        </w:rPr>
        <w:t>$312 636 in the 2010 tax year and US$ 370 913.85 in</w:t>
      </w:r>
      <w:r>
        <w:rPr>
          <w:rFonts w:ascii="Times New Roman" w:hAnsi="Times New Roman" w:cs="Times New Roman"/>
          <w:sz w:val="24"/>
          <w:szCs w:val="24"/>
        </w:rPr>
        <w:t xml:space="preserve"> the 2011</w:t>
      </w:r>
      <w:r w:rsidR="00EA0BBD">
        <w:rPr>
          <w:rFonts w:ascii="Times New Roman" w:hAnsi="Times New Roman" w:cs="Times New Roman"/>
          <w:sz w:val="24"/>
          <w:szCs w:val="24"/>
        </w:rPr>
        <w:t xml:space="preserve"> tax year.</w:t>
      </w:r>
    </w:p>
    <w:p w:rsidR="005268A5" w:rsidRDefault="005268A5" w:rsidP="005268A5">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Disallow the</w:t>
      </w:r>
      <w:r w:rsidR="00B164CB">
        <w:rPr>
          <w:rFonts w:ascii="Times New Roman" w:hAnsi="Times New Roman" w:cs="Times New Roman"/>
          <w:sz w:val="24"/>
          <w:szCs w:val="24"/>
        </w:rPr>
        <w:t xml:space="preserve"> deduction of US$ 863 252.70 in</w:t>
      </w:r>
      <w:r>
        <w:rPr>
          <w:rFonts w:ascii="Times New Roman" w:hAnsi="Times New Roman" w:cs="Times New Roman"/>
          <w:sz w:val="24"/>
          <w:szCs w:val="24"/>
        </w:rPr>
        <w:t xml:space="preserve"> the 20</w:t>
      </w:r>
      <w:r w:rsidR="00B164CB">
        <w:rPr>
          <w:rFonts w:ascii="Times New Roman" w:hAnsi="Times New Roman" w:cs="Times New Roman"/>
          <w:sz w:val="24"/>
          <w:szCs w:val="24"/>
        </w:rPr>
        <w:t>12 tax year and US$1 140 000 in</w:t>
      </w:r>
      <w:r>
        <w:rPr>
          <w:rFonts w:ascii="Times New Roman" w:hAnsi="Times New Roman" w:cs="Times New Roman"/>
          <w:sz w:val="24"/>
          <w:szCs w:val="24"/>
        </w:rPr>
        <w:t xml:space="preserve"> the 2013 tax year. </w:t>
      </w:r>
    </w:p>
    <w:p w:rsidR="00EA0BBD" w:rsidRDefault="00EE1E47" w:rsidP="005268A5">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 xml:space="preserve">Disallow </w:t>
      </w:r>
      <w:r w:rsidR="00EA0BBD">
        <w:rPr>
          <w:rFonts w:ascii="Times New Roman" w:hAnsi="Times New Roman" w:cs="Times New Roman"/>
          <w:sz w:val="24"/>
          <w:szCs w:val="24"/>
        </w:rPr>
        <w:t>the deduction of the amounts relating to consumable spare parts in the respective years in which the amounts were incurred.</w:t>
      </w:r>
    </w:p>
    <w:p w:rsidR="00860DA8" w:rsidRDefault="005A4436" w:rsidP="005268A5">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 xml:space="preserve">Disallow </w:t>
      </w:r>
      <w:r w:rsidR="00EA0BBD">
        <w:rPr>
          <w:rFonts w:ascii="Times New Roman" w:hAnsi="Times New Roman" w:cs="Times New Roman"/>
          <w:sz w:val="24"/>
          <w:szCs w:val="24"/>
        </w:rPr>
        <w:t>the deduction of the amortised quarry development cost in the sum of US$ 3 782 791 in the 2013 tax year.</w:t>
      </w:r>
      <w:r w:rsidR="005268A5" w:rsidRPr="005268A5">
        <w:rPr>
          <w:rFonts w:ascii="Times New Roman" w:hAnsi="Times New Roman" w:cs="Times New Roman"/>
          <w:sz w:val="24"/>
          <w:szCs w:val="24"/>
        </w:rPr>
        <w:t xml:space="preserve">  </w:t>
      </w:r>
      <w:r w:rsidR="007F344C" w:rsidRPr="005268A5">
        <w:rPr>
          <w:rFonts w:ascii="Times New Roman" w:hAnsi="Times New Roman" w:cs="Times New Roman"/>
          <w:sz w:val="24"/>
          <w:szCs w:val="24"/>
        </w:rPr>
        <w:t xml:space="preserve"> </w:t>
      </w:r>
    </w:p>
    <w:p w:rsidR="00EA0BBD" w:rsidRDefault="003C20F5" w:rsidP="005268A5">
      <w:pPr>
        <w:pStyle w:val="ListParagraph"/>
        <w:numPr>
          <w:ilvl w:val="1"/>
          <w:numId w:val="7"/>
        </w:numPr>
        <w:jc w:val="both"/>
        <w:rPr>
          <w:rFonts w:ascii="Times New Roman" w:hAnsi="Times New Roman" w:cs="Times New Roman"/>
          <w:sz w:val="24"/>
          <w:szCs w:val="24"/>
        </w:rPr>
      </w:pPr>
      <w:r>
        <w:rPr>
          <w:rFonts w:ascii="Times New Roman" w:hAnsi="Times New Roman" w:cs="Times New Roman"/>
          <w:sz w:val="24"/>
          <w:szCs w:val="24"/>
        </w:rPr>
        <w:t xml:space="preserve">Impose a penalty of 60% on the unpaid principal income tax chargeable in each tax year, respectively. </w:t>
      </w:r>
    </w:p>
    <w:p w:rsidR="003C20F5" w:rsidRDefault="003C20F5" w:rsidP="003C20F5">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There shall be no order as to costs.</w:t>
      </w:r>
    </w:p>
    <w:p w:rsidR="0035670B" w:rsidRDefault="0035670B" w:rsidP="0035670B">
      <w:pPr>
        <w:jc w:val="both"/>
        <w:rPr>
          <w:rFonts w:ascii="Times New Roman" w:hAnsi="Times New Roman" w:cs="Times New Roman"/>
          <w:i/>
          <w:sz w:val="24"/>
          <w:szCs w:val="24"/>
        </w:rPr>
      </w:pPr>
    </w:p>
    <w:p w:rsidR="0035670B" w:rsidRDefault="0035670B" w:rsidP="0035670B">
      <w:pPr>
        <w:jc w:val="both"/>
        <w:rPr>
          <w:rFonts w:ascii="Times New Roman" w:hAnsi="Times New Roman" w:cs="Times New Roman"/>
          <w:i/>
          <w:sz w:val="24"/>
          <w:szCs w:val="24"/>
        </w:rPr>
      </w:pPr>
    </w:p>
    <w:p w:rsidR="0035670B" w:rsidRDefault="0035670B" w:rsidP="0035670B">
      <w:pPr>
        <w:jc w:val="both"/>
        <w:rPr>
          <w:rFonts w:ascii="Times New Roman" w:hAnsi="Times New Roman" w:cs="Times New Roman"/>
          <w:i/>
          <w:sz w:val="24"/>
          <w:szCs w:val="24"/>
        </w:rPr>
      </w:pPr>
    </w:p>
    <w:p w:rsidR="003C20F5" w:rsidRPr="0035670B" w:rsidRDefault="003C20F5" w:rsidP="0035670B">
      <w:pPr>
        <w:spacing w:after="0"/>
        <w:jc w:val="both"/>
        <w:rPr>
          <w:rFonts w:ascii="Times New Roman" w:hAnsi="Times New Roman" w:cs="Times New Roman"/>
          <w:sz w:val="24"/>
          <w:szCs w:val="24"/>
        </w:rPr>
      </w:pPr>
      <w:r w:rsidRPr="0035670B">
        <w:rPr>
          <w:rFonts w:ascii="Times New Roman" w:hAnsi="Times New Roman" w:cs="Times New Roman"/>
          <w:i/>
          <w:sz w:val="24"/>
          <w:szCs w:val="24"/>
        </w:rPr>
        <w:t>Gill, Godlonton and Gerrans,</w:t>
      </w:r>
      <w:r w:rsidRPr="0035670B">
        <w:rPr>
          <w:rFonts w:ascii="Times New Roman" w:hAnsi="Times New Roman" w:cs="Times New Roman"/>
          <w:sz w:val="24"/>
          <w:szCs w:val="24"/>
        </w:rPr>
        <w:t xml:space="preserve"> the appellant’s legal practitioners</w:t>
      </w:r>
    </w:p>
    <w:p w:rsidR="003C20F5" w:rsidRPr="0035670B" w:rsidRDefault="003C20F5" w:rsidP="0035670B">
      <w:pPr>
        <w:spacing w:after="0"/>
        <w:jc w:val="both"/>
        <w:rPr>
          <w:rFonts w:ascii="Times New Roman" w:hAnsi="Times New Roman" w:cs="Times New Roman"/>
          <w:sz w:val="24"/>
          <w:szCs w:val="24"/>
        </w:rPr>
      </w:pPr>
      <w:r w:rsidRPr="0035670B">
        <w:rPr>
          <w:rFonts w:ascii="Times New Roman" w:hAnsi="Times New Roman" w:cs="Times New Roman"/>
          <w:i/>
          <w:sz w:val="24"/>
          <w:szCs w:val="24"/>
        </w:rPr>
        <w:t>Kantor &amp; Immerman</w:t>
      </w:r>
      <w:r w:rsidRPr="0035670B">
        <w:rPr>
          <w:rFonts w:ascii="Times New Roman" w:hAnsi="Times New Roman" w:cs="Times New Roman"/>
          <w:sz w:val="24"/>
          <w:szCs w:val="24"/>
        </w:rPr>
        <w:t>, the respondent’s legal practitioners</w:t>
      </w:r>
    </w:p>
    <w:p w:rsidR="001E694E" w:rsidRPr="001E694E" w:rsidRDefault="001E694E" w:rsidP="00397ECA">
      <w:pPr>
        <w:ind w:left="720" w:hanging="360"/>
        <w:jc w:val="both"/>
        <w:rPr>
          <w:rFonts w:ascii="Times New Roman" w:hAnsi="Times New Roman" w:cs="Times New Roman"/>
          <w:sz w:val="24"/>
          <w:szCs w:val="24"/>
          <w:u w:val="single"/>
        </w:rPr>
      </w:pPr>
    </w:p>
    <w:p w:rsidR="00BB2032" w:rsidRPr="008E6E89" w:rsidRDefault="00BB2032" w:rsidP="0034160F">
      <w:pPr>
        <w:jc w:val="both"/>
        <w:rPr>
          <w:rFonts w:ascii="Times New Roman" w:hAnsi="Times New Roman" w:cs="Times New Roman"/>
          <w:sz w:val="24"/>
          <w:szCs w:val="24"/>
        </w:rPr>
      </w:pPr>
    </w:p>
    <w:p w:rsidR="00BE4629" w:rsidRDefault="00BE4629" w:rsidP="00BE4629">
      <w:pPr>
        <w:spacing w:line="480" w:lineRule="auto"/>
        <w:ind w:firstLine="720"/>
        <w:jc w:val="both"/>
        <w:rPr>
          <w:rFonts w:ascii="Times New Roman" w:hAnsi="Times New Roman" w:cs="Times New Roman"/>
          <w:sz w:val="24"/>
          <w:szCs w:val="24"/>
        </w:rPr>
      </w:pPr>
    </w:p>
    <w:p w:rsidR="00BE4629" w:rsidRPr="00441215" w:rsidRDefault="00BE4629" w:rsidP="00BE4629">
      <w:pPr>
        <w:spacing w:line="480" w:lineRule="auto"/>
        <w:ind w:firstLine="720"/>
        <w:jc w:val="both"/>
        <w:rPr>
          <w:rFonts w:ascii="Times New Roman" w:hAnsi="Times New Roman" w:cs="Times New Roman"/>
          <w:sz w:val="24"/>
          <w:szCs w:val="24"/>
        </w:rPr>
      </w:pPr>
    </w:p>
    <w:p w:rsidR="00BE4629" w:rsidRDefault="00BE4629" w:rsidP="00BE4629">
      <w:pPr>
        <w:jc w:val="both"/>
      </w:pPr>
    </w:p>
    <w:p w:rsidR="00BE4629" w:rsidRPr="005A0E67" w:rsidRDefault="00BE4629">
      <w:pPr>
        <w:rPr>
          <w:rFonts w:ascii="Times New Roman" w:hAnsi="Times New Roman" w:cs="Times New Roman"/>
          <w:sz w:val="24"/>
          <w:szCs w:val="24"/>
        </w:rPr>
      </w:pPr>
    </w:p>
    <w:p w:rsidR="002D50DF" w:rsidRPr="002D50DF" w:rsidRDefault="002D50DF">
      <w:pPr>
        <w:rPr>
          <w:rFonts w:ascii="Times New Roman" w:hAnsi="Times New Roman" w:cs="Times New Roman"/>
          <w:b/>
          <w:sz w:val="24"/>
          <w:szCs w:val="24"/>
        </w:rPr>
      </w:pPr>
    </w:p>
    <w:p w:rsidR="002D50DF" w:rsidRPr="00F030EF" w:rsidRDefault="002D50DF">
      <w:pPr>
        <w:rPr>
          <w:rFonts w:ascii="Times New Roman" w:hAnsi="Times New Roman" w:cs="Times New Roman"/>
          <w:sz w:val="24"/>
          <w:szCs w:val="24"/>
        </w:rPr>
      </w:pPr>
    </w:p>
    <w:p w:rsidR="00F030EF" w:rsidRDefault="00F030EF"/>
    <w:p w:rsidR="00F030EF" w:rsidRDefault="00F030EF"/>
    <w:sectPr w:rsidR="00F030E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C9A" w:rsidRDefault="00D87C9A" w:rsidP="000910B2">
      <w:pPr>
        <w:spacing w:after="0" w:line="240" w:lineRule="auto"/>
      </w:pPr>
      <w:r>
        <w:separator/>
      </w:r>
    </w:p>
  </w:endnote>
  <w:endnote w:type="continuationSeparator" w:id="0">
    <w:p w:rsidR="00D87C9A" w:rsidRDefault="00D87C9A" w:rsidP="00091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C9A" w:rsidRDefault="00D87C9A" w:rsidP="000910B2">
      <w:pPr>
        <w:spacing w:after="0" w:line="240" w:lineRule="auto"/>
      </w:pPr>
      <w:r>
        <w:separator/>
      </w:r>
    </w:p>
  </w:footnote>
  <w:footnote w:type="continuationSeparator" w:id="0">
    <w:p w:rsidR="00D87C9A" w:rsidRDefault="00D87C9A" w:rsidP="000910B2">
      <w:pPr>
        <w:spacing w:after="0" w:line="240" w:lineRule="auto"/>
      </w:pPr>
      <w:r>
        <w:continuationSeparator/>
      </w:r>
    </w:p>
  </w:footnote>
  <w:footnote w:id="1">
    <w:p w:rsidR="00485476" w:rsidRPr="00946146" w:rsidRDefault="00485476" w:rsidP="00485476">
      <w:pPr>
        <w:pStyle w:val="FootnoteText"/>
        <w:rPr>
          <w:rFonts w:ascii="Times New Roman" w:hAnsi="Times New Roman" w:cs="Times New Roman"/>
        </w:rPr>
      </w:pPr>
      <w:r w:rsidRPr="00946146">
        <w:rPr>
          <w:rStyle w:val="FootnoteReference"/>
          <w:rFonts w:ascii="Times New Roman" w:hAnsi="Times New Roman" w:cs="Times New Roman"/>
        </w:rPr>
        <w:footnoteRef/>
      </w:r>
      <w:r w:rsidRPr="00946146">
        <w:rPr>
          <w:rFonts w:ascii="Times New Roman" w:hAnsi="Times New Roman" w:cs="Times New Roman"/>
        </w:rPr>
        <w:t xml:space="preserve"> P 42 and 43 of r 11 documents.</w:t>
      </w:r>
    </w:p>
  </w:footnote>
  <w:footnote w:id="2">
    <w:p w:rsidR="00263D1C" w:rsidRPr="002811C7" w:rsidRDefault="00263D1C">
      <w:pPr>
        <w:pStyle w:val="FootnoteText"/>
        <w:rPr>
          <w:rFonts w:ascii="Times New Roman" w:hAnsi="Times New Roman" w:cs="Times New Roman"/>
        </w:rPr>
      </w:pPr>
      <w:r w:rsidRPr="002811C7">
        <w:rPr>
          <w:rStyle w:val="FootnoteReference"/>
          <w:rFonts w:ascii="Times New Roman" w:hAnsi="Times New Roman" w:cs="Times New Roman"/>
        </w:rPr>
        <w:footnoteRef/>
      </w:r>
      <w:r w:rsidRPr="002811C7">
        <w:rPr>
          <w:rFonts w:ascii="Times New Roman" w:hAnsi="Times New Roman" w:cs="Times New Roman"/>
        </w:rPr>
        <w:t xml:space="preserve"> P 43 and letter from appellant’s tax consultant to respondent of</w:t>
      </w:r>
      <w:r w:rsidR="00037446" w:rsidRPr="002811C7">
        <w:rPr>
          <w:rFonts w:ascii="Times New Roman" w:hAnsi="Times New Roman" w:cs="Times New Roman"/>
        </w:rPr>
        <w:t xml:space="preserve"> 23 September 2013 on p 209 of </w:t>
      </w:r>
      <w:r w:rsidRPr="002811C7">
        <w:rPr>
          <w:rFonts w:ascii="Times New Roman" w:hAnsi="Times New Roman" w:cs="Times New Roman"/>
        </w:rPr>
        <w:t xml:space="preserve">r 11 documents. </w:t>
      </w:r>
    </w:p>
  </w:footnote>
  <w:footnote w:id="3">
    <w:p w:rsidR="001A192D" w:rsidRPr="00463BF5" w:rsidRDefault="00ED418C" w:rsidP="001A192D">
      <w:pPr>
        <w:jc w:val="both"/>
        <w:rPr>
          <w:rFonts w:ascii="Times New Roman" w:hAnsi="Times New Roman" w:cs="Times New Roman"/>
          <w:i/>
          <w:sz w:val="20"/>
          <w:szCs w:val="20"/>
        </w:rPr>
      </w:pPr>
      <w:r w:rsidRPr="00463BF5">
        <w:rPr>
          <w:rStyle w:val="FootnoteReference"/>
          <w:rFonts w:ascii="Times New Roman" w:hAnsi="Times New Roman" w:cs="Times New Roman"/>
          <w:sz w:val="20"/>
          <w:szCs w:val="20"/>
        </w:rPr>
        <w:footnoteRef/>
      </w:r>
      <w:r w:rsidRPr="00463BF5">
        <w:rPr>
          <w:rFonts w:ascii="Times New Roman" w:hAnsi="Times New Roman" w:cs="Times New Roman"/>
          <w:sz w:val="20"/>
          <w:szCs w:val="20"/>
        </w:rPr>
        <w:t xml:space="preserve"> CORBETT JA quotes with approval the words of </w:t>
      </w:r>
      <w:r w:rsidRPr="00463BF5">
        <w:rPr>
          <w:rFonts w:ascii="Times New Roman" w:hAnsi="Times New Roman" w:cs="Times New Roman"/>
        </w:rPr>
        <w:t>OGIVIE THOMPSON</w:t>
      </w:r>
      <w:r w:rsidR="00463BF5">
        <w:rPr>
          <w:rFonts w:ascii="Times New Roman" w:hAnsi="Times New Roman" w:cs="Times New Roman"/>
        </w:rPr>
        <w:t xml:space="preserve"> JA</w:t>
      </w:r>
      <w:r w:rsidRPr="00463BF5">
        <w:rPr>
          <w:rFonts w:ascii="Times New Roman" w:hAnsi="Times New Roman" w:cs="Times New Roman"/>
          <w:sz w:val="20"/>
          <w:szCs w:val="20"/>
        </w:rPr>
        <w:t xml:space="preserve"> in </w:t>
      </w:r>
      <w:r w:rsidRPr="00463BF5">
        <w:rPr>
          <w:rFonts w:ascii="Times New Roman" w:hAnsi="Times New Roman" w:cs="Times New Roman"/>
          <w:i/>
          <w:sz w:val="20"/>
          <w:szCs w:val="20"/>
        </w:rPr>
        <w:t>Commissioner</w:t>
      </w:r>
      <w:r w:rsidRPr="00463BF5">
        <w:rPr>
          <w:rFonts w:ascii="Times New Roman" w:hAnsi="Times New Roman" w:cs="Times New Roman"/>
          <w:b/>
          <w:i/>
          <w:sz w:val="20"/>
          <w:szCs w:val="20"/>
        </w:rPr>
        <w:t xml:space="preserve"> </w:t>
      </w:r>
      <w:r w:rsidRPr="00463BF5">
        <w:rPr>
          <w:rFonts w:ascii="Times New Roman" w:hAnsi="Times New Roman" w:cs="Times New Roman"/>
          <w:i/>
          <w:sz w:val="20"/>
          <w:szCs w:val="20"/>
        </w:rPr>
        <w:t>for Inland Revenue v Allied Building Society 1</w:t>
      </w:r>
      <w:r w:rsidRPr="00463BF5">
        <w:rPr>
          <w:rFonts w:ascii="Times New Roman" w:hAnsi="Times New Roman" w:cs="Times New Roman"/>
          <w:sz w:val="20"/>
          <w:szCs w:val="20"/>
        </w:rPr>
        <w:t>963 (4) SA 1 (A) at 14D</w:t>
      </w:r>
      <w:r w:rsidR="001A192D" w:rsidRPr="00463BF5">
        <w:rPr>
          <w:rFonts w:ascii="Times New Roman" w:hAnsi="Times New Roman" w:cs="Times New Roman"/>
          <w:i/>
          <w:sz w:val="20"/>
          <w:szCs w:val="20"/>
        </w:rPr>
        <w:t>“</w:t>
      </w:r>
      <w:r w:rsidR="001A192D" w:rsidRPr="00463BF5">
        <w:rPr>
          <w:rFonts w:ascii="Times New Roman" w:hAnsi="Times New Roman" w:cs="Times New Roman"/>
          <w:sz w:val="20"/>
          <w:szCs w:val="20"/>
        </w:rPr>
        <w:t>It is not, in my opinion, material whether all the money borrowed is in fact lent out again by the Society. For the Court is not concerned with whether a particular item of expenditure produced any part of the income, but whether that item of expenditure was incurred for the purpose of earning income</w:t>
      </w:r>
      <w:r w:rsidR="001A192D" w:rsidRPr="00463BF5">
        <w:rPr>
          <w:rFonts w:ascii="Times New Roman" w:hAnsi="Times New Roman" w:cs="Times New Roman"/>
          <w:i/>
          <w:sz w:val="20"/>
          <w:szCs w:val="20"/>
        </w:rPr>
        <w:t xml:space="preserve">. (see Rand Speculation and Finance Co Ltd v CIR </w:t>
      </w:r>
      <w:r w:rsidR="001A192D" w:rsidRPr="00463BF5">
        <w:rPr>
          <w:rFonts w:ascii="Times New Roman" w:hAnsi="Times New Roman" w:cs="Times New Roman"/>
          <w:sz w:val="20"/>
          <w:szCs w:val="20"/>
        </w:rPr>
        <w:t>1953 (1) SA 348 (A</w:t>
      </w:r>
      <w:r w:rsidR="001A192D" w:rsidRPr="00463BF5">
        <w:rPr>
          <w:rFonts w:ascii="Times New Roman" w:hAnsi="Times New Roman" w:cs="Times New Roman"/>
          <w:i/>
          <w:sz w:val="20"/>
          <w:szCs w:val="20"/>
        </w:rPr>
        <w:t xml:space="preserve">).” </w:t>
      </w:r>
    </w:p>
    <w:p w:rsidR="00ED418C" w:rsidRPr="00210A4D" w:rsidRDefault="00ED418C" w:rsidP="00ED418C">
      <w:pPr>
        <w:pStyle w:val="FootnoteText"/>
      </w:pPr>
    </w:p>
  </w:footnote>
  <w:footnote w:id="4">
    <w:p w:rsidR="005E226C" w:rsidRPr="004674D0" w:rsidRDefault="005E226C" w:rsidP="00E25006">
      <w:pPr>
        <w:pStyle w:val="FootnoteText"/>
        <w:jc w:val="both"/>
        <w:rPr>
          <w:rFonts w:ascii="Times New Roman" w:hAnsi="Times New Roman" w:cs="Times New Roman"/>
        </w:rPr>
      </w:pPr>
      <w:r w:rsidRPr="004674D0">
        <w:rPr>
          <w:rStyle w:val="FootnoteReference"/>
          <w:rFonts w:ascii="Times New Roman" w:hAnsi="Times New Roman" w:cs="Times New Roman"/>
        </w:rPr>
        <w:footnoteRef/>
      </w:r>
      <w:r w:rsidRPr="004674D0">
        <w:rPr>
          <w:rFonts w:ascii="Times New Roman" w:hAnsi="Times New Roman" w:cs="Times New Roman"/>
        </w:rPr>
        <w:t xml:space="preserve"> P119-130 of the r 11 documents</w:t>
      </w:r>
    </w:p>
  </w:footnote>
  <w:footnote w:id="5">
    <w:p w:rsidR="005E417E" w:rsidRPr="0016055E" w:rsidRDefault="005E417E">
      <w:pPr>
        <w:pStyle w:val="FootnoteText"/>
        <w:rPr>
          <w:rFonts w:ascii="Times New Roman" w:hAnsi="Times New Roman" w:cs="Times New Roman"/>
        </w:rPr>
      </w:pPr>
      <w:r w:rsidRPr="0016055E">
        <w:rPr>
          <w:rStyle w:val="FootnoteReference"/>
          <w:rFonts w:ascii="Times New Roman" w:hAnsi="Times New Roman" w:cs="Times New Roman"/>
        </w:rPr>
        <w:footnoteRef/>
      </w:r>
      <w:r w:rsidR="0016055E">
        <w:rPr>
          <w:rFonts w:ascii="Times New Roman" w:hAnsi="Times New Roman" w:cs="Times New Roman"/>
        </w:rPr>
        <w:t xml:space="preserve"> P7-28 </w:t>
      </w:r>
      <w:r w:rsidRPr="0016055E">
        <w:rPr>
          <w:rFonts w:ascii="Times New Roman" w:hAnsi="Times New Roman" w:cs="Times New Roman"/>
        </w:rPr>
        <w:t>of exhibit</w:t>
      </w:r>
      <w:r w:rsidR="0016055E">
        <w:rPr>
          <w:rFonts w:ascii="Times New Roman" w:hAnsi="Times New Roman" w:cs="Times New Roman"/>
        </w:rPr>
        <w:t xml:space="preserve"> 1 and p 5-28 of exhibit 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410035"/>
      <w:docPartObj>
        <w:docPartGallery w:val="Page Numbers (Top of Page)"/>
        <w:docPartUnique/>
      </w:docPartObj>
    </w:sdtPr>
    <w:sdtEndPr>
      <w:rPr>
        <w:noProof/>
      </w:rPr>
    </w:sdtEndPr>
    <w:sdtContent>
      <w:p w:rsidR="0035670B" w:rsidRDefault="0035670B">
        <w:pPr>
          <w:pStyle w:val="Header"/>
          <w:jc w:val="right"/>
          <w:rPr>
            <w:noProof/>
          </w:rPr>
        </w:pPr>
        <w:r>
          <w:fldChar w:fldCharType="begin"/>
        </w:r>
        <w:r>
          <w:instrText xml:space="preserve"> PAGE   \* MERGEFORMAT </w:instrText>
        </w:r>
        <w:r>
          <w:fldChar w:fldCharType="separate"/>
        </w:r>
        <w:r w:rsidR="00344D68">
          <w:rPr>
            <w:noProof/>
          </w:rPr>
          <w:t>1</w:t>
        </w:r>
        <w:r>
          <w:rPr>
            <w:noProof/>
          </w:rPr>
          <w:fldChar w:fldCharType="end"/>
        </w:r>
      </w:p>
      <w:p w:rsidR="0035670B" w:rsidRDefault="0035670B">
        <w:pPr>
          <w:pStyle w:val="Header"/>
          <w:jc w:val="right"/>
          <w:rPr>
            <w:noProof/>
          </w:rPr>
        </w:pPr>
        <w:r>
          <w:rPr>
            <w:noProof/>
          </w:rPr>
          <w:t>HH</w:t>
        </w:r>
        <w:r w:rsidR="000261D4">
          <w:rPr>
            <w:noProof/>
          </w:rPr>
          <w:t xml:space="preserve"> 227-20</w:t>
        </w:r>
      </w:p>
      <w:p w:rsidR="0035670B" w:rsidRDefault="0035670B">
        <w:pPr>
          <w:pStyle w:val="Header"/>
          <w:jc w:val="right"/>
        </w:pPr>
        <w:r>
          <w:rPr>
            <w:noProof/>
          </w:rPr>
          <w:t>ITC 06/16</w:t>
        </w:r>
      </w:p>
    </w:sdtContent>
  </w:sdt>
  <w:p w:rsidR="007E7615" w:rsidRDefault="007E76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BB7"/>
    <w:multiLevelType w:val="hybridMultilevel"/>
    <w:tmpl w:val="48C62272"/>
    <w:lvl w:ilvl="0" w:tplc="EE5857E6">
      <w:start w:val="1"/>
      <w:numFmt w:val="lowerRoman"/>
      <w:lvlText w:val="(%1)"/>
      <w:lvlJc w:val="left"/>
      <w:pPr>
        <w:ind w:left="2160" w:hanging="72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D72E21"/>
    <w:multiLevelType w:val="hybridMultilevel"/>
    <w:tmpl w:val="F0966A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C25AF"/>
    <w:multiLevelType w:val="hybridMultilevel"/>
    <w:tmpl w:val="B0DA426E"/>
    <w:lvl w:ilvl="0" w:tplc="9D4A8C1C">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41047C"/>
    <w:multiLevelType w:val="hybridMultilevel"/>
    <w:tmpl w:val="8B56D1EE"/>
    <w:lvl w:ilvl="0" w:tplc="3009000F">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1A184176"/>
    <w:multiLevelType w:val="hybridMultilevel"/>
    <w:tmpl w:val="8B6C2C98"/>
    <w:lvl w:ilvl="0" w:tplc="3009000F">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357E667A"/>
    <w:multiLevelType w:val="hybridMultilevel"/>
    <w:tmpl w:val="8B56D1EE"/>
    <w:lvl w:ilvl="0" w:tplc="3009000F">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472B71EE"/>
    <w:multiLevelType w:val="hybridMultilevel"/>
    <w:tmpl w:val="AFA271F8"/>
    <w:lvl w:ilvl="0" w:tplc="228CBCB2">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DB66C32"/>
    <w:multiLevelType w:val="hybridMultilevel"/>
    <w:tmpl w:val="C7604736"/>
    <w:lvl w:ilvl="0" w:tplc="7D744036">
      <w:start w:val="1"/>
      <w:numFmt w:val="lowerLetter"/>
      <w:lvlText w:val="(%1)"/>
      <w:lvlJc w:val="left"/>
      <w:pPr>
        <w:ind w:left="2160" w:hanging="720"/>
      </w:pPr>
      <w:rPr>
        <w:rFonts w:hint="default"/>
        <w:i/>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8" w15:restartNumberingAfterBreak="0">
    <w:nsid w:val="698563DB"/>
    <w:multiLevelType w:val="hybridMultilevel"/>
    <w:tmpl w:val="8B56D1EE"/>
    <w:lvl w:ilvl="0" w:tplc="3009000F">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1"/>
  </w:num>
  <w:num w:numId="5">
    <w:abstractNumId w:val="0"/>
  </w:num>
  <w:num w:numId="6">
    <w:abstractNumId w:val="6"/>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EF"/>
    <w:rsid w:val="00006C1D"/>
    <w:rsid w:val="00012589"/>
    <w:rsid w:val="00017EF8"/>
    <w:rsid w:val="00024E0C"/>
    <w:rsid w:val="00025158"/>
    <w:rsid w:val="000261D4"/>
    <w:rsid w:val="00031A47"/>
    <w:rsid w:val="00032BDD"/>
    <w:rsid w:val="000334F9"/>
    <w:rsid w:val="00035124"/>
    <w:rsid w:val="00037446"/>
    <w:rsid w:val="000442B5"/>
    <w:rsid w:val="000467EC"/>
    <w:rsid w:val="00050A43"/>
    <w:rsid w:val="0005288D"/>
    <w:rsid w:val="00053319"/>
    <w:rsid w:val="00056E29"/>
    <w:rsid w:val="0006061D"/>
    <w:rsid w:val="000606BC"/>
    <w:rsid w:val="00064667"/>
    <w:rsid w:val="000657DB"/>
    <w:rsid w:val="00065C33"/>
    <w:rsid w:val="00065F6D"/>
    <w:rsid w:val="00066DA3"/>
    <w:rsid w:val="00070814"/>
    <w:rsid w:val="00074D3A"/>
    <w:rsid w:val="00076697"/>
    <w:rsid w:val="00080292"/>
    <w:rsid w:val="00086402"/>
    <w:rsid w:val="000909DD"/>
    <w:rsid w:val="000910B2"/>
    <w:rsid w:val="00092791"/>
    <w:rsid w:val="000931C8"/>
    <w:rsid w:val="00094455"/>
    <w:rsid w:val="000A4801"/>
    <w:rsid w:val="000A4C6F"/>
    <w:rsid w:val="000A6DD8"/>
    <w:rsid w:val="000A6F8F"/>
    <w:rsid w:val="000B4806"/>
    <w:rsid w:val="000B58C2"/>
    <w:rsid w:val="000C0194"/>
    <w:rsid w:val="000C2F5E"/>
    <w:rsid w:val="000C3710"/>
    <w:rsid w:val="000C4D90"/>
    <w:rsid w:val="000C525B"/>
    <w:rsid w:val="000C75AB"/>
    <w:rsid w:val="000D110A"/>
    <w:rsid w:val="000D1988"/>
    <w:rsid w:val="000D2503"/>
    <w:rsid w:val="000D423A"/>
    <w:rsid w:val="000D4D1D"/>
    <w:rsid w:val="000D5AF3"/>
    <w:rsid w:val="000D6523"/>
    <w:rsid w:val="000D6E25"/>
    <w:rsid w:val="000E2DA8"/>
    <w:rsid w:val="000E5822"/>
    <w:rsid w:val="000E7343"/>
    <w:rsid w:val="000E7568"/>
    <w:rsid w:val="000F19D5"/>
    <w:rsid w:val="00100077"/>
    <w:rsid w:val="0010192B"/>
    <w:rsid w:val="0010264E"/>
    <w:rsid w:val="00105224"/>
    <w:rsid w:val="00110277"/>
    <w:rsid w:val="00113945"/>
    <w:rsid w:val="00117F9E"/>
    <w:rsid w:val="0012163E"/>
    <w:rsid w:val="00125F98"/>
    <w:rsid w:val="00127E61"/>
    <w:rsid w:val="00133D45"/>
    <w:rsid w:val="00135A1E"/>
    <w:rsid w:val="00142212"/>
    <w:rsid w:val="00150907"/>
    <w:rsid w:val="00152690"/>
    <w:rsid w:val="00153033"/>
    <w:rsid w:val="001555ED"/>
    <w:rsid w:val="00155CE3"/>
    <w:rsid w:val="001571C2"/>
    <w:rsid w:val="0016055E"/>
    <w:rsid w:val="00162807"/>
    <w:rsid w:val="001640C4"/>
    <w:rsid w:val="001643D7"/>
    <w:rsid w:val="00165445"/>
    <w:rsid w:val="001664FC"/>
    <w:rsid w:val="0017291E"/>
    <w:rsid w:val="00180C57"/>
    <w:rsid w:val="00182EFB"/>
    <w:rsid w:val="00190A92"/>
    <w:rsid w:val="0019630B"/>
    <w:rsid w:val="001A192D"/>
    <w:rsid w:val="001A590D"/>
    <w:rsid w:val="001B07A0"/>
    <w:rsid w:val="001B29E8"/>
    <w:rsid w:val="001B3D8F"/>
    <w:rsid w:val="001B64E7"/>
    <w:rsid w:val="001B6CA5"/>
    <w:rsid w:val="001C0FAF"/>
    <w:rsid w:val="001C1954"/>
    <w:rsid w:val="001C2316"/>
    <w:rsid w:val="001D1D06"/>
    <w:rsid w:val="001D2728"/>
    <w:rsid w:val="001D4903"/>
    <w:rsid w:val="001D5599"/>
    <w:rsid w:val="001D56C6"/>
    <w:rsid w:val="001E04B2"/>
    <w:rsid w:val="001E2C93"/>
    <w:rsid w:val="001E694E"/>
    <w:rsid w:val="001F009F"/>
    <w:rsid w:val="001F4253"/>
    <w:rsid w:val="001F6CD8"/>
    <w:rsid w:val="001F75F4"/>
    <w:rsid w:val="002064BE"/>
    <w:rsid w:val="002107E2"/>
    <w:rsid w:val="00210A4D"/>
    <w:rsid w:val="00210F71"/>
    <w:rsid w:val="0021287A"/>
    <w:rsid w:val="00212949"/>
    <w:rsid w:val="00214873"/>
    <w:rsid w:val="00216AED"/>
    <w:rsid w:val="00216D92"/>
    <w:rsid w:val="00216E55"/>
    <w:rsid w:val="00221CC0"/>
    <w:rsid w:val="00222F6D"/>
    <w:rsid w:val="00226129"/>
    <w:rsid w:val="002311C7"/>
    <w:rsid w:val="002355FB"/>
    <w:rsid w:val="00237F4A"/>
    <w:rsid w:val="002410D9"/>
    <w:rsid w:val="0024264B"/>
    <w:rsid w:val="0024624A"/>
    <w:rsid w:val="00250C1C"/>
    <w:rsid w:val="00251221"/>
    <w:rsid w:val="00254F01"/>
    <w:rsid w:val="00256658"/>
    <w:rsid w:val="002606DD"/>
    <w:rsid w:val="00260C14"/>
    <w:rsid w:val="00263D1C"/>
    <w:rsid w:val="00265788"/>
    <w:rsid w:val="002719C4"/>
    <w:rsid w:val="00277EC4"/>
    <w:rsid w:val="002811C7"/>
    <w:rsid w:val="002852C4"/>
    <w:rsid w:val="00285937"/>
    <w:rsid w:val="00285F21"/>
    <w:rsid w:val="002863EA"/>
    <w:rsid w:val="00292C83"/>
    <w:rsid w:val="00293A28"/>
    <w:rsid w:val="002A11CA"/>
    <w:rsid w:val="002A1775"/>
    <w:rsid w:val="002A7C4C"/>
    <w:rsid w:val="002A7F0E"/>
    <w:rsid w:val="002B0D37"/>
    <w:rsid w:val="002B1CF4"/>
    <w:rsid w:val="002B6217"/>
    <w:rsid w:val="002C1552"/>
    <w:rsid w:val="002C1821"/>
    <w:rsid w:val="002C1920"/>
    <w:rsid w:val="002C6418"/>
    <w:rsid w:val="002C6537"/>
    <w:rsid w:val="002C6934"/>
    <w:rsid w:val="002C7A48"/>
    <w:rsid w:val="002D0B29"/>
    <w:rsid w:val="002D4A59"/>
    <w:rsid w:val="002D50DF"/>
    <w:rsid w:val="002D65EC"/>
    <w:rsid w:val="002E0637"/>
    <w:rsid w:val="002E154C"/>
    <w:rsid w:val="002E17A2"/>
    <w:rsid w:val="002E1C28"/>
    <w:rsid w:val="002E319C"/>
    <w:rsid w:val="002E375B"/>
    <w:rsid w:val="002F22F6"/>
    <w:rsid w:val="002F24F4"/>
    <w:rsid w:val="002F51CA"/>
    <w:rsid w:val="002F6B47"/>
    <w:rsid w:val="002F6F22"/>
    <w:rsid w:val="002F6FE2"/>
    <w:rsid w:val="0030044D"/>
    <w:rsid w:val="00300F7F"/>
    <w:rsid w:val="00301688"/>
    <w:rsid w:val="0030360D"/>
    <w:rsid w:val="003037B5"/>
    <w:rsid w:val="00304A06"/>
    <w:rsid w:val="00307E95"/>
    <w:rsid w:val="00307F52"/>
    <w:rsid w:val="003103CB"/>
    <w:rsid w:val="0032315B"/>
    <w:rsid w:val="003273B2"/>
    <w:rsid w:val="00327428"/>
    <w:rsid w:val="00327836"/>
    <w:rsid w:val="003315F1"/>
    <w:rsid w:val="00331607"/>
    <w:rsid w:val="00336467"/>
    <w:rsid w:val="003365D3"/>
    <w:rsid w:val="0034160F"/>
    <w:rsid w:val="0034182D"/>
    <w:rsid w:val="00342F90"/>
    <w:rsid w:val="00344B8B"/>
    <w:rsid w:val="00344D68"/>
    <w:rsid w:val="00352344"/>
    <w:rsid w:val="0035396D"/>
    <w:rsid w:val="00354651"/>
    <w:rsid w:val="00354D5A"/>
    <w:rsid w:val="0035670B"/>
    <w:rsid w:val="00356D79"/>
    <w:rsid w:val="00356F2E"/>
    <w:rsid w:val="00357C93"/>
    <w:rsid w:val="003657F6"/>
    <w:rsid w:val="003666CD"/>
    <w:rsid w:val="00366846"/>
    <w:rsid w:val="00367A9D"/>
    <w:rsid w:val="00370190"/>
    <w:rsid w:val="00370972"/>
    <w:rsid w:val="00371982"/>
    <w:rsid w:val="00371E36"/>
    <w:rsid w:val="00372A0A"/>
    <w:rsid w:val="00376ECE"/>
    <w:rsid w:val="00383AF3"/>
    <w:rsid w:val="003857AF"/>
    <w:rsid w:val="0039185E"/>
    <w:rsid w:val="003938E0"/>
    <w:rsid w:val="0039644B"/>
    <w:rsid w:val="00396DC3"/>
    <w:rsid w:val="00397ECA"/>
    <w:rsid w:val="003B1BE8"/>
    <w:rsid w:val="003B3C6D"/>
    <w:rsid w:val="003B524B"/>
    <w:rsid w:val="003B537D"/>
    <w:rsid w:val="003C20F5"/>
    <w:rsid w:val="003C3432"/>
    <w:rsid w:val="003C48B8"/>
    <w:rsid w:val="003C5D07"/>
    <w:rsid w:val="003C62F4"/>
    <w:rsid w:val="003D038E"/>
    <w:rsid w:val="003D222E"/>
    <w:rsid w:val="003D4C78"/>
    <w:rsid w:val="003D728D"/>
    <w:rsid w:val="003E51C2"/>
    <w:rsid w:val="003E646D"/>
    <w:rsid w:val="003E7415"/>
    <w:rsid w:val="003E74F0"/>
    <w:rsid w:val="003F4C3D"/>
    <w:rsid w:val="0040095F"/>
    <w:rsid w:val="00401067"/>
    <w:rsid w:val="00403C9D"/>
    <w:rsid w:val="00406E7C"/>
    <w:rsid w:val="00412DD1"/>
    <w:rsid w:val="00413DC3"/>
    <w:rsid w:val="00416212"/>
    <w:rsid w:val="004165DC"/>
    <w:rsid w:val="0041748C"/>
    <w:rsid w:val="00422C5E"/>
    <w:rsid w:val="00422CCD"/>
    <w:rsid w:val="00424F22"/>
    <w:rsid w:val="00431E87"/>
    <w:rsid w:val="004364C2"/>
    <w:rsid w:val="004407C6"/>
    <w:rsid w:val="00443752"/>
    <w:rsid w:val="00451039"/>
    <w:rsid w:val="00457EAD"/>
    <w:rsid w:val="00462FC2"/>
    <w:rsid w:val="00463BF5"/>
    <w:rsid w:val="0046403E"/>
    <w:rsid w:val="00464958"/>
    <w:rsid w:val="00464D59"/>
    <w:rsid w:val="004653B4"/>
    <w:rsid w:val="004674D0"/>
    <w:rsid w:val="00471664"/>
    <w:rsid w:val="0047253C"/>
    <w:rsid w:val="004759EE"/>
    <w:rsid w:val="00477809"/>
    <w:rsid w:val="00480349"/>
    <w:rsid w:val="00485253"/>
    <w:rsid w:val="004853DE"/>
    <w:rsid w:val="00485476"/>
    <w:rsid w:val="00490BD6"/>
    <w:rsid w:val="00493F6B"/>
    <w:rsid w:val="00495163"/>
    <w:rsid w:val="00497F36"/>
    <w:rsid w:val="004A2BA7"/>
    <w:rsid w:val="004A3095"/>
    <w:rsid w:val="004B10BD"/>
    <w:rsid w:val="004B191B"/>
    <w:rsid w:val="004B1CE7"/>
    <w:rsid w:val="004B2AE6"/>
    <w:rsid w:val="004B6427"/>
    <w:rsid w:val="004B69A6"/>
    <w:rsid w:val="004B7C3E"/>
    <w:rsid w:val="004C4D3C"/>
    <w:rsid w:val="004C68FB"/>
    <w:rsid w:val="004C6B52"/>
    <w:rsid w:val="004D2D2A"/>
    <w:rsid w:val="004D423C"/>
    <w:rsid w:val="004D53E0"/>
    <w:rsid w:val="004E0616"/>
    <w:rsid w:val="004E4C0B"/>
    <w:rsid w:val="004E4F35"/>
    <w:rsid w:val="004E69B3"/>
    <w:rsid w:val="004F12E7"/>
    <w:rsid w:val="005000CE"/>
    <w:rsid w:val="005009EA"/>
    <w:rsid w:val="00506B69"/>
    <w:rsid w:val="0051116F"/>
    <w:rsid w:val="00511F6E"/>
    <w:rsid w:val="005128FA"/>
    <w:rsid w:val="00512DC3"/>
    <w:rsid w:val="00516BF8"/>
    <w:rsid w:val="0052033C"/>
    <w:rsid w:val="005234A5"/>
    <w:rsid w:val="005252BF"/>
    <w:rsid w:val="00525341"/>
    <w:rsid w:val="005268A5"/>
    <w:rsid w:val="00526A2F"/>
    <w:rsid w:val="00530299"/>
    <w:rsid w:val="00531690"/>
    <w:rsid w:val="00532564"/>
    <w:rsid w:val="005326EC"/>
    <w:rsid w:val="00532A1F"/>
    <w:rsid w:val="00532D55"/>
    <w:rsid w:val="005331D4"/>
    <w:rsid w:val="00533319"/>
    <w:rsid w:val="005345B5"/>
    <w:rsid w:val="005354F3"/>
    <w:rsid w:val="00537D94"/>
    <w:rsid w:val="00540318"/>
    <w:rsid w:val="00540CA0"/>
    <w:rsid w:val="00541346"/>
    <w:rsid w:val="00544E46"/>
    <w:rsid w:val="0055007D"/>
    <w:rsid w:val="00551E72"/>
    <w:rsid w:val="00555112"/>
    <w:rsid w:val="00556BF1"/>
    <w:rsid w:val="00560428"/>
    <w:rsid w:val="0056633B"/>
    <w:rsid w:val="005672A5"/>
    <w:rsid w:val="00570449"/>
    <w:rsid w:val="00570CD0"/>
    <w:rsid w:val="005729C7"/>
    <w:rsid w:val="00572C36"/>
    <w:rsid w:val="0057310D"/>
    <w:rsid w:val="00573331"/>
    <w:rsid w:val="00580240"/>
    <w:rsid w:val="0058087C"/>
    <w:rsid w:val="005827CD"/>
    <w:rsid w:val="00583358"/>
    <w:rsid w:val="00590A53"/>
    <w:rsid w:val="00593947"/>
    <w:rsid w:val="00594283"/>
    <w:rsid w:val="00594C06"/>
    <w:rsid w:val="0059500E"/>
    <w:rsid w:val="00596777"/>
    <w:rsid w:val="005A0E67"/>
    <w:rsid w:val="005A379B"/>
    <w:rsid w:val="005A4436"/>
    <w:rsid w:val="005A5F52"/>
    <w:rsid w:val="005B443B"/>
    <w:rsid w:val="005B5858"/>
    <w:rsid w:val="005C5474"/>
    <w:rsid w:val="005C6792"/>
    <w:rsid w:val="005D49A9"/>
    <w:rsid w:val="005D4B20"/>
    <w:rsid w:val="005D65B7"/>
    <w:rsid w:val="005D77EA"/>
    <w:rsid w:val="005D7FB3"/>
    <w:rsid w:val="005E226C"/>
    <w:rsid w:val="005E2B58"/>
    <w:rsid w:val="005E417E"/>
    <w:rsid w:val="005E4AA0"/>
    <w:rsid w:val="005E7CBF"/>
    <w:rsid w:val="005F4AF8"/>
    <w:rsid w:val="00603055"/>
    <w:rsid w:val="00603635"/>
    <w:rsid w:val="006048D4"/>
    <w:rsid w:val="006059D6"/>
    <w:rsid w:val="00606225"/>
    <w:rsid w:val="00613458"/>
    <w:rsid w:val="00622E68"/>
    <w:rsid w:val="0062443E"/>
    <w:rsid w:val="0062608F"/>
    <w:rsid w:val="006303FC"/>
    <w:rsid w:val="00631C28"/>
    <w:rsid w:val="00633D1F"/>
    <w:rsid w:val="00640FAA"/>
    <w:rsid w:val="0065152C"/>
    <w:rsid w:val="00652307"/>
    <w:rsid w:val="0065376A"/>
    <w:rsid w:val="006602BA"/>
    <w:rsid w:val="0066398C"/>
    <w:rsid w:val="00665851"/>
    <w:rsid w:val="00666AE4"/>
    <w:rsid w:val="00671215"/>
    <w:rsid w:val="0067194B"/>
    <w:rsid w:val="00673309"/>
    <w:rsid w:val="00675D1C"/>
    <w:rsid w:val="006765A7"/>
    <w:rsid w:val="006835E8"/>
    <w:rsid w:val="00683FD2"/>
    <w:rsid w:val="006859CA"/>
    <w:rsid w:val="00690166"/>
    <w:rsid w:val="00691216"/>
    <w:rsid w:val="006935C6"/>
    <w:rsid w:val="00693B1F"/>
    <w:rsid w:val="00693B3A"/>
    <w:rsid w:val="00694899"/>
    <w:rsid w:val="00694D47"/>
    <w:rsid w:val="0069560F"/>
    <w:rsid w:val="006956A2"/>
    <w:rsid w:val="00695E15"/>
    <w:rsid w:val="006A02EE"/>
    <w:rsid w:val="006A60AE"/>
    <w:rsid w:val="006A63B2"/>
    <w:rsid w:val="006A6E1C"/>
    <w:rsid w:val="006A6E54"/>
    <w:rsid w:val="006B0879"/>
    <w:rsid w:val="006B5667"/>
    <w:rsid w:val="006B6021"/>
    <w:rsid w:val="006C0F3D"/>
    <w:rsid w:val="006C190A"/>
    <w:rsid w:val="006C1D51"/>
    <w:rsid w:val="006C2637"/>
    <w:rsid w:val="006C6C1C"/>
    <w:rsid w:val="006D00DE"/>
    <w:rsid w:val="006D313D"/>
    <w:rsid w:val="006D3339"/>
    <w:rsid w:val="006D385F"/>
    <w:rsid w:val="006E1C49"/>
    <w:rsid w:val="006E5D2B"/>
    <w:rsid w:val="006E7096"/>
    <w:rsid w:val="006F0D0F"/>
    <w:rsid w:val="006F22B8"/>
    <w:rsid w:val="006F45F8"/>
    <w:rsid w:val="0070228C"/>
    <w:rsid w:val="00703D5D"/>
    <w:rsid w:val="007166C9"/>
    <w:rsid w:val="00722085"/>
    <w:rsid w:val="00723E43"/>
    <w:rsid w:val="00724F58"/>
    <w:rsid w:val="007255F1"/>
    <w:rsid w:val="0072579B"/>
    <w:rsid w:val="00725A85"/>
    <w:rsid w:val="007263F5"/>
    <w:rsid w:val="00727B96"/>
    <w:rsid w:val="00732729"/>
    <w:rsid w:val="00732E4F"/>
    <w:rsid w:val="0073444A"/>
    <w:rsid w:val="007345E6"/>
    <w:rsid w:val="00734FA9"/>
    <w:rsid w:val="007470D3"/>
    <w:rsid w:val="00750B78"/>
    <w:rsid w:val="00757238"/>
    <w:rsid w:val="00760FB7"/>
    <w:rsid w:val="0076197E"/>
    <w:rsid w:val="007622DE"/>
    <w:rsid w:val="00766019"/>
    <w:rsid w:val="00767228"/>
    <w:rsid w:val="00770C82"/>
    <w:rsid w:val="007804CC"/>
    <w:rsid w:val="0078157B"/>
    <w:rsid w:val="00781CC9"/>
    <w:rsid w:val="00783548"/>
    <w:rsid w:val="007835A0"/>
    <w:rsid w:val="00785D8E"/>
    <w:rsid w:val="007878F1"/>
    <w:rsid w:val="0079341E"/>
    <w:rsid w:val="007959CF"/>
    <w:rsid w:val="0079663B"/>
    <w:rsid w:val="00797009"/>
    <w:rsid w:val="0079720C"/>
    <w:rsid w:val="00797308"/>
    <w:rsid w:val="007A322C"/>
    <w:rsid w:val="007A5046"/>
    <w:rsid w:val="007A5A02"/>
    <w:rsid w:val="007A695B"/>
    <w:rsid w:val="007A6FCC"/>
    <w:rsid w:val="007B756A"/>
    <w:rsid w:val="007C0F91"/>
    <w:rsid w:val="007C10FD"/>
    <w:rsid w:val="007C28E7"/>
    <w:rsid w:val="007C3701"/>
    <w:rsid w:val="007C6432"/>
    <w:rsid w:val="007C6A93"/>
    <w:rsid w:val="007D136E"/>
    <w:rsid w:val="007D7325"/>
    <w:rsid w:val="007E12CF"/>
    <w:rsid w:val="007E175E"/>
    <w:rsid w:val="007E25E5"/>
    <w:rsid w:val="007E4FDF"/>
    <w:rsid w:val="007E7615"/>
    <w:rsid w:val="007F0240"/>
    <w:rsid w:val="007F0EB8"/>
    <w:rsid w:val="007F1988"/>
    <w:rsid w:val="007F344C"/>
    <w:rsid w:val="007F7546"/>
    <w:rsid w:val="0080108A"/>
    <w:rsid w:val="00806BC4"/>
    <w:rsid w:val="008070C4"/>
    <w:rsid w:val="00810A72"/>
    <w:rsid w:val="0081533C"/>
    <w:rsid w:val="008328D6"/>
    <w:rsid w:val="00835CD7"/>
    <w:rsid w:val="0083678D"/>
    <w:rsid w:val="00842223"/>
    <w:rsid w:val="00847542"/>
    <w:rsid w:val="00851FEA"/>
    <w:rsid w:val="0085274A"/>
    <w:rsid w:val="00853F49"/>
    <w:rsid w:val="0085611A"/>
    <w:rsid w:val="00860DA8"/>
    <w:rsid w:val="008610DC"/>
    <w:rsid w:val="00862160"/>
    <w:rsid w:val="00864186"/>
    <w:rsid w:val="0086543A"/>
    <w:rsid w:val="00867384"/>
    <w:rsid w:val="008744AD"/>
    <w:rsid w:val="0088076B"/>
    <w:rsid w:val="008807DC"/>
    <w:rsid w:val="00885C68"/>
    <w:rsid w:val="00885F52"/>
    <w:rsid w:val="00886823"/>
    <w:rsid w:val="008901B3"/>
    <w:rsid w:val="00890839"/>
    <w:rsid w:val="00890F10"/>
    <w:rsid w:val="00891AE7"/>
    <w:rsid w:val="00897B20"/>
    <w:rsid w:val="00897F4E"/>
    <w:rsid w:val="008A4472"/>
    <w:rsid w:val="008A5841"/>
    <w:rsid w:val="008A7867"/>
    <w:rsid w:val="008B0206"/>
    <w:rsid w:val="008B2D54"/>
    <w:rsid w:val="008B3E27"/>
    <w:rsid w:val="008C01E9"/>
    <w:rsid w:val="008C0601"/>
    <w:rsid w:val="008C1F83"/>
    <w:rsid w:val="008C6624"/>
    <w:rsid w:val="008C697A"/>
    <w:rsid w:val="008D0A4A"/>
    <w:rsid w:val="008D2456"/>
    <w:rsid w:val="008D28C0"/>
    <w:rsid w:val="008D38CE"/>
    <w:rsid w:val="008D6637"/>
    <w:rsid w:val="008E01A8"/>
    <w:rsid w:val="008E3441"/>
    <w:rsid w:val="008E6A20"/>
    <w:rsid w:val="008E6E89"/>
    <w:rsid w:val="008E7790"/>
    <w:rsid w:val="008F1297"/>
    <w:rsid w:val="008F5CA6"/>
    <w:rsid w:val="00900588"/>
    <w:rsid w:val="00906D70"/>
    <w:rsid w:val="00912297"/>
    <w:rsid w:val="00912C33"/>
    <w:rsid w:val="00914D4C"/>
    <w:rsid w:val="00914D82"/>
    <w:rsid w:val="009218D6"/>
    <w:rsid w:val="00921C86"/>
    <w:rsid w:val="00923BAF"/>
    <w:rsid w:val="0092625F"/>
    <w:rsid w:val="0093514F"/>
    <w:rsid w:val="00935B53"/>
    <w:rsid w:val="00937363"/>
    <w:rsid w:val="009406B9"/>
    <w:rsid w:val="00940A7D"/>
    <w:rsid w:val="009419F5"/>
    <w:rsid w:val="00942356"/>
    <w:rsid w:val="00943FA8"/>
    <w:rsid w:val="00945B23"/>
    <w:rsid w:val="00946146"/>
    <w:rsid w:val="00946951"/>
    <w:rsid w:val="00947BC6"/>
    <w:rsid w:val="00953950"/>
    <w:rsid w:val="009560DD"/>
    <w:rsid w:val="009565EE"/>
    <w:rsid w:val="00957E00"/>
    <w:rsid w:val="00963666"/>
    <w:rsid w:val="00964266"/>
    <w:rsid w:val="00971CC4"/>
    <w:rsid w:val="009744BC"/>
    <w:rsid w:val="00974F3B"/>
    <w:rsid w:val="00975C89"/>
    <w:rsid w:val="009802BD"/>
    <w:rsid w:val="00981B81"/>
    <w:rsid w:val="00983ECF"/>
    <w:rsid w:val="00985043"/>
    <w:rsid w:val="00994CA3"/>
    <w:rsid w:val="009A0675"/>
    <w:rsid w:val="009B5C53"/>
    <w:rsid w:val="009B5FE3"/>
    <w:rsid w:val="009B676F"/>
    <w:rsid w:val="009C1A43"/>
    <w:rsid w:val="009C2EBB"/>
    <w:rsid w:val="009D03A0"/>
    <w:rsid w:val="009D1DEE"/>
    <w:rsid w:val="009D260F"/>
    <w:rsid w:val="009D37FE"/>
    <w:rsid w:val="009D42F7"/>
    <w:rsid w:val="009D4B1F"/>
    <w:rsid w:val="009D55DB"/>
    <w:rsid w:val="009D6B4C"/>
    <w:rsid w:val="009D7B0E"/>
    <w:rsid w:val="009D7D55"/>
    <w:rsid w:val="009E09AD"/>
    <w:rsid w:val="009E3E78"/>
    <w:rsid w:val="009E505C"/>
    <w:rsid w:val="009E7D6D"/>
    <w:rsid w:val="009F00B9"/>
    <w:rsid w:val="009F387D"/>
    <w:rsid w:val="009F4364"/>
    <w:rsid w:val="009F785C"/>
    <w:rsid w:val="00A00D52"/>
    <w:rsid w:val="00A03F7B"/>
    <w:rsid w:val="00A06121"/>
    <w:rsid w:val="00A073CC"/>
    <w:rsid w:val="00A0762A"/>
    <w:rsid w:val="00A14C40"/>
    <w:rsid w:val="00A14D41"/>
    <w:rsid w:val="00A1580B"/>
    <w:rsid w:val="00A17E6B"/>
    <w:rsid w:val="00A24843"/>
    <w:rsid w:val="00A26CBD"/>
    <w:rsid w:val="00A306DD"/>
    <w:rsid w:val="00A30788"/>
    <w:rsid w:val="00A310AF"/>
    <w:rsid w:val="00A32303"/>
    <w:rsid w:val="00A41B9E"/>
    <w:rsid w:val="00A4316F"/>
    <w:rsid w:val="00A43513"/>
    <w:rsid w:val="00A464BC"/>
    <w:rsid w:val="00A466B5"/>
    <w:rsid w:val="00A46F8B"/>
    <w:rsid w:val="00A531D0"/>
    <w:rsid w:val="00A553F6"/>
    <w:rsid w:val="00A611D2"/>
    <w:rsid w:val="00A63654"/>
    <w:rsid w:val="00A64C66"/>
    <w:rsid w:val="00A65CF7"/>
    <w:rsid w:val="00A71C76"/>
    <w:rsid w:val="00A733B3"/>
    <w:rsid w:val="00A76900"/>
    <w:rsid w:val="00A77431"/>
    <w:rsid w:val="00A80A52"/>
    <w:rsid w:val="00A8194C"/>
    <w:rsid w:val="00A827DB"/>
    <w:rsid w:val="00A82A95"/>
    <w:rsid w:val="00A840A6"/>
    <w:rsid w:val="00A842F0"/>
    <w:rsid w:val="00A90721"/>
    <w:rsid w:val="00A94E2C"/>
    <w:rsid w:val="00A95F23"/>
    <w:rsid w:val="00A96767"/>
    <w:rsid w:val="00A9683B"/>
    <w:rsid w:val="00A97495"/>
    <w:rsid w:val="00AA6673"/>
    <w:rsid w:val="00AB0101"/>
    <w:rsid w:val="00AB17D8"/>
    <w:rsid w:val="00AB1EAA"/>
    <w:rsid w:val="00AB56F7"/>
    <w:rsid w:val="00AB62E4"/>
    <w:rsid w:val="00AC268C"/>
    <w:rsid w:val="00AC27C0"/>
    <w:rsid w:val="00AC33E7"/>
    <w:rsid w:val="00AC711F"/>
    <w:rsid w:val="00AC74C2"/>
    <w:rsid w:val="00AD2560"/>
    <w:rsid w:val="00AD3E3A"/>
    <w:rsid w:val="00AD4EB5"/>
    <w:rsid w:val="00AD7074"/>
    <w:rsid w:val="00AD75A9"/>
    <w:rsid w:val="00AE0761"/>
    <w:rsid w:val="00AE4015"/>
    <w:rsid w:val="00AE4508"/>
    <w:rsid w:val="00AF1824"/>
    <w:rsid w:val="00AF23A8"/>
    <w:rsid w:val="00AF30ED"/>
    <w:rsid w:val="00AF466B"/>
    <w:rsid w:val="00B02D8F"/>
    <w:rsid w:val="00B041AA"/>
    <w:rsid w:val="00B04CD2"/>
    <w:rsid w:val="00B05357"/>
    <w:rsid w:val="00B0632C"/>
    <w:rsid w:val="00B066EC"/>
    <w:rsid w:val="00B11FB8"/>
    <w:rsid w:val="00B15109"/>
    <w:rsid w:val="00B15C34"/>
    <w:rsid w:val="00B164CB"/>
    <w:rsid w:val="00B16746"/>
    <w:rsid w:val="00B2254D"/>
    <w:rsid w:val="00B23028"/>
    <w:rsid w:val="00B23788"/>
    <w:rsid w:val="00B23DFC"/>
    <w:rsid w:val="00B2534A"/>
    <w:rsid w:val="00B27CD1"/>
    <w:rsid w:val="00B36D68"/>
    <w:rsid w:val="00B409F0"/>
    <w:rsid w:val="00B412A7"/>
    <w:rsid w:val="00B42EA8"/>
    <w:rsid w:val="00B43AC6"/>
    <w:rsid w:val="00B45794"/>
    <w:rsid w:val="00B53DEF"/>
    <w:rsid w:val="00B542AE"/>
    <w:rsid w:val="00B57182"/>
    <w:rsid w:val="00B57998"/>
    <w:rsid w:val="00B63322"/>
    <w:rsid w:val="00B65A84"/>
    <w:rsid w:val="00B6794B"/>
    <w:rsid w:val="00B7253C"/>
    <w:rsid w:val="00B72953"/>
    <w:rsid w:val="00B72990"/>
    <w:rsid w:val="00B7450A"/>
    <w:rsid w:val="00B75F73"/>
    <w:rsid w:val="00B76624"/>
    <w:rsid w:val="00B820F2"/>
    <w:rsid w:val="00B82909"/>
    <w:rsid w:val="00B87D48"/>
    <w:rsid w:val="00B90245"/>
    <w:rsid w:val="00B910D5"/>
    <w:rsid w:val="00B92992"/>
    <w:rsid w:val="00B972D6"/>
    <w:rsid w:val="00BA0AB5"/>
    <w:rsid w:val="00BA4AD1"/>
    <w:rsid w:val="00BA68E5"/>
    <w:rsid w:val="00BB2032"/>
    <w:rsid w:val="00BB3CE7"/>
    <w:rsid w:val="00BB6316"/>
    <w:rsid w:val="00BB7F91"/>
    <w:rsid w:val="00BC0456"/>
    <w:rsid w:val="00BC06F6"/>
    <w:rsid w:val="00BC1337"/>
    <w:rsid w:val="00BC330E"/>
    <w:rsid w:val="00BC3DD3"/>
    <w:rsid w:val="00BC4A86"/>
    <w:rsid w:val="00BD05B8"/>
    <w:rsid w:val="00BD3E60"/>
    <w:rsid w:val="00BD4F63"/>
    <w:rsid w:val="00BD5AF9"/>
    <w:rsid w:val="00BD61A9"/>
    <w:rsid w:val="00BE3B6B"/>
    <w:rsid w:val="00BE4078"/>
    <w:rsid w:val="00BE4607"/>
    <w:rsid w:val="00BE4629"/>
    <w:rsid w:val="00BE5124"/>
    <w:rsid w:val="00BE6361"/>
    <w:rsid w:val="00BF040C"/>
    <w:rsid w:val="00BF3AF7"/>
    <w:rsid w:val="00BF5153"/>
    <w:rsid w:val="00C00D83"/>
    <w:rsid w:val="00C01AAA"/>
    <w:rsid w:val="00C03ADC"/>
    <w:rsid w:val="00C05462"/>
    <w:rsid w:val="00C1279A"/>
    <w:rsid w:val="00C132D5"/>
    <w:rsid w:val="00C142A3"/>
    <w:rsid w:val="00C150A5"/>
    <w:rsid w:val="00C159DA"/>
    <w:rsid w:val="00C24F01"/>
    <w:rsid w:val="00C26578"/>
    <w:rsid w:val="00C31768"/>
    <w:rsid w:val="00C32B1F"/>
    <w:rsid w:val="00C32CD8"/>
    <w:rsid w:val="00C37E7C"/>
    <w:rsid w:val="00C43033"/>
    <w:rsid w:val="00C438E7"/>
    <w:rsid w:val="00C4429C"/>
    <w:rsid w:val="00C44316"/>
    <w:rsid w:val="00C444A3"/>
    <w:rsid w:val="00C47140"/>
    <w:rsid w:val="00C47329"/>
    <w:rsid w:val="00C51323"/>
    <w:rsid w:val="00C51B1F"/>
    <w:rsid w:val="00C52B80"/>
    <w:rsid w:val="00C54CCC"/>
    <w:rsid w:val="00C579F5"/>
    <w:rsid w:val="00C62DE9"/>
    <w:rsid w:val="00C67625"/>
    <w:rsid w:val="00C779C5"/>
    <w:rsid w:val="00C8683C"/>
    <w:rsid w:val="00C90268"/>
    <w:rsid w:val="00C90ACB"/>
    <w:rsid w:val="00C9387B"/>
    <w:rsid w:val="00C94032"/>
    <w:rsid w:val="00C94B7E"/>
    <w:rsid w:val="00CA0679"/>
    <w:rsid w:val="00CA33DA"/>
    <w:rsid w:val="00CA4641"/>
    <w:rsid w:val="00CA46CD"/>
    <w:rsid w:val="00CB6D7D"/>
    <w:rsid w:val="00CC6265"/>
    <w:rsid w:val="00CC7855"/>
    <w:rsid w:val="00CC7FF3"/>
    <w:rsid w:val="00CD1742"/>
    <w:rsid w:val="00CD21EB"/>
    <w:rsid w:val="00CD3003"/>
    <w:rsid w:val="00CD78AE"/>
    <w:rsid w:val="00CD7AEB"/>
    <w:rsid w:val="00CE23FB"/>
    <w:rsid w:val="00CE2A65"/>
    <w:rsid w:val="00CE4401"/>
    <w:rsid w:val="00CE45E8"/>
    <w:rsid w:val="00CE5649"/>
    <w:rsid w:val="00CE56BB"/>
    <w:rsid w:val="00CF081A"/>
    <w:rsid w:val="00CF113B"/>
    <w:rsid w:val="00CF2289"/>
    <w:rsid w:val="00CF2A8B"/>
    <w:rsid w:val="00CF4350"/>
    <w:rsid w:val="00CF7B04"/>
    <w:rsid w:val="00D0063A"/>
    <w:rsid w:val="00D01553"/>
    <w:rsid w:val="00D015B5"/>
    <w:rsid w:val="00D01F80"/>
    <w:rsid w:val="00D041AD"/>
    <w:rsid w:val="00D0525B"/>
    <w:rsid w:val="00D0620C"/>
    <w:rsid w:val="00D07771"/>
    <w:rsid w:val="00D10D76"/>
    <w:rsid w:val="00D1130C"/>
    <w:rsid w:val="00D139DA"/>
    <w:rsid w:val="00D16FE8"/>
    <w:rsid w:val="00D2113D"/>
    <w:rsid w:val="00D21C17"/>
    <w:rsid w:val="00D21FD9"/>
    <w:rsid w:val="00D2246E"/>
    <w:rsid w:val="00D31C6C"/>
    <w:rsid w:val="00D36B32"/>
    <w:rsid w:val="00D421D3"/>
    <w:rsid w:val="00D430F4"/>
    <w:rsid w:val="00D43110"/>
    <w:rsid w:val="00D44E1A"/>
    <w:rsid w:val="00D457E8"/>
    <w:rsid w:val="00D46C1A"/>
    <w:rsid w:val="00D5243A"/>
    <w:rsid w:val="00D61211"/>
    <w:rsid w:val="00D62897"/>
    <w:rsid w:val="00D64AD5"/>
    <w:rsid w:val="00D659C3"/>
    <w:rsid w:val="00D72F5A"/>
    <w:rsid w:val="00D732FA"/>
    <w:rsid w:val="00D75656"/>
    <w:rsid w:val="00D76823"/>
    <w:rsid w:val="00D87C9A"/>
    <w:rsid w:val="00D91271"/>
    <w:rsid w:val="00D9131E"/>
    <w:rsid w:val="00D93BAC"/>
    <w:rsid w:val="00D96785"/>
    <w:rsid w:val="00DA3CAB"/>
    <w:rsid w:val="00DA5614"/>
    <w:rsid w:val="00DC3C32"/>
    <w:rsid w:val="00DC3CB5"/>
    <w:rsid w:val="00DD0539"/>
    <w:rsid w:val="00DD36E0"/>
    <w:rsid w:val="00DD56AE"/>
    <w:rsid w:val="00DD5A73"/>
    <w:rsid w:val="00DD67BC"/>
    <w:rsid w:val="00DE4736"/>
    <w:rsid w:val="00DE4DC7"/>
    <w:rsid w:val="00DF1F02"/>
    <w:rsid w:val="00DF4011"/>
    <w:rsid w:val="00DF5DDC"/>
    <w:rsid w:val="00E0148D"/>
    <w:rsid w:val="00E077E2"/>
    <w:rsid w:val="00E17736"/>
    <w:rsid w:val="00E20B3E"/>
    <w:rsid w:val="00E239A5"/>
    <w:rsid w:val="00E243AB"/>
    <w:rsid w:val="00E25006"/>
    <w:rsid w:val="00E257C3"/>
    <w:rsid w:val="00E25FFC"/>
    <w:rsid w:val="00E27ECC"/>
    <w:rsid w:val="00E311E8"/>
    <w:rsid w:val="00E3273D"/>
    <w:rsid w:val="00E33591"/>
    <w:rsid w:val="00E3790F"/>
    <w:rsid w:val="00E41518"/>
    <w:rsid w:val="00E41BDD"/>
    <w:rsid w:val="00E41C18"/>
    <w:rsid w:val="00E42C4D"/>
    <w:rsid w:val="00E559B9"/>
    <w:rsid w:val="00E55AC8"/>
    <w:rsid w:val="00E6006B"/>
    <w:rsid w:val="00E67BB6"/>
    <w:rsid w:val="00E71C43"/>
    <w:rsid w:val="00E730BD"/>
    <w:rsid w:val="00E76E61"/>
    <w:rsid w:val="00E77A7B"/>
    <w:rsid w:val="00E816B5"/>
    <w:rsid w:val="00E9093D"/>
    <w:rsid w:val="00E958CC"/>
    <w:rsid w:val="00E973C6"/>
    <w:rsid w:val="00EA0BBD"/>
    <w:rsid w:val="00EA2342"/>
    <w:rsid w:val="00EA392A"/>
    <w:rsid w:val="00EA7F03"/>
    <w:rsid w:val="00EB40EC"/>
    <w:rsid w:val="00EB4885"/>
    <w:rsid w:val="00EB70A9"/>
    <w:rsid w:val="00EC2AB5"/>
    <w:rsid w:val="00EC328D"/>
    <w:rsid w:val="00EC49B5"/>
    <w:rsid w:val="00ED3ADC"/>
    <w:rsid w:val="00ED3CEB"/>
    <w:rsid w:val="00ED418C"/>
    <w:rsid w:val="00ED60A9"/>
    <w:rsid w:val="00EE1E47"/>
    <w:rsid w:val="00EE5DE9"/>
    <w:rsid w:val="00EE69D4"/>
    <w:rsid w:val="00EE71B6"/>
    <w:rsid w:val="00EF07C3"/>
    <w:rsid w:val="00EF25B4"/>
    <w:rsid w:val="00EF4E7B"/>
    <w:rsid w:val="00EF6793"/>
    <w:rsid w:val="00F01352"/>
    <w:rsid w:val="00F0255A"/>
    <w:rsid w:val="00F030EF"/>
    <w:rsid w:val="00F05C4D"/>
    <w:rsid w:val="00F06398"/>
    <w:rsid w:val="00F06861"/>
    <w:rsid w:val="00F10AEB"/>
    <w:rsid w:val="00F15DF2"/>
    <w:rsid w:val="00F175C2"/>
    <w:rsid w:val="00F2235B"/>
    <w:rsid w:val="00F25446"/>
    <w:rsid w:val="00F26A84"/>
    <w:rsid w:val="00F27B39"/>
    <w:rsid w:val="00F27D3A"/>
    <w:rsid w:val="00F33682"/>
    <w:rsid w:val="00F43398"/>
    <w:rsid w:val="00F4466F"/>
    <w:rsid w:val="00F46021"/>
    <w:rsid w:val="00F50387"/>
    <w:rsid w:val="00F503C2"/>
    <w:rsid w:val="00F52FAD"/>
    <w:rsid w:val="00F5632E"/>
    <w:rsid w:val="00F56B70"/>
    <w:rsid w:val="00F603B4"/>
    <w:rsid w:val="00F6275E"/>
    <w:rsid w:val="00F64F78"/>
    <w:rsid w:val="00F70F2F"/>
    <w:rsid w:val="00F76143"/>
    <w:rsid w:val="00F77BB3"/>
    <w:rsid w:val="00F8007E"/>
    <w:rsid w:val="00F824E7"/>
    <w:rsid w:val="00F84569"/>
    <w:rsid w:val="00F8486D"/>
    <w:rsid w:val="00F86B32"/>
    <w:rsid w:val="00F87D03"/>
    <w:rsid w:val="00F90A01"/>
    <w:rsid w:val="00F90AAD"/>
    <w:rsid w:val="00F90FAA"/>
    <w:rsid w:val="00F91B38"/>
    <w:rsid w:val="00F92516"/>
    <w:rsid w:val="00F94A0D"/>
    <w:rsid w:val="00FA2667"/>
    <w:rsid w:val="00FA3988"/>
    <w:rsid w:val="00FA6756"/>
    <w:rsid w:val="00FB2CC7"/>
    <w:rsid w:val="00FB514C"/>
    <w:rsid w:val="00FC02C4"/>
    <w:rsid w:val="00FC3239"/>
    <w:rsid w:val="00FC5D39"/>
    <w:rsid w:val="00FD12AB"/>
    <w:rsid w:val="00FD139B"/>
    <w:rsid w:val="00FD67E0"/>
    <w:rsid w:val="00FE10E9"/>
    <w:rsid w:val="00FE1944"/>
    <w:rsid w:val="00FE22C6"/>
    <w:rsid w:val="00FE4A2D"/>
    <w:rsid w:val="00FE6716"/>
    <w:rsid w:val="00FE7718"/>
    <w:rsid w:val="00FF0B3F"/>
    <w:rsid w:val="00FF3A92"/>
    <w:rsid w:val="00FF4E70"/>
    <w:rsid w:val="00FF50AA"/>
    <w:rsid w:val="00FF604B"/>
    <w:rsid w:val="00FF6989"/>
    <w:rsid w:val="00FF75F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13A748-8368-4A47-AE17-D2EE8342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0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0B2"/>
  </w:style>
  <w:style w:type="paragraph" w:styleId="Footer">
    <w:name w:val="footer"/>
    <w:basedOn w:val="Normal"/>
    <w:link w:val="FooterChar"/>
    <w:uiPriority w:val="99"/>
    <w:unhideWhenUsed/>
    <w:rsid w:val="000910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0B2"/>
  </w:style>
  <w:style w:type="paragraph" w:styleId="ListParagraph">
    <w:name w:val="List Paragraph"/>
    <w:basedOn w:val="Normal"/>
    <w:uiPriority w:val="34"/>
    <w:qFormat/>
    <w:rsid w:val="008E6E89"/>
    <w:pPr>
      <w:ind w:left="720"/>
      <w:contextualSpacing/>
    </w:pPr>
  </w:style>
  <w:style w:type="paragraph" w:styleId="FootnoteText">
    <w:name w:val="footnote text"/>
    <w:basedOn w:val="Normal"/>
    <w:link w:val="FootnoteTextChar"/>
    <w:uiPriority w:val="99"/>
    <w:semiHidden/>
    <w:unhideWhenUsed/>
    <w:rsid w:val="00210A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0A4D"/>
    <w:rPr>
      <w:sz w:val="20"/>
      <w:szCs w:val="20"/>
    </w:rPr>
  </w:style>
  <w:style w:type="character" w:styleId="FootnoteReference">
    <w:name w:val="footnote reference"/>
    <w:basedOn w:val="DefaultParagraphFont"/>
    <w:uiPriority w:val="99"/>
    <w:semiHidden/>
    <w:unhideWhenUsed/>
    <w:rsid w:val="00210A4D"/>
    <w:rPr>
      <w:vertAlign w:val="superscript"/>
    </w:rPr>
  </w:style>
  <w:style w:type="paragraph" w:styleId="BalloonText">
    <w:name w:val="Balloon Text"/>
    <w:basedOn w:val="Normal"/>
    <w:link w:val="BalloonTextChar"/>
    <w:uiPriority w:val="99"/>
    <w:semiHidden/>
    <w:unhideWhenUsed/>
    <w:rsid w:val="00695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6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F2D18-95DF-4EA8-BB27-E3CA865C2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5560</Words>
  <Characters>31696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Kudya</dc:creator>
  <cp:keywords/>
  <dc:description/>
  <cp:lastModifiedBy>JSC</cp:lastModifiedBy>
  <cp:revision>2</cp:revision>
  <cp:lastPrinted>2020-03-13T07:46:00Z</cp:lastPrinted>
  <dcterms:created xsi:type="dcterms:W3CDTF">2020-03-16T10:24:00Z</dcterms:created>
  <dcterms:modified xsi:type="dcterms:W3CDTF">2020-03-16T10:24:00Z</dcterms:modified>
</cp:coreProperties>
</file>