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2A4" w:rsidRDefault="00A15094" w:rsidP="0000054D">
      <w:pPr>
        <w:spacing w:after="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LYDIA MUTANDAVARI </w:t>
      </w:r>
      <w:r>
        <w:rPr>
          <w:rFonts w:ascii="Times New Roman" w:hAnsi="Times New Roman" w:cs="Times New Roman"/>
          <w:sz w:val="24"/>
          <w:szCs w:val="24"/>
        </w:rPr>
        <w:tab/>
      </w:r>
      <w:r>
        <w:rPr>
          <w:rFonts w:ascii="Times New Roman" w:hAnsi="Times New Roman" w:cs="Times New Roman"/>
          <w:sz w:val="24"/>
          <w:szCs w:val="24"/>
        </w:rPr>
        <w:tab/>
      </w:r>
    </w:p>
    <w:p w:rsidR="00A15094" w:rsidRDefault="00A15094" w:rsidP="0000054D">
      <w:pPr>
        <w:spacing w:after="0"/>
        <w:rPr>
          <w:rFonts w:ascii="Times New Roman" w:hAnsi="Times New Roman" w:cs="Times New Roman"/>
          <w:sz w:val="24"/>
          <w:szCs w:val="24"/>
        </w:rPr>
      </w:pPr>
      <w:r>
        <w:rPr>
          <w:rFonts w:ascii="Times New Roman" w:hAnsi="Times New Roman" w:cs="Times New Roman"/>
          <w:sz w:val="24"/>
          <w:szCs w:val="24"/>
        </w:rPr>
        <w:t xml:space="preserve">and </w:t>
      </w:r>
    </w:p>
    <w:p w:rsidR="00A15094" w:rsidRDefault="00A15094" w:rsidP="0000054D">
      <w:pPr>
        <w:spacing w:after="0"/>
        <w:rPr>
          <w:rFonts w:ascii="Times New Roman" w:hAnsi="Times New Roman" w:cs="Times New Roman"/>
          <w:sz w:val="24"/>
          <w:szCs w:val="24"/>
        </w:rPr>
      </w:pPr>
      <w:r>
        <w:rPr>
          <w:rFonts w:ascii="Times New Roman" w:hAnsi="Times New Roman" w:cs="Times New Roman"/>
          <w:sz w:val="24"/>
          <w:szCs w:val="24"/>
        </w:rPr>
        <w:t xml:space="preserve">CONWAY ZENGEYA </w:t>
      </w:r>
    </w:p>
    <w:p w:rsidR="00A15094" w:rsidRDefault="0072110A" w:rsidP="0000054D">
      <w:pPr>
        <w:spacing w:after="0"/>
        <w:rPr>
          <w:rFonts w:ascii="Times New Roman" w:hAnsi="Times New Roman" w:cs="Times New Roman"/>
          <w:sz w:val="24"/>
          <w:szCs w:val="24"/>
        </w:rPr>
      </w:pPr>
      <w:r>
        <w:rPr>
          <w:rFonts w:ascii="Times New Roman" w:hAnsi="Times New Roman" w:cs="Times New Roman"/>
          <w:sz w:val="24"/>
          <w:szCs w:val="24"/>
        </w:rPr>
        <w:t xml:space="preserve">and </w:t>
      </w:r>
    </w:p>
    <w:p w:rsidR="00A15094" w:rsidRDefault="00A15094" w:rsidP="0000054D">
      <w:pPr>
        <w:spacing w:after="0"/>
        <w:rPr>
          <w:rFonts w:ascii="Times New Roman" w:hAnsi="Times New Roman" w:cs="Times New Roman"/>
          <w:sz w:val="24"/>
          <w:szCs w:val="24"/>
        </w:rPr>
      </w:pPr>
      <w:r>
        <w:rPr>
          <w:rFonts w:ascii="Times New Roman" w:hAnsi="Times New Roman" w:cs="Times New Roman"/>
          <w:sz w:val="24"/>
          <w:szCs w:val="24"/>
        </w:rPr>
        <w:t xml:space="preserve">ELLIOT TAVASHURE </w:t>
      </w:r>
    </w:p>
    <w:p w:rsidR="00A15094" w:rsidRDefault="0072110A" w:rsidP="0000054D">
      <w:pPr>
        <w:spacing w:after="0"/>
        <w:rPr>
          <w:rFonts w:ascii="Times New Roman" w:hAnsi="Times New Roman" w:cs="Times New Roman"/>
          <w:sz w:val="24"/>
          <w:szCs w:val="24"/>
        </w:rPr>
      </w:pPr>
      <w:r>
        <w:rPr>
          <w:rFonts w:ascii="Times New Roman" w:hAnsi="Times New Roman" w:cs="Times New Roman"/>
          <w:sz w:val="24"/>
          <w:szCs w:val="24"/>
        </w:rPr>
        <w:t xml:space="preserve">and </w:t>
      </w:r>
    </w:p>
    <w:p w:rsidR="00A15094" w:rsidRDefault="00A15094" w:rsidP="0000054D">
      <w:pPr>
        <w:spacing w:after="0"/>
        <w:rPr>
          <w:rFonts w:ascii="Times New Roman" w:hAnsi="Times New Roman" w:cs="Times New Roman"/>
          <w:sz w:val="24"/>
          <w:szCs w:val="24"/>
        </w:rPr>
      </w:pPr>
      <w:r>
        <w:rPr>
          <w:rFonts w:ascii="Times New Roman" w:hAnsi="Times New Roman" w:cs="Times New Roman"/>
          <w:sz w:val="24"/>
          <w:szCs w:val="24"/>
        </w:rPr>
        <w:t>HENRY MADZORERA</w:t>
      </w:r>
    </w:p>
    <w:p w:rsidR="00A15094" w:rsidRDefault="0072110A" w:rsidP="0000054D">
      <w:pPr>
        <w:spacing w:after="0"/>
        <w:rPr>
          <w:rFonts w:ascii="Times New Roman" w:hAnsi="Times New Roman" w:cs="Times New Roman"/>
          <w:sz w:val="24"/>
          <w:szCs w:val="24"/>
        </w:rPr>
      </w:pPr>
      <w:r>
        <w:rPr>
          <w:rFonts w:ascii="Times New Roman" w:hAnsi="Times New Roman" w:cs="Times New Roman"/>
          <w:sz w:val="24"/>
          <w:szCs w:val="24"/>
        </w:rPr>
        <w:t xml:space="preserve">and </w:t>
      </w:r>
    </w:p>
    <w:p w:rsidR="00A15094" w:rsidRDefault="00A15094" w:rsidP="0000054D">
      <w:pPr>
        <w:spacing w:after="0"/>
        <w:rPr>
          <w:rFonts w:ascii="Times New Roman" w:hAnsi="Times New Roman" w:cs="Times New Roman"/>
          <w:sz w:val="24"/>
          <w:szCs w:val="24"/>
        </w:rPr>
      </w:pPr>
      <w:r>
        <w:rPr>
          <w:rFonts w:ascii="Times New Roman" w:hAnsi="Times New Roman" w:cs="Times New Roman"/>
          <w:sz w:val="24"/>
          <w:szCs w:val="24"/>
        </w:rPr>
        <w:t>PORAI SAMKANGE</w:t>
      </w:r>
    </w:p>
    <w:p w:rsidR="00A15094" w:rsidRDefault="0072110A" w:rsidP="0000054D">
      <w:pPr>
        <w:spacing w:after="0"/>
        <w:rPr>
          <w:rFonts w:ascii="Times New Roman" w:hAnsi="Times New Roman" w:cs="Times New Roman"/>
          <w:sz w:val="24"/>
          <w:szCs w:val="24"/>
        </w:rPr>
      </w:pPr>
      <w:r>
        <w:rPr>
          <w:rFonts w:ascii="Times New Roman" w:hAnsi="Times New Roman" w:cs="Times New Roman"/>
          <w:sz w:val="24"/>
          <w:szCs w:val="24"/>
        </w:rPr>
        <w:t xml:space="preserve">and </w:t>
      </w:r>
    </w:p>
    <w:p w:rsidR="00A15094" w:rsidRDefault="00A15094" w:rsidP="0000054D">
      <w:pPr>
        <w:spacing w:after="0"/>
        <w:rPr>
          <w:rFonts w:ascii="Times New Roman" w:hAnsi="Times New Roman" w:cs="Times New Roman"/>
          <w:sz w:val="24"/>
          <w:szCs w:val="24"/>
        </w:rPr>
      </w:pPr>
      <w:r>
        <w:rPr>
          <w:rFonts w:ascii="Times New Roman" w:hAnsi="Times New Roman" w:cs="Times New Roman"/>
          <w:sz w:val="24"/>
          <w:szCs w:val="24"/>
        </w:rPr>
        <w:t>ALEXANDER MUTSAI</w:t>
      </w:r>
    </w:p>
    <w:p w:rsidR="00A15094" w:rsidRDefault="0072110A" w:rsidP="0000054D">
      <w:pPr>
        <w:spacing w:after="0"/>
        <w:rPr>
          <w:rFonts w:ascii="Times New Roman" w:hAnsi="Times New Roman" w:cs="Times New Roman"/>
          <w:sz w:val="24"/>
          <w:szCs w:val="24"/>
        </w:rPr>
      </w:pPr>
      <w:r>
        <w:rPr>
          <w:rFonts w:ascii="Times New Roman" w:hAnsi="Times New Roman" w:cs="Times New Roman"/>
          <w:sz w:val="24"/>
          <w:szCs w:val="24"/>
        </w:rPr>
        <w:t xml:space="preserve">and </w:t>
      </w:r>
    </w:p>
    <w:p w:rsidR="00A15094" w:rsidRDefault="00A15094" w:rsidP="0000054D">
      <w:pPr>
        <w:spacing w:after="0"/>
        <w:rPr>
          <w:rFonts w:ascii="Times New Roman" w:hAnsi="Times New Roman" w:cs="Times New Roman"/>
          <w:sz w:val="24"/>
          <w:szCs w:val="24"/>
        </w:rPr>
      </w:pPr>
      <w:r>
        <w:rPr>
          <w:rFonts w:ascii="Times New Roman" w:hAnsi="Times New Roman" w:cs="Times New Roman"/>
          <w:sz w:val="24"/>
          <w:szCs w:val="24"/>
        </w:rPr>
        <w:t>EVE AGGOSSO</w:t>
      </w:r>
    </w:p>
    <w:p w:rsidR="00A15094" w:rsidRDefault="00A15094" w:rsidP="0000054D">
      <w:pPr>
        <w:spacing w:after="0"/>
        <w:rPr>
          <w:rFonts w:ascii="Times New Roman" w:hAnsi="Times New Roman" w:cs="Times New Roman"/>
          <w:sz w:val="24"/>
          <w:szCs w:val="24"/>
        </w:rPr>
      </w:pPr>
      <w:r>
        <w:rPr>
          <w:rFonts w:ascii="Times New Roman" w:hAnsi="Times New Roman" w:cs="Times New Roman"/>
          <w:sz w:val="24"/>
          <w:szCs w:val="24"/>
        </w:rPr>
        <w:t xml:space="preserve">And </w:t>
      </w:r>
    </w:p>
    <w:p w:rsidR="00A15094" w:rsidRDefault="00A15094" w:rsidP="0000054D">
      <w:pPr>
        <w:spacing w:after="0"/>
        <w:rPr>
          <w:rFonts w:ascii="Times New Roman" w:hAnsi="Times New Roman" w:cs="Times New Roman"/>
          <w:sz w:val="24"/>
          <w:szCs w:val="24"/>
        </w:rPr>
      </w:pPr>
      <w:r>
        <w:rPr>
          <w:rFonts w:ascii="Times New Roman" w:hAnsi="Times New Roman" w:cs="Times New Roman"/>
          <w:sz w:val="24"/>
          <w:szCs w:val="24"/>
        </w:rPr>
        <w:t>ALVA SENDERAYI</w:t>
      </w:r>
    </w:p>
    <w:p w:rsidR="00A15094" w:rsidRDefault="0072110A" w:rsidP="0000054D">
      <w:pPr>
        <w:spacing w:after="0"/>
        <w:rPr>
          <w:rFonts w:ascii="Times New Roman" w:hAnsi="Times New Roman" w:cs="Times New Roman"/>
          <w:sz w:val="24"/>
          <w:szCs w:val="24"/>
        </w:rPr>
      </w:pPr>
      <w:r>
        <w:rPr>
          <w:rFonts w:ascii="Times New Roman" w:hAnsi="Times New Roman" w:cs="Times New Roman"/>
          <w:sz w:val="24"/>
          <w:szCs w:val="24"/>
        </w:rPr>
        <w:t xml:space="preserve">and </w:t>
      </w:r>
    </w:p>
    <w:p w:rsidR="0060607A" w:rsidRDefault="0060607A" w:rsidP="0000054D">
      <w:pPr>
        <w:spacing w:after="0"/>
        <w:rPr>
          <w:rFonts w:ascii="Times New Roman" w:hAnsi="Times New Roman" w:cs="Times New Roman"/>
          <w:sz w:val="24"/>
          <w:szCs w:val="24"/>
        </w:rPr>
      </w:pPr>
      <w:r>
        <w:rPr>
          <w:rFonts w:ascii="Times New Roman" w:hAnsi="Times New Roman" w:cs="Times New Roman"/>
          <w:sz w:val="24"/>
          <w:szCs w:val="24"/>
        </w:rPr>
        <w:t xml:space="preserve">TAKUNDA MADZIVA </w:t>
      </w:r>
    </w:p>
    <w:p w:rsidR="0060607A" w:rsidRDefault="0072110A" w:rsidP="0000054D">
      <w:pPr>
        <w:spacing w:after="0"/>
        <w:rPr>
          <w:rFonts w:ascii="Times New Roman" w:hAnsi="Times New Roman" w:cs="Times New Roman"/>
          <w:sz w:val="24"/>
          <w:szCs w:val="24"/>
        </w:rPr>
      </w:pPr>
      <w:r>
        <w:rPr>
          <w:rFonts w:ascii="Times New Roman" w:hAnsi="Times New Roman" w:cs="Times New Roman"/>
          <w:sz w:val="24"/>
          <w:szCs w:val="24"/>
        </w:rPr>
        <w:t>and</w:t>
      </w:r>
      <w:r w:rsidR="0060607A">
        <w:rPr>
          <w:rFonts w:ascii="Times New Roman" w:hAnsi="Times New Roman" w:cs="Times New Roman"/>
          <w:sz w:val="24"/>
          <w:szCs w:val="24"/>
        </w:rPr>
        <w:t xml:space="preserve"> </w:t>
      </w:r>
    </w:p>
    <w:p w:rsidR="0060607A" w:rsidRDefault="0060607A" w:rsidP="0000054D">
      <w:pPr>
        <w:spacing w:after="0"/>
        <w:rPr>
          <w:rFonts w:ascii="Times New Roman" w:hAnsi="Times New Roman" w:cs="Times New Roman"/>
          <w:sz w:val="24"/>
          <w:szCs w:val="24"/>
        </w:rPr>
      </w:pPr>
      <w:r>
        <w:rPr>
          <w:rFonts w:ascii="Times New Roman" w:hAnsi="Times New Roman" w:cs="Times New Roman"/>
          <w:sz w:val="24"/>
          <w:szCs w:val="24"/>
        </w:rPr>
        <w:t>KENNETH RUONA</w:t>
      </w:r>
    </w:p>
    <w:p w:rsidR="0060607A" w:rsidRDefault="0072110A" w:rsidP="0000054D">
      <w:pPr>
        <w:spacing w:after="0"/>
        <w:rPr>
          <w:rFonts w:ascii="Times New Roman" w:hAnsi="Times New Roman" w:cs="Times New Roman"/>
          <w:sz w:val="24"/>
          <w:szCs w:val="24"/>
        </w:rPr>
      </w:pPr>
      <w:r>
        <w:rPr>
          <w:rFonts w:ascii="Times New Roman" w:hAnsi="Times New Roman" w:cs="Times New Roman"/>
          <w:sz w:val="24"/>
          <w:szCs w:val="24"/>
        </w:rPr>
        <w:t xml:space="preserve">and </w:t>
      </w:r>
    </w:p>
    <w:p w:rsidR="0060607A" w:rsidRDefault="0060607A" w:rsidP="0000054D">
      <w:pPr>
        <w:spacing w:after="0"/>
        <w:rPr>
          <w:rFonts w:ascii="Times New Roman" w:hAnsi="Times New Roman" w:cs="Times New Roman"/>
          <w:sz w:val="24"/>
          <w:szCs w:val="24"/>
        </w:rPr>
      </w:pPr>
      <w:r>
        <w:rPr>
          <w:rFonts w:ascii="Times New Roman" w:hAnsi="Times New Roman" w:cs="Times New Roman"/>
          <w:sz w:val="24"/>
          <w:szCs w:val="24"/>
        </w:rPr>
        <w:t>THOMAS LIBERTY MUPFUWAHUKU</w:t>
      </w:r>
    </w:p>
    <w:p w:rsidR="0060607A" w:rsidRDefault="0072110A" w:rsidP="0000054D">
      <w:pPr>
        <w:spacing w:after="0"/>
        <w:rPr>
          <w:rFonts w:ascii="Times New Roman" w:hAnsi="Times New Roman" w:cs="Times New Roman"/>
          <w:sz w:val="24"/>
          <w:szCs w:val="24"/>
        </w:rPr>
      </w:pPr>
      <w:r>
        <w:rPr>
          <w:rFonts w:ascii="Times New Roman" w:hAnsi="Times New Roman" w:cs="Times New Roman"/>
          <w:sz w:val="24"/>
          <w:szCs w:val="24"/>
        </w:rPr>
        <w:t xml:space="preserve">and </w:t>
      </w:r>
    </w:p>
    <w:p w:rsidR="0060607A" w:rsidRDefault="0060607A" w:rsidP="0000054D">
      <w:pPr>
        <w:spacing w:after="0"/>
        <w:rPr>
          <w:rFonts w:ascii="Times New Roman" w:hAnsi="Times New Roman" w:cs="Times New Roman"/>
          <w:sz w:val="24"/>
          <w:szCs w:val="24"/>
        </w:rPr>
      </w:pPr>
      <w:r>
        <w:rPr>
          <w:rFonts w:ascii="Times New Roman" w:hAnsi="Times New Roman" w:cs="Times New Roman"/>
          <w:sz w:val="24"/>
          <w:szCs w:val="24"/>
        </w:rPr>
        <w:t>PARMENUS TSANGA</w:t>
      </w:r>
    </w:p>
    <w:p w:rsidR="0060607A" w:rsidRDefault="0072110A" w:rsidP="0000054D">
      <w:pPr>
        <w:spacing w:after="0"/>
        <w:rPr>
          <w:rFonts w:ascii="Times New Roman" w:hAnsi="Times New Roman" w:cs="Times New Roman"/>
          <w:sz w:val="24"/>
          <w:szCs w:val="24"/>
        </w:rPr>
      </w:pPr>
      <w:r>
        <w:rPr>
          <w:rFonts w:ascii="Times New Roman" w:hAnsi="Times New Roman" w:cs="Times New Roman"/>
          <w:sz w:val="24"/>
          <w:szCs w:val="24"/>
        </w:rPr>
        <w:t>and</w:t>
      </w:r>
    </w:p>
    <w:p w:rsidR="0060607A" w:rsidRDefault="0060607A" w:rsidP="0000054D">
      <w:pPr>
        <w:spacing w:after="0"/>
        <w:rPr>
          <w:rFonts w:ascii="Times New Roman" w:hAnsi="Times New Roman" w:cs="Times New Roman"/>
          <w:sz w:val="24"/>
          <w:szCs w:val="24"/>
        </w:rPr>
      </w:pPr>
      <w:r>
        <w:rPr>
          <w:rFonts w:ascii="Times New Roman" w:hAnsi="Times New Roman" w:cs="Times New Roman"/>
          <w:sz w:val="24"/>
          <w:szCs w:val="24"/>
        </w:rPr>
        <w:t>AGNES CHOGA</w:t>
      </w:r>
    </w:p>
    <w:p w:rsidR="0060607A" w:rsidRDefault="0072110A" w:rsidP="0000054D">
      <w:pPr>
        <w:spacing w:after="0"/>
        <w:rPr>
          <w:rFonts w:ascii="Times New Roman" w:hAnsi="Times New Roman" w:cs="Times New Roman"/>
          <w:sz w:val="24"/>
          <w:szCs w:val="24"/>
        </w:rPr>
      </w:pPr>
      <w:r>
        <w:rPr>
          <w:rFonts w:ascii="Times New Roman" w:hAnsi="Times New Roman" w:cs="Times New Roman"/>
          <w:sz w:val="24"/>
          <w:szCs w:val="24"/>
        </w:rPr>
        <w:t>and</w:t>
      </w:r>
    </w:p>
    <w:p w:rsidR="0060607A" w:rsidRDefault="0060607A" w:rsidP="0000054D">
      <w:pPr>
        <w:spacing w:after="0"/>
        <w:rPr>
          <w:rFonts w:ascii="Times New Roman" w:hAnsi="Times New Roman" w:cs="Times New Roman"/>
          <w:sz w:val="24"/>
          <w:szCs w:val="24"/>
        </w:rPr>
      </w:pPr>
      <w:r>
        <w:rPr>
          <w:rFonts w:ascii="Times New Roman" w:hAnsi="Times New Roman" w:cs="Times New Roman"/>
          <w:sz w:val="24"/>
          <w:szCs w:val="24"/>
        </w:rPr>
        <w:t>TONDERAI MAPANZURE</w:t>
      </w:r>
    </w:p>
    <w:p w:rsidR="0060607A" w:rsidRDefault="0072110A" w:rsidP="0000054D">
      <w:pPr>
        <w:spacing w:after="0"/>
        <w:rPr>
          <w:rFonts w:ascii="Times New Roman" w:hAnsi="Times New Roman" w:cs="Times New Roman"/>
          <w:sz w:val="24"/>
          <w:szCs w:val="24"/>
        </w:rPr>
      </w:pPr>
      <w:r>
        <w:rPr>
          <w:rFonts w:ascii="Times New Roman" w:hAnsi="Times New Roman" w:cs="Times New Roman"/>
          <w:sz w:val="24"/>
          <w:szCs w:val="24"/>
        </w:rPr>
        <w:t xml:space="preserve">and </w:t>
      </w:r>
    </w:p>
    <w:p w:rsidR="0060607A" w:rsidRDefault="0060607A" w:rsidP="0000054D">
      <w:pPr>
        <w:spacing w:after="0"/>
        <w:rPr>
          <w:rFonts w:ascii="Times New Roman" w:hAnsi="Times New Roman" w:cs="Times New Roman"/>
          <w:sz w:val="24"/>
          <w:szCs w:val="24"/>
        </w:rPr>
      </w:pPr>
      <w:r>
        <w:rPr>
          <w:rFonts w:ascii="Times New Roman" w:hAnsi="Times New Roman" w:cs="Times New Roman"/>
          <w:sz w:val="24"/>
          <w:szCs w:val="24"/>
        </w:rPr>
        <w:t>TAKAYEDZA BONDERA</w:t>
      </w:r>
    </w:p>
    <w:p w:rsidR="0060607A" w:rsidRDefault="0072110A" w:rsidP="0000054D">
      <w:pPr>
        <w:spacing w:after="0"/>
        <w:rPr>
          <w:rFonts w:ascii="Times New Roman" w:hAnsi="Times New Roman" w:cs="Times New Roman"/>
          <w:sz w:val="24"/>
          <w:szCs w:val="24"/>
        </w:rPr>
      </w:pPr>
      <w:r>
        <w:rPr>
          <w:rFonts w:ascii="Times New Roman" w:hAnsi="Times New Roman" w:cs="Times New Roman"/>
          <w:sz w:val="24"/>
          <w:szCs w:val="24"/>
        </w:rPr>
        <w:t xml:space="preserve">and </w:t>
      </w:r>
    </w:p>
    <w:p w:rsidR="0060607A" w:rsidRDefault="0060607A" w:rsidP="0000054D">
      <w:pPr>
        <w:spacing w:after="0"/>
        <w:rPr>
          <w:rFonts w:ascii="Times New Roman" w:hAnsi="Times New Roman" w:cs="Times New Roman"/>
          <w:sz w:val="24"/>
          <w:szCs w:val="24"/>
        </w:rPr>
      </w:pPr>
      <w:r>
        <w:rPr>
          <w:rFonts w:ascii="Times New Roman" w:hAnsi="Times New Roman" w:cs="Times New Roman"/>
          <w:sz w:val="24"/>
          <w:szCs w:val="24"/>
        </w:rPr>
        <w:t>TAKAWIRA MUCHINERIPI CHIPAMAUNGA</w:t>
      </w:r>
    </w:p>
    <w:p w:rsidR="0060607A" w:rsidRDefault="0060607A" w:rsidP="0000054D">
      <w:pPr>
        <w:spacing w:after="0"/>
        <w:rPr>
          <w:rFonts w:ascii="Times New Roman" w:hAnsi="Times New Roman" w:cs="Times New Roman"/>
          <w:sz w:val="24"/>
          <w:szCs w:val="24"/>
        </w:rPr>
      </w:pPr>
      <w:r>
        <w:rPr>
          <w:rFonts w:ascii="Times New Roman" w:hAnsi="Times New Roman" w:cs="Times New Roman"/>
          <w:sz w:val="24"/>
          <w:szCs w:val="24"/>
        </w:rPr>
        <w:t>versus</w:t>
      </w:r>
    </w:p>
    <w:p w:rsidR="0060607A" w:rsidRDefault="0060607A" w:rsidP="0000054D">
      <w:pPr>
        <w:spacing w:after="0"/>
        <w:rPr>
          <w:rFonts w:ascii="Times New Roman" w:hAnsi="Times New Roman" w:cs="Times New Roman"/>
          <w:sz w:val="24"/>
          <w:szCs w:val="24"/>
        </w:rPr>
      </w:pPr>
      <w:r>
        <w:rPr>
          <w:rFonts w:ascii="Times New Roman" w:hAnsi="Times New Roman" w:cs="Times New Roman"/>
          <w:sz w:val="24"/>
          <w:szCs w:val="24"/>
        </w:rPr>
        <w:t>CITY OF KWEKWE</w:t>
      </w:r>
    </w:p>
    <w:p w:rsidR="00A15094" w:rsidRDefault="0072110A" w:rsidP="0000054D">
      <w:pPr>
        <w:spacing w:after="0"/>
        <w:rPr>
          <w:rFonts w:ascii="Times New Roman" w:hAnsi="Times New Roman" w:cs="Times New Roman"/>
          <w:sz w:val="24"/>
          <w:szCs w:val="24"/>
        </w:rPr>
      </w:pPr>
      <w:r>
        <w:rPr>
          <w:rFonts w:ascii="Times New Roman" w:hAnsi="Times New Roman" w:cs="Times New Roman"/>
          <w:sz w:val="24"/>
          <w:szCs w:val="24"/>
        </w:rPr>
        <w:t>and</w:t>
      </w:r>
    </w:p>
    <w:p w:rsidR="0060607A" w:rsidRDefault="0060607A" w:rsidP="0000054D">
      <w:pPr>
        <w:spacing w:after="0"/>
        <w:rPr>
          <w:rFonts w:ascii="Times New Roman" w:hAnsi="Times New Roman" w:cs="Times New Roman"/>
          <w:sz w:val="24"/>
          <w:szCs w:val="24"/>
        </w:rPr>
      </w:pPr>
      <w:r>
        <w:rPr>
          <w:rFonts w:ascii="Times New Roman" w:hAnsi="Times New Roman" w:cs="Times New Roman"/>
          <w:sz w:val="24"/>
          <w:szCs w:val="24"/>
        </w:rPr>
        <w:t>HEALTH PROFESSIONS AUTHORITY OF ZIMBABWE</w:t>
      </w:r>
    </w:p>
    <w:p w:rsidR="0060607A" w:rsidRDefault="0072110A" w:rsidP="0000054D">
      <w:pPr>
        <w:spacing w:after="0"/>
        <w:rPr>
          <w:rFonts w:ascii="Times New Roman" w:hAnsi="Times New Roman" w:cs="Times New Roman"/>
          <w:sz w:val="24"/>
          <w:szCs w:val="24"/>
        </w:rPr>
      </w:pPr>
      <w:r>
        <w:rPr>
          <w:rFonts w:ascii="Times New Roman" w:hAnsi="Times New Roman" w:cs="Times New Roman"/>
          <w:sz w:val="24"/>
          <w:szCs w:val="24"/>
        </w:rPr>
        <w:t xml:space="preserve">and </w:t>
      </w:r>
    </w:p>
    <w:p w:rsidR="0060607A" w:rsidRPr="0000054D" w:rsidRDefault="0060607A" w:rsidP="0000054D">
      <w:pPr>
        <w:spacing w:after="0"/>
        <w:rPr>
          <w:rFonts w:ascii="Times New Roman" w:hAnsi="Times New Roman" w:cs="Times New Roman"/>
          <w:sz w:val="24"/>
          <w:szCs w:val="24"/>
        </w:rPr>
      </w:pPr>
      <w:r>
        <w:rPr>
          <w:rFonts w:ascii="Times New Roman" w:hAnsi="Times New Roman" w:cs="Times New Roman"/>
          <w:sz w:val="24"/>
          <w:szCs w:val="24"/>
        </w:rPr>
        <w:t>MEDICAL AND DENTAL PRACTITIONERS COUNSIL OF ZIMBABWE</w:t>
      </w:r>
    </w:p>
    <w:p w:rsidR="0060607A" w:rsidRDefault="0060607A" w:rsidP="0000054D">
      <w:pPr>
        <w:spacing w:after="0"/>
        <w:rPr>
          <w:rFonts w:ascii="Times New Roman" w:hAnsi="Times New Roman" w:cs="Times New Roman"/>
          <w:sz w:val="24"/>
          <w:szCs w:val="24"/>
        </w:rPr>
      </w:pPr>
    </w:p>
    <w:p w:rsidR="0060607A" w:rsidRDefault="0060607A" w:rsidP="0000054D">
      <w:pPr>
        <w:spacing w:after="0"/>
        <w:rPr>
          <w:rFonts w:ascii="Times New Roman" w:hAnsi="Times New Roman" w:cs="Times New Roman"/>
          <w:sz w:val="24"/>
          <w:szCs w:val="24"/>
        </w:rPr>
      </w:pPr>
    </w:p>
    <w:p w:rsidR="0000054D" w:rsidRDefault="0000054D" w:rsidP="0000054D">
      <w:pPr>
        <w:spacing w:after="0"/>
        <w:rPr>
          <w:rFonts w:ascii="Times New Roman" w:hAnsi="Times New Roman" w:cs="Times New Roman"/>
          <w:sz w:val="24"/>
          <w:szCs w:val="24"/>
        </w:rPr>
      </w:pPr>
      <w:r>
        <w:rPr>
          <w:rFonts w:ascii="Times New Roman" w:hAnsi="Times New Roman" w:cs="Times New Roman"/>
          <w:sz w:val="24"/>
          <w:szCs w:val="24"/>
        </w:rPr>
        <w:lastRenderedPageBreak/>
        <w:t>HIGH COURT OF ZIMBABWE</w:t>
      </w:r>
    </w:p>
    <w:p w:rsidR="0000054D" w:rsidRDefault="0000054D" w:rsidP="0000054D">
      <w:pPr>
        <w:spacing w:after="0"/>
        <w:rPr>
          <w:rFonts w:ascii="Times New Roman" w:hAnsi="Times New Roman" w:cs="Times New Roman"/>
          <w:sz w:val="24"/>
          <w:szCs w:val="24"/>
        </w:rPr>
      </w:pPr>
      <w:r>
        <w:rPr>
          <w:rFonts w:ascii="Times New Roman" w:hAnsi="Times New Roman" w:cs="Times New Roman"/>
          <w:sz w:val="24"/>
          <w:szCs w:val="24"/>
        </w:rPr>
        <w:t>M</w:t>
      </w:r>
      <w:r w:rsidR="0060607A">
        <w:rPr>
          <w:rFonts w:ascii="Times New Roman" w:hAnsi="Times New Roman" w:cs="Times New Roman"/>
          <w:sz w:val="24"/>
          <w:szCs w:val="24"/>
        </w:rPr>
        <w:t xml:space="preserve">USITHU </w:t>
      </w:r>
      <w:r>
        <w:rPr>
          <w:rFonts w:ascii="Times New Roman" w:hAnsi="Times New Roman" w:cs="Times New Roman"/>
          <w:sz w:val="24"/>
          <w:szCs w:val="24"/>
        </w:rPr>
        <w:t>J</w:t>
      </w:r>
    </w:p>
    <w:p w:rsidR="0000054D" w:rsidRDefault="0000054D" w:rsidP="0000054D">
      <w:pPr>
        <w:spacing w:after="0"/>
        <w:rPr>
          <w:rFonts w:ascii="Times New Roman" w:hAnsi="Times New Roman" w:cs="Times New Roman"/>
          <w:sz w:val="24"/>
          <w:szCs w:val="24"/>
        </w:rPr>
      </w:pPr>
      <w:r>
        <w:rPr>
          <w:rFonts w:ascii="Times New Roman" w:hAnsi="Times New Roman" w:cs="Times New Roman"/>
          <w:sz w:val="24"/>
          <w:szCs w:val="24"/>
        </w:rPr>
        <w:t>HARARE,</w:t>
      </w:r>
      <w:r w:rsidR="00B10942">
        <w:rPr>
          <w:rFonts w:ascii="Times New Roman" w:hAnsi="Times New Roman" w:cs="Times New Roman"/>
          <w:sz w:val="24"/>
          <w:szCs w:val="24"/>
        </w:rPr>
        <w:t xml:space="preserve"> 2</w:t>
      </w:r>
      <w:r w:rsidR="00786F3E">
        <w:rPr>
          <w:rFonts w:ascii="Times New Roman" w:hAnsi="Times New Roman" w:cs="Times New Roman"/>
          <w:sz w:val="24"/>
          <w:szCs w:val="24"/>
        </w:rPr>
        <w:t xml:space="preserve"> January 2020</w:t>
      </w:r>
      <w:r w:rsidR="00B10942">
        <w:rPr>
          <w:rFonts w:ascii="Times New Roman" w:hAnsi="Times New Roman" w:cs="Times New Roman"/>
          <w:sz w:val="24"/>
          <w:szCs w:val="24"/>
        </w:rPr>
        <w:t xml:space="preserve"> &amp; </w:t>
      </w:r>
      <w:r w:rsidR="00786F3E">
        <w:rPr>
          <w:rFonts w:ascii="Times New Roman" w:hAnsi="Times New Roman" w:cs="Times New Roman"/>
          <w:sz w:val="24"/>
          <w:szCs w:val="24"/>
        </w:rPr>
        <w:t xml:space="preserve">7 </w:t>
      </w:r>
      <w:r w:rsidR="00B10942">
        <w:rPr>
          <w:rFonts w:ascii="Times New Roman" w:hAnsi="Times New Roman" w:cs="Times New Roman"/>
          <w:sz w:val="24"/>
          <w:szCs w:val="24"/>
        </w:rPr>
        <w:t>January 20</w:t>
      </w:r>
      <w:r w:rsidR="00786F3E">
        <w:rPr>
          <w:rFonts w:ascii="Times New Roman" w:hAnsi="Times New Roman" w:cs="Times New Roman"/>
          <w:sz w:val="24"/>
          <w:szCs w:val="24"/>
        </w:rPr>
        <w:t>20</w:t>
      </w:r>
    </w:p>
    <w:p w:rsidR="0000054D" w:rsidRDefault="0000054D" w:rsidP="0000054D">
      <w:pPr>
        <w:spacing w:after="0"/>
        <w:rPr>
          <w:rFonts w:ascii="Times New Roman" w:hAnsi="Times New Roman" w:cs="Times New Roman"/>
          <w:sz w:val="24"/>
          <w:szCs w:val="24"/>
        </w:rPr>
      </w:pPr>
    </w:p>
    <w:p w:rsidR="0000054D" w:rsidRDefault="0000054D" w:rsidP="0000054D">
      <w:pPr>
        <w:spacing w:after="0"/>
        <w:rPr>
          <w:rFonts w:ascii="Times New Roman" w:hAnsi="Times New Roman" w:cs="Times New Roman"/>
          <w:sz w:val="24"/>
          <w:szCs w:val="24"/>
        </w:rPr>
      </w:pPr>
    </w:p>
    <w:p w:rsidR="0000054D" w:rsidRPr="0000054D" w:rsidRDefault="0000054D" w:rsidP="0000054D">
      <w:pPr>
        <w:spacing w:after="0"/>
        <w:rPr>
          <w:rFonts w:ascii="Times New Roman" w:hAnsi="Times New Roman" w:cs="Times New Roman"/>
          <w:b/>
          <w:sz w:val="24"/>
          <w:szCs w:val="24"/>
        </w:rPr>
      </w:pPr>
      <w:r w:rsidRPr="0000054D">
        <w:rPr>
          <w:rFonts w:ascii="Times New Roman" w:hAnsi="Times New Roman" w:cs="Times New Roman"/>
          <w:b/>
          <w:sz w:val="24"/>
          <w:szCs w:val="24"/>
        </w:rPr>
        <w:t>Urgent Chamber Application</w:t>
      </w:r>
    </w:p>
    <w:p w:rsidR="0000054D" w:rsidRDefault="0000054D" w:rsidP="0000054D">
      <w:pPr>
        <w:spacing w:after="0"/>
        <w:rPr>
          <w:rFonts w:ascii="Times New Roman" w:hAnsi="Times New Roman" w:cs="Times New Roman"/>
          <w:sz w:val="24"/>
          <w:szCs w:val="24"/>
        </w:rPr>
      </w:pPr>
    </w:p>
    <w:p w:rsidR="0000054D" w:rsidRDefault="0000054D" w:rsidP="0000054D">
      <w:pPr>
        <w:spacing w:after="0"/>
        <w:rPr>
          <w:rFonts w:ascii="Times New Roman" w:hAnsi="Times New Roman" w:cs="Times New Roman"/>
          <w:sz w:val="24"/>
          <w:szCs w:val="24"/>
        </w:rPr>
      </w:pPr>
    </w:p>
    <w:p w:rsidR="0000054D" w:rsidRDefault="00CC6961" w:rsidP="00B10942">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R. Mabwe with S.T. Farai, </w:t>
      </w:r>
      <w:r w:rsidR="0000054D">
        <w:rPr>
          <w:rFonts w:ascii="Times New Roman" w:hAnsi="Times New Roman" w:cs="Times New Roman"/>
          <w:sz w:val="24"/>
          <w:szCs w:val="24"/>
        </w:rPr>
        <w:t>for the applicant</w:t>
      </w:r>
      <w:r>
        <w:rPr>
          <w:rFonts w:ascii="Times New Roman" w:hAnsi="Times New Roman" w:cs="Times New Roman"/>
          <w:sz w:val="24"/>
          <w:szCs w:val="24"/>
        </w:rPr>
        <w:t>s</w:t>
      </w:r>
    </w:p>
    <w:p w:rsidR="0000054D" w:rsidRDefault="00CC6961" w:rsidP="00B10942">
      <w:pPr>
        <w:spacing w:after="0" w:line="240" w:lineRule="auto"/>
        <w:rPr>
          <w:rFonts w:ascii="Times New Roman" w:hAnsi="Times New Roman" w:cs="Times New Roman"/>
          <w:sz w:val="24"/>
          <w:szCs w:val="24"/>
        </w:rPr>
      </w:pPr>
      <w:r>
        <w:rPr>
          <w:rFonts w:ascii="Times New Roman" w:hAnsi="Times New Roman" w:cs="Times New Roman"/>
          <w:i/>
          <w:sz w:val="24"/>
          <w:szCs w:val="24"/>
        </w:rPr>
        <w:t>G.R.J. Sithole with C. Chigomere</w:t>
      </w:r>
      <w:r w:rsidR="0000054D">
        <w:rPr>
          <w:rFonts w:ascii="Times New Roman" w:hAnsi="Times New Roman" w:cs="Times New Roman"/>
          <w:sz w:val="24"/>
          <w:szCs w:val="24"/>
        </w:rPr>
        <w:t xml:space="preserve">, for the </w:t>
      </w:r>
      <w:r>
        <w:rPr>
          <w:rFonts w:ascii="Times New Roman" w:hAnsi="Times New Roman" w:cs="Times New Roman"/>
          <w:sz w:val="24"/>
          <w:szCs w:val="24"/>
        </w:rPr>
        <w:t>1</w:t>
      </w:r>
      <w:r w:rsidRPr="00CC6961">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B10942">
        <w:rPr>
          <w:rFonts w:ascii="Times New Roman" w:hAnsi="Times New Roman" w:cs="Times New Roman"/>
          <w:sz w:val="24"/>
          <w:szCs w:val="24"/>
        </w:rPr>
        <w:t>respondent</w:t>
      </w:r>
    </w:p>
    <w:p w:rsidR="00B10942" w:rsidRDefault="00CC6961" w:rsidP="00B10942">
      <w:pPr>
        <w:spacing w:after="0" w:line="240" w:lineRule="auto"/>
        <w:rPr>
          <w:rFonts w:ascii="Times New Roman" w:hAnsi="Times New Roman" w:cs="Times New Roman"/>
          <w:sz w:val="24"/>
          <w:szCs w:val="24"/>
        </w:rPr>
      </w:pPr>
      <w:r>
        <w:rPr>
          <w:rFonts w:ascii="Times New Roman" w:hAnsi="Times New Roman" w:cs="Times New Roman"/>
          <w:i/>
          <w:sz w:val="24"/>
          <w:szCs w:val="24"/>
        </w:rPr>
        <w:t>N. Tiyago</w:t>
      </w:r>
      <w:r w:rsidR="00B10942">
        <w:rPr>
          <w:rFonts w:ascii="Times New Roman" w:hAnsi="Times New Roman" w:cs="Times New Roman"/>
          <w:sz w:val="24"/>
          <w:szCs w:val="24"/>
        </w:rPr>
        <w:t xml:space="preserve">, for the </w:t>
      </w:r>
      <w:r>
        <w:rPr>
          <w:rFonts w:ascii="Times New Roman" w:hAnsi="Times New Roman" w:cs="Times New Roman"/>
          <w:sz w:val="24"/>
          <w:szCs w:val="24"/>
        </w:rPr>
        <w:t>2</w:t>
      </w:r>
      <w:r w:rsidRPr="00CC6961">
        <w:rPr>
          <w:rFonts w:ascii="Times New Roman" w:hAnsi="Times New Roman" w:cs="Times New Roman"/>
          <w:sz w:val="24"/>
          <w:szCs w:val="24"/>
          <w:vertAlign w:val="superscript"/>
        </w:rPr>
        <w:t>nd</w:t>
      </w:r>
      <w:r>
        <w:rPr>
          <w:rFonts w:ascii="Times New Roman" w:hAnsi="Times New Roman" w:cs="Times New Roman"/>
          <w:sz w:val="24"/>
          <w:szCs w:val="24"/>
        </w:rPr>
        <w:t xml:space="preserve"> and 3</w:t>
      </w:r>
      <w:r w:rsidRPr="00CC6961">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00B10942">
        <w:rPr>
          <w:rFonts w:ascii="Times New Roman" w:hAnsi="Times New Roman" w:cs="Times New Roman"/>
          <w:sz w:val="24"/>
          <w:szCs w:val="24"/>
        </w:rPr>
        <w:t>respondent</w:t>
      </w:r>
      <w:r>
        <w:rPr>
          <w:rFonts w:ascii="Times New Roman" w:hAnsi="Times New Roman" w:cs="Times New Roman"/>
          <w:sz w:val="24"/>
          <w:szCs w:val="24"/>
        </w:rPr>
        <w:t>s</w:t>
      </w:r>
    </w:p>
    <w:p w:rsidR="0000054D" w:rsidRDefault="0000054D" w:rsidP="0000054D">
      <w:pPr>
        <w:spacing w:after="0"/>
        <w:rPr>
          <w:rFonts w:ascii="Times New Roman" w:hAnsi="Times New Roman" w:cs="Times New Roman"/>
          <w:sz w:val="24"/>
          <w:szCs w:val="24"/>
        </w:rPr>
      </w:pPr>
    </w:p>
    <w:p w:rsidR="0000054D" w:rsidRDefault="0000054D" w:rsidP="0000054D">
      <w:pPr>
        <w:spacing w:after="0"/>
        <w:rPr>
          <w:rFonts w:ascii="Times New Roman" w:hAnsi="Times New Roman" w:cs="Times New Roman"/>
          <w:sz w:val="24"/>
          <w:szCs w:val="24"/>
        </w:rPr>
      </w:pPr>
    </w:p>
    <w:p w:rsidR="00164780" w:rsidRDefault="0000054D" w:rsidP="000005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w:t>
      </w:r>
      <w:r w:rsidR="00CC6961">
        <w:rPr>
          <w:rFonts w:ascii="Times New Roman" w:hAnsi="Times New Roman" w:cs="Times New Roman"/>
          <w:sz w:val="24"/>
          <w:szCs w:val="24"/>
        </w:rPr>
        <w:t>USITHU</w:t>
      </w:r>
      <w:r>
        <w:rPr>
          <w:rFonts w:ascii="Times New Roman" w:hAnsi="Times New Roman" w:cs="Times New Roman"/>
          <w:sz w:val="24"/>
          <w:szCs w:val="24"/>
        </w:rPr>
        <w:t xml:space="preserve"> J: </w:t>
      </w:r>
      <w:r w:rsidR="00164780">
        <w:rPr>
          <w:rFonts w:ascii="Times New Roman" w:hAnsi="Times New Roman" w:cs="Times New Roman"/>
          <w:sz w:val="24"/>
          <w:szCs w:val="24"/>
        </w:rPr>
        <w:t>This</w:t>
      </w:r>
      <w:r w:rsidR="008F323D">
        <w:rPr>
          <w:rFonts w:ascii="Times New Roman" w:hAnsi="Times New Roman" w:cs="Times New Roman"/>
          <w:sz w:val="24"/>
          <w:szCs w:val="24"/>
        </w:rPr>
        <w:t xml:space="preserve"> urgent chamber </w:t>
      </w:r>
      <w:r w:rsidR="00164780">
        <w:rPr>
          <w:rFonts w:ascii="Times New Roman" w:hAnsi="Times New Roman" w:cs="Times New Roman"/>
          <w:sz w:val="24"/>
          <w:szCs w:val="24"/>
        </w:rPr>
        <w:t>application was filed on</w:t>
      </w:r>
      <w:r w:rsidR="00CD6B9E">
        <w:rPr>
          <w:rFonts w:ascii="Times New Roman" w:hAnsi="Times New Roman" w:cs="Times New Roman"/>
          <w:sz w:val="24"/>
          <w:szCs w:val="24"/>
        </w:rPr>
        <w:t xml:space="preserve"> </w:t>
      </w:r>
      <w:r w:rsidR="008F323D">
        <w:rPr>
          <w:rFonts w:ascii="Times New Roman" w:hAnsi="Times New Roman" w:cs="Times New Roman"/>
          <w:sz w:val="24"/>
          <w:szCs w:val="24"/>
        </w:rPr>
        <w:t xml:space="preserve">27 December 2019, </w:t>
      </w:r>
      <w:r w:rsidR="00CD6B9E">
        <w:rPr>
          <w:rFonts w:ascii="Times New Roman" w:hAnsi="Times New Roman" w:cs="Times New Roman"/>
          <w:sz w:val="24"/>
          <w:szCs w:val="24"/>
        </w:rPr>
        <w:t xml:space="preserve">with </w:t>
      </w:r>
      <w:r w:rsidR="004C5DA4">
        <w:rPr>
          <w:rFonts w:ascii="Times New Roman" w:hAnsi="Times New Roman" w:cs="Times New Roman"/>
          <w:sz w:val="24"/>
          <w:szCs w:val="24"/>
        </w:rPr>
        <w:t xml:space="preserve">applicants, </w:t>
      </w:r>
      <w:r w:rsidR="00CD6B9E">
        <w:rPr>
          <w:rFonts w:ascii="Times New Roman" w:hAnsi="Times New Roman" w:cs="Times New Roman"/>
          <w:sz w:val="24"/>
          <w:szCs w:val="24"/>
        </w:rPr>
        <w:t xml:space="preserve">all registered medical practitioners seeking </w:t>
      </w:r>
      <w:r w:rsidR="00164780">
        <w:rPr>
          <w:rFonts w:ascii="Times New Roman" w:hAnsi="Times New Roman" w:cs="Times New Roman"/>
          <w:sz w:val="24"/>
          <w:szCs w:val="24"/>
        </w:rPr>
        <w:t>relief in the following terms:</w:t>
      </w:r>
    </w:p>
    <w:p w:rsidR="00164780" w:rsidRPr="00D57093" w:rsidRDefault="009E3A23" w:rsidP="0000054D">
      <w:pPr>
        <w:spacing w:after="0" w:line="360" w:lineRule="auto"/>
        <w:jc w:val="both"/>
        <w:rPr>
          <w:rFonts w:ascii="Times New Roman" w:hAnsi="Times New Roman" w:cs="Times New Roman"/>
          <w:sz w:val="24"/>
          <w:szCs w:val="24"/>
          <w:u w:val="single"/>
        </w:rPr>
      </w:pPr>
      <w:r w:rsidRPr="00DC365F">
        <w:rPr>
          <w:rFonts w:ascii="Times New Roman" w:hAnsi="Times New Roman" w:cs="Times New Roman"/>
          <w:sz w:val="20"/>
          <w:szCs w:val="20"/>
        </w:rPr>
        <w:t>“</w:t>
      </w:r>
      <w:r w:rsidR="00164780" w:rsidRPr="00D57093">
        <w:rPr>
          <w:rFonts w:ascii="Times New Roman" w:hAnsi="Times New Roman" w:cs="Times New Roman"/>
          <w:sz w:val="24"/>
          <w:szCs w:val="24"/>
          <w:u w:val="single"/>
        </w:rPr>
        <w:t xml:space="preserve">TERMS OF </w:t>
      </w:r>
      <w:r w:rsidR="00CD6B9E" w:rsidRPr="00D57093">
        <w:rPr>
          <w:rFonts w:ascii="Times New Roman" w:hAnsi="Times New Roman" w:cs="Times New Roman"/>
          <w:sz w:val="24"/>
          <w:szCs w:val="24"/>
          <w:u w:val="single"/>
        </w:rPr>
        <w:t xml:space="preserve">THE FINAL RELIEF </w:t>
      </w:r>
    </w:p>
    <w:p w:rsidR="00164780" w:rsidRPr="00D57093" w:rsidRDefault="009E0397" w:rsidP="0000054D">
      <w:pPr>
        <w:spacing w:after="0" w:line="360" w:lineRule="auto"/>
        <w:jc w:val="both"/>
        <w:rPr>
          <w:rFonts w:ascii="Times New Roman" w:hAnsi="Times New Roman" w:cs="Times New Roman"/>
          <w:sz w:val="24"/>
          <w:szCs w:val="24"/>
        </w:rPr>
      </w:pPr>
      <w:r w:rsidRPr="00D57093">
        <w:rPr>
          <w:rFonts w:ascii="Times New Roman" w:hAnsi="Times New Roman" w:cs="Times New Roman"/>
          <w:sz w:val="24"/>
          <w:szCs w:val="24"/>
        </w:rPr>
        <w:tab/>
      </w:r>
      <w:r w:rsidR="00164780" w:rsidRPr="00D57093">
        <w:rPr>
          <w:rFonts w:ascii="Times New Roman" w:hAnsi="Times New Roman" w:cs="Times New Roman"/>
          <w:sz w:val="24"/>
          <w:szCs w:val="24"/>
        </w:rPr>
        <w:t xml:space="preserve">That you show cause to this Honourable Court why a </w:t>
      </w:r>
      <w:r w:rsidR="00CD6B9E" w:rsidRPr="00D57093">
        <w:rPr>
          <w:rFonts w:ascii="Times New Roman" w:hAnsi="Times New Roman" w:cs="Times New Roman"/>
          <w:sz w:val="24"/>
          <w:szCs w:val="24"/>
        </w:rPr>
        <w:t>final order should not be made i</w:t>
      </w:r>
      <w:r w:rsidR="00164780" w:rsidRPr="00D57093">
        <w:rPr>
          <w:rFonts w:ascii="Times New Roman" w:hAnsi="Times New Roman" w:cs="Times New Roman"/>
          <w:sz w:val="24"/>
          <w:szCs w:val="24"/>
        </w:rPr>
        <w:t>n the following terms:-</w:t>
      </w:r>
    </w:p>
    <w:p w:rsidR="00283F43" w:rsidRPr="00D57093" w:rsidRDefault="00283F43" w:rsidP="00164780">
      <w:pPr>
        <w:pStyle w:val="ListParagraph"/>
        <w:numPr>
          <w:ilvl w:val="0"/>
          <w:numId w:val="3"/>
        </w:numPr>
        <w:spacing w:after="0" w:line="360" w:lineRule="auto"/>
        <w:jc w:val="both"/>
        <w:rPr>
          <w:rFonts w:ascii="Times New Roman" w:hAnsi="Times New Roman" w:cs="Times New Roman"/>
          <w:sz w:val="24"/>
          <w:szCs w:val="24"/>
        </w:rPr>
      </w:pPr>
      <w:r w:rsidRPr="00D57093">
        <w:rPr>
          <w:rFonts w:ascii="Times New Roman" w:hAnsi="Times New Roman" w:cs="Times New Roman"/>
          <w:sz w:val="24"/>
          <w:szCs w:val="24"/>
        </w:rPr>
        <w:t>First Respondent be and is hereby prohibited from enforcing the resolution/by law requiring that Applicants pay RTGS29 400 for 2020 licences pending the determination of the application for a declaratory order under HC10368/19.</w:t>
      </w:r>
    </w:p>
    <w:p w:rsidR="00283F43" w:rsidRPr="00D57093" w:rsidRDefault="00283F43" w:rsidP="00164780">
      <w:pPr>
        <w:pStyle w:val="ListParagraph"/>
        <w:numPr>
          <w:ilvl w:val="0"/>
          <w:numId w:val="3"/>
        </w:numPr>
        <w:spacing w:after="0" w:line="360" w:lineRule="auto"/>
        <w:jc w:val="both"/>
        <w:rPr>
          <w:rFonts w:ascii="Times New Roman" w:hAnsi="Times New Roman" w:cs="Times New Roman"/>
          <w:sz w:val="24"/>
          <w:szCs w:val="24"/>
        </w:rPr>
      </w:pPr>
      <w:r w:rsidRPr="00D57093">
        <w:rPr>
          <w:rFonts w:ascii="Times New Roman" w:hAnsi="Times New Roman" w:cs="Times New Roman"/>
          <w:sz w:val="24"/>
          <w:szCs w:val="24"/>
        </w:rPr>
        <w:t>First Respondent is prohibited from interfering in whatsoever nature with the practice of the first to the 16</w:t>
      </w:r>
      <w:r w:rsidRPr="00D57093">
        <w:rPr>
          <w:rFonts w:ascii="Times New Roman" w:hAnsi="Times New Roman" w:cs="Times New Roman"/>
          <w:sz w:val="24"/>
          <w:szCs w:val="24"/>
          <w:vertAlign w:val="superscript"/>
        </w:rPr>
        <w:t>th</w:t>
      </w:r>
      <w:r w:rsidRPr="00D57093">
        <w:rPr>
          <w:rFonts w:ascii="Times New Roman" w:hAnsi="Times New Roman" w:cs="Times New Roman"/>
          <w:sz w:val="24"/>
          <w:szCs w:val="24"/>
        </w:rPr>
        <w:t xml:space="preserve"> Applicants or ordering the stoppage of their work pending the determination of HC10368/19.</w:t>
      </w:r>
    </w:p>
    <w:p w:rsidR="00E458D3" w:rsidRPr="00D57093" w:rsidRDefault="00283F43" w:rsidP="00164780">
      <w:pPr>
        <w:pStyle w:val="ListParagraph"/>
        <w:numPr>
          <w:ilvl w:val="0"/>
          <w:numId w:val="3"/>
        </w:numPr>
        <w:spacing w:after="0" w:line="360" w:lineRule="auto"/>
        <w:jc w:val="both"/>
        <w:rPr>
          <w:rFonts w:ascii="Times New Roman" w:hAnsi="Times New Roman" w:cs="Times New Roman"/>
          <w:sz w:val="24"/>
          <w:szCs w:val="24"/>
        </w:rPr>
      </w:pPr>
      <w:r w:rsidRPr="00D57093">
        <w:rPr>
          <w:rFonts w:ascii="Times New Roman" w:hAnsi="Times New Roman" w:cs="Times New Roman"/>
          <w:sz w:val="24"/>
          <w:szCs w:val="24"/>
        </w:rPr>
        <w:t>The first Respondent’s actions of pegging business licence practice fees against the Applicants without affording them administrative justice rights enshrined</w:t>
      </w:r>
      <w:r w:rsidR="00E458D3" w:rsidRPr="00D57093">
        <w:rPr>
          <w:rFonts w:ascii="Times New Roman" w:hAnsi="Times New Roman" w:cs="Times New Roman"/>
          <w:sz w:val="24"/>
          <w:szCs w:val="24"/>
        </w:rPr>
        <w:t xml:space="preserve"> under s68(1) and (20) of the constitution of Zimbabwe is unconstitutional.</w:t>
      </w:r>
    </w:p>
    <w:p w:rsidR="00E458D3" w:rsidRPr="00D57093" w:rsidRDefault="00E458D3" w:rsidP="00164780">
      <w:pPr>
        <w:pStyle w:val="ListParagraph"/>
        <w:numPr>
          <w:ilvl w:val="0"/>
          <w:numId w:val="3"/>
        </w:numPr>
        <w:spacing w:after="0" w:line="360" w:lineRule="auto"/>
        <w:jc w:val="both"/>
        <w:rPr>
          <w:rFonts w:ascii="Times New Roman" w:hAnsi="Times New Roman" w:cs="Times New Roman"/>
          <w:sz w:val="24"/>
          <w:szCs w:val="24"/>
        </w:rPr>
      </w:pPr>
      <w:r w:rsidRPr="00D57093">
        <w:rPr>
          <w:rFonts w:ascii="Times New Roman" w:hAnsi="Times New Roman" w:cs="Times New Roman"/>
          <w:sz w:val="24"/>
          <w:szCs w:val="24"/>
        </w:rPr>
        <w:t>The first Respondent’s actions by law and/resolution requiring Applicants to pay RTGS 29 400 business fees is illegal, void and thus unenforceable.</w:t>
      </w:r>
    </w:p>
    <w:p w:rsidR="00E458D3" w:rsidRPr="00D57093" w:rsidRDefault="00E458D3" w:rsidP="00E458D3">
      <w:pPr>
        <w:pStyle w:val="ListParagraph"/>
        <w:numPr>
          <w:ilvl w:val="0"/>
          <w:numId w:val="3"/>
        </w:numPr>
        <w:spacing w:after="0" w:line="360" w:lineRule="auto"/>
        <w:jc w:val="both"/>
        <w:rPr>
          <w:rFonts w:ascii="Times New Roman" w:hAnsi="Times New Roman" w:cs="Times New Roman"/>
          <w:sz w:val="24"/>
          <w:szCs w:val="24"/>
          <w:u w:val="single"/>
        </w:rPr>
      </w:pPr>
      <w:r w:rsidRPr="00D57093">
        <w:rPr>
          <w:rFonts w:ascii="Times New Roman" w:hAnsi="Times New Roman" w:cs="Times New Roman"/>
          <w:sz w:val="24"/>
          <w:szCs w:val="24"/>
        </w:rPr>
        <w:t xml:space="preserve">The first Respondent shall pay costs of this suit on a legal practitioner client scale. </w:t>
      </w:r>
      <w:r w:rsidR="00283F43" w:rsidRPr="00D57093">
        <w:rPr>
          <w:rFonts w:ascii="Times New Roman" w:hAnsi="Times New Roman" w:cs="Times New Roman"/>
          <w:sz w:val="24"/>
          <w:szCs w:val="24"/>
        </w:rPr>
        <w:t xml:space="preserve"> </w:t>
      </w:r>
    </w:p>
    <w:p w:rsidR="00E458D3" w:rsidRPr="00D57093" w:rsidRDefault="00E458D3" w:rsidP="00E458D3">
      <w:pPr>
        <w:pStyle w:val="ListParagraph"/>
        <w:spacing w:after="0" w:line="360" w:lineRule="auto"/>
        <w:jc w:val="both"/>
        <w:rPr>
          <w:rFonts w:ascii="Times New Roman" w:hAnsi="Times New Roman" w:cs="Times New Roman"/>
          <w:sz w:val="24"/>
          <w:szCs w:val="24"/>
        </w:rPr>
      </w:pPr>
    </w:p>
    <w:p w:rsidR="00164780" w:rsidRPr="00D57093" w:rsidRDefault="009E0397" w:rsidP="00E458D3">
      <w:pPr>
        <w:pStyle w:val="ListParagraph"/>
        <w:spacing w:after="0" w:line="360" w:lineRule="auto"/>
        <w:jc w:val="both"/>
        <w:rPr>
          <w:rFonts w:ascii="Times New Roman" w:hAnsi="Times New Roman" w:cs="Times New Roman"/>
          <w:sz w:val="24"/>
          <w:szCs w:val="24"/>
          <w:u w:val="single"/>
        </w:rPr>
      </w:pPr>
      <w:r w:rsidRPr="00D57093">
        <w:rPr>
          <w:rFonts w:ascii="Times New Roman" w:hAnsi="Times New Roman" w:cs="Times New Roman"/>
          <w:sz w:val="24"/>
          <w:szCs w:val="24"/>
          <w:u w:val="single"/>
        </w:rPr>
        <w:t>INTERIM RELIEF GRANTED</w:t>
      </w:r>
    </w:p>
    <w:p w:rsidR="00164780" w:rsidRPr="00D57093" w:rsidRDefault="009E0397" w:rsidP="00164780">
      <w:pPr>
        <w:spacing w:after="0" w:line="360" w:lineRule="auto"/>
        <w:jc w:val="both"/>
        <w:rPr>
          <w:rFonts w:ascii="Times New Roman" w:hAnsi="Times New Roman" w:cs="Times New Roman"/>
          <w:sz w:val="24"/>
          <w:szCs w:val="24"/>
        </w:rPr>
      </w:pPr>
      <w:r w:rsidRPr="00D57093">
        <w:rPr>
          <w:rFonts w:ascii="Times New Roman" w:hAnsi="Times New Roman" w:cs="Times New Roman"/>
          <w:sz w:val="24"/>
          <w:szCs w:val="24"/>
        </w:rPr>
        <w:tab/>
      </w:r>
      <w:r w:rsidR="00E458D3" w:rsidRPr="00D57093">
        <w:rPr>
          <w:rFonts w:ascii="Times New Roman" w:hAnsi="Times New Roman" w:cs="Times New Roman"/>
          <w:sz w:val="24"/>
          <w:szCs w:val="24"/>
        </w:rPr>
        <w:t>P</w:t>
      </w:r>
      <w:r w:rsidR="00164780" w:rsidRPr="00D57093">
        <w:rPr>
          <w:rFonts w:ascii="Times New Roman" w:hAnsi="Times New Roman" w:cs="Times New Roman"/>
          <w:sz w:val="24"/>
          <w:szCs w:val="24"/>
        </w:rPr>
        <w:t xml:space="preserve">ending the </w:t>
      </w:r>
      <w:r w:rsidR="00E458D3" w:rsidRPr="00D57093">
        <w:rPr>
          <w:rFonts w:ascii="Times New Roman" w:hAnsi="Times New Roman" w:cs="Times New Roman"/>
          <w:sz w:val="24"/>
          <w:szCs w:val="24"/>
        </w:rPr>
        <w:t>determination of this matter on the return date, the applicants are granted the following relief</w:t>
      </w:r>
      <w:r w:rsidR="00164780" w:rsidRPr="00D57093">
        <w:rPr>
          <w:rFonts w:ascii="Times New Roman" w:hAnsi="Times New Roman" w:cs="Times New Roman"/>
          <w:sz w:val="24"/>
          <w:szCs w:val="24"/>
        </w:rPr>
        <w:t>:-</w:t>
      </w:r>
    </w:p>
    <w:p w:rsidR="00164780" w:rsidRPr="00D57093" w:rsidRDefault="00E458D3" w:rsidP="00E458D3">
      <w:pPr>
        <w:pStyle w:val="ListParagraph"/>
        <w:numPr>
          <w:ilvl w:val="0"/>
          <w:numId w:val="4"/>
        </w:numPr>
        <w:spacing w:after="0" w:line="360" w:lineRule="auto"/>
        <w:jc w:val="both"/>
        <w:rPr>
          <w:rFonts w:ascii="Times New Roman" w:hAnsi="Times New Roman" w:cs="Times New Roman"/>
          <w:sz w:val="24"/>
          <w:szCs w:val="24"/>
        </w:rPr>
      </w:pPr>
      <w:r w:rsidRPr="00D57093">
        <w:rPr>
          <w:rFonts w:ascii="Times New Roman" w:hAnsi="Times New Roman" w:cs="Times New Roman"/>
          <w:sz w:val="24"/>
          <w:szCs w:val="24"/>
        </w:rPr>
        <w:lastRenderedPageBreak/>
        <w:t xml:space="preserve">First Respondent be and is hereby prohibited from enforcing the resolution/by law requiring that Applicants pay RTGS29 400 for 2020 licences pending the return date. </w:t>
      </w:r>
    </w:p>
    <w:p w:rsidR="00E458D3" w:rsidRPr="00D57093" w:rsidRDefault="00E458D3" w:rsidP="00164780">
      <w:pPr>
        <w:pStyle w:val="ListParagraph"/>
        <w:numPr>
          <w:ilvl w:val="0"/>
          <w:numId w:val="4"/>
        </w:numPr>
        <w:spacing w:after="0" w:line="360" w:lineRule="auto"/>
        <w:jc w:val="both"/>
        <w:rPr>
          <w:rFonts w:ascii="Times New Roman" w:hAnsi="Times New Roman" w:cs="Times New Roman"/>
          <w:sz w:val="24"/>
          <w:szCs w:val="24"/>
        </w:rPr>
      </w:pPr>
      <w:r w:rsidRPr="00D57093">
        <w:rPr>
          <w:rFonts w:ascii="Times New Roman" w:hAnsi="Times New Roman" w:cs="Times New Roman"/>
          <w:sz w:val="24"/>
          <w:szCs w:val="24"/>
        </w:rPr>
        <w:t>First Respondent is prohibited from interfering in whatsoever nature with the practice of the first to the 16</w:t>
      </w:r>
      <w:r w:rsidRPr="00D57093">
        <w:rPr>
          <w:rFonts w:ascii="Times New Roman" w:hAnsi="Times New Roman" w:cs="Times New Roman"/>
          <w:sz w:val="24"/>
          <w:szCs w:val="24"/>
          <w:vertAlign w:val="superscript"/>
        </w:rPr>
        <w:t>th</w:t>
      </w:r>
      <w:r w:rsidRPr="00D57093">
        <w:rPr>
          <w:rFonts w:ascii="Times New Roman" w:hAnsi="Times New Roman" w:cs="Times New Roman"/>
          <w:sz w:val="24"/>
          <w:szCs w:val="24"/>
        </w:rPr>
        <w:t xml:space="preserve"> Applicants.</w:t>
      </w:r>
    </w:p>
    <w:p w:rsidR="00164780" w:rsidRPr="00D57093" w:rsidRDefault="00E458D3" w:rsidP="00E458D3">
      <w:pPr>
        <w:pStyle w:val="ListParagraph"/>
        <w:numPr>
          <w:ilvl w:val="0"/>
          <w:numId w:val="4"/>
        </w:numPr>
        <w:spacing w:after="0" w:line="360" w:lineRule="auto"/>
        <w:jc w:val="both"/>
        <w:rPr>
          <w:rFonts w:ascii="Times New Roman" w:hAnsi="Times New Roman" w:cs="Times New Roman"/>
          <w:sz w:val="24"/>
          <w:szCs w:val="24"/>
        </w:rPr>
      </w:pPr>
      <w:r w:rsidRPr="00D57093">
        <w:rPr>
          <w:rFonts w:ascii="Times New Roman" w:hAnsi="Times New Roman" w:cs="Times New Roman"/>
          <w:sz w:val="24"/>
          <w:szCs w:val="24"/>
        </w:rPr>
        <w:t>First Respondent shall pay costs of suit</w:t>
      </w:r>
      <w:r w:rsidR="009E3A23" w:rsidRPr="00D57093">
        <w:rPr>
          <w:rFonts w:ascii="Times New Roman" w:hAnsi="Times New Roman" w:cs="Times New Roman"/>
          <w:sz w:val="24"/>
          <w:szCs w:val="24"/>
        </w:rPr>
        <w:t>”</w:t>
      </w:r>
    </w:p>
    <w:p w:rsidR="00786F3E" w:rsidRDefault="004C5DA4" w:rsidP="00786F3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parties first appeared before me on </w:t>
      </w:r>
      <w:r w:rsidR="00A34A12">
        <w:rPr>
          <w:rFonts w:ascii="Times New Roman" w:hAnsi="Times New Roman" w:cs="Times New Roman"/>
          <w:sz w:val="24"/>
          <w:szCs w:val="24"/>
        </w:rPr>
        <w:t>2</w:t>
      </w:r>
      <w:r>
        <w:rPr>
          <w:rFonts w:ascii="Times New Roman" w:hAnsi="Times New Roman" w:cs="Times New Roman"/>
          <w:sz w:val="24"/>
          <w:szCs w:val="24"/>
        </w:rPr>
        <w:t xml:space="preserve"> January 2020.</w:t>
      </w:r>
      <w:r w:rsidR="00E458D3">
        <w:rPr>
          <w:rFonts w:ascii="Times New Roman" w:hAnsi="Times New Roman" w:cs="Times New Roman"/>
          <w:sz w:val="24"/>
          <w:szCs w:val="24"/>
        </w:rPr>
        <w:t xml:space="preserve"> </w:t>
      </w:r>
      <w:r w:rsidR="00E458D3" w:rsidRPr="00786F3E">
        <w:rPr>
          <w:rFonts w:ascii="Times New Roman" w:hAnsi="Times New Roman" w:cs="Times New Roman"/>
          <w:i/>
          <w:sz w:val="24"/>
          <w:szCs w:val="24"/>
        </w:rPr>
        <w:t>Mrs Tiyago</w:t>
      </w:r>
      <w:r w:rsidR="00E458D3">
        <w:rPr>
          <w:rFonts w:ascii="Times New Roman" w:hAnsi="Times New Roman" w:cs="Times New Roman"/>
          <w:sz w:val="24"/>
          <w:szCs w:val="24"/>
        </w:rPr>
        <w:t xml:space="preserve"> for second and third respondents </w:t>
      </w:r>
      <w:r w:rsidR="00786F3E">
        <w:rPr>
          <w:rFonts w:ascii="Times New Roman" w:hAnsi="Times New Roman" w:cs="Times New Roman"/>
          <w:sz w:val="24"/>
          <w:szCs w:val="24"/>
        </w:rPr>
        <w:t xml:space="preserve">asked to be excused from taking </w:t>
      </w:r>
      <w:r>
        <w:rPr>
          <w:rFonts w:ascii="Times New Roman" w:hAnsi="Times New Roman" w:cs="Times New Roman"/>
          <w:sz w:val="24"/>
          <w:szCs w:val="24"/>
        </w:rPr>
        <w:t xml:space="preserve">further </w:t>
      </w:r>
      <w:r w:rsidR="00786F3E">
        <w:rPr>
          <w:rFonts w:ascii="Times New Roman" w:hAnsi="Times New Roman" w:cs="Times New Roman"/>
          <w:sz w:val="24"/>
          <w:szCs w:val="24"/>
        </w:rPr>
        <w:t xml:space="preserve">part in the proceedings seeing as no substantive relief was sought against her clients. She was excused with the concurrence of </w:t>
      </w:r>
      <w:r>
        <w:rPr>
          <w:rFonts w:ascii="Times New Roman" w:hAnsi="Times New Roman" w:cs="Times New Roman"/>
          <w:sz w:val="24"/>
          <w:szCs w:val="24"/>
        </w:rPr>
        <w:t xml:space="preserve">the other two counsels. I postponed the </w:t>
      </w:r>
      <w:r w:rsidR="00786F3E">
        <w:rPr>
          <w:rFonts w:ascii="Times New Roman" w:hAnsi="Times New Roman" w:cs="Times New Roman"/>
          <w:sz w:val="24"/>
          <w:szCs w:val="24"/>
        </w:rPr>
        <w:t>matter to</w:t>
      </w:r>
      <w:r w:rsidR="00A34A12">
        <w:rPr>
          <w:rFonts w:ascii="Times New Roman" w:hAnsi="Times New Roman" w:cs="Times New Roman"/>
          <w:sz w:val="24"/>
          <w:szCs w:val="24"/>
        </w:rPr>
        <w:t xml:space="preserve"> 7 January 2020 to</w:t>
      </w:r>
      <w:r w:rsidR="00786F3E">
        <w:rPr>
          <w:rFonts w:ascii="Times New Roman" w:hAnsi="Times New Roman" w:cs="Times New Roman"/>
          <w:sz w:val="24"/>
          <w:szCs w:val="24"/>
        </w:rPr>
        <w:t xml:space="preserve"> allow the first respondent to engage </w:t>
      </w:r>
      <w:r w:rsidR="002B6160">
        <w:rPr>
          <w:rFonts w:ascii="Times New Roman" w:hAnsi="Times New Roman" w:cs="Times New Roman"/>
          <w:sz w:val="24"/>
          <w:szCs w:val="24"/>
        </w:rPr>
        <w:t xml:space="preserve">counsel </w:t>
      </w:r>
      <w:r w:rsidR="00786F3E">
        <w:rPr>
          <w:rFonts w:ascii="Times New Roman" w:hAnsi="Times New Roman" w:cs="Times New Roman"/>
          <w:sz w:val="24"/>
          <w:szCs w:val="24"/>
        </w:rPr>
        <w:t>of choice, a</w:t>
      </w:r>
      <w:r>
        <w:rPr>
          <w:rFonts w:ascii="Times New Roman" w:hAnsi="Times New Roman" w:cs="Times New Roman"/>
          <w:sz w:val="24"/>
          <w:szCs w:val="24"/>
        </w:rPr>
        <w:t xml:space="preserve">nd to give </w:t>
      </w:r>
      <w:r w:rsidR="00786F3E">
        <w:rPr>
          <w:rFonts w:ascii="Times New Roman" w:hAnsi="Times New Roman" w:cs="Times New Roman"/>
          <w:sz w:val="24"/>
          <w:szCs w:val="24"/>
        </w:rPr>
        <w:t xml:space="preserve">parties an opportunity to </w:t>
      </w:r>
      <w:r w:rsidR="00A34A12">
        <w:rPr>
          <w:rFonts w:ascii="Times New Roman" w:hAnsi="Times New Roman" w:cs="Times New Roman"/>
          <w:sz w:val="24"/>
          <w:szCs w:val="24"/>
        </w:rPr>
        <w:t xml:space="preserve">discuss </w:t>
      </w:r>
      <w:r>
        <w:rPr>
          <w:rFonts w:ascii="Times New Roman" w:hAnsi="Times New Roman" w:cs="Times New Roman"/>
          <w:sz w:val="24"/>
          <w:szCs w:val="24"/>
        </w:rPr>
        <w:t xml:space="preserve">a </w:t>
      </w:r>
      <w:r w:rsidR="00786F3E">
        <w:rPr>
          <w:rFonts w:ascii="Times New Roman" w:hAnsi="Times New Roman" w:cs="Times New Roman"/>
          <w:sz w:val="24"/>
          <w:szCs w:val="24"/>
        </w:rPr>
        <w:t xml:space="preserve">settlement. </w:t>
      </w:r>
    </w:p>
    <w:p w:rsidR="00786F3E" w:rsidRDefault="008E7948" w:rsidP="00786F3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 the resumption of the hearing, the parties were still poles apart and </w:t>
      </w:r>
      <w:r w:rsidR="00027BFD">
        <w:rPr>
          <w:rFonts w:ascii="Times New Roman" w:hAnsi="Times New Roman" w:cs="Times New Roman"/>
          <w:sz w:val="24"/>
          <w:szCs w:val="24"/>
        </w:rPr>
        <w:t>opted to proceed to argument. The respondent raised f</w:t>
      </w:r>
      <w:r w:rsidR="008D6105">
        <w:rPr>
          <w:rFonts w:ascii="Times New Roman" w:hAnsi="Times New Roman" w:cs="Times New Roman"/>
          <w:sz w:val="24"/>
          <w:szCs w:val="24"/>
        </w:rPr>
        <w:t>ive</w:t>
      </w:r>
      <w:r w:rsidR="00027BFD">
        <w:rPr>
          <w:rFonts w:ascii="Times New Roman" w:hAnsi="Times New Roman" w:cs="Times New Roman"/>
          <w:sz w:val="24"/>
          <w:szCs w:val="24"/>
        </w:rPr>
        <w:t xml:space="preserve"> preliminary points which</w:t>
      </w:r>
      <w:r w:rsidR="00CF7A6C">
        <w:rPr>
          <w:rFonts w:ascii="Times New Roman" w:hAnsi="Times New Roman" w:cs="Times New Roman"/>
          <w:sz w:val="24"/>
          <w:szCs w:val="24"/>
        </w:rPr>
        <w:t xml:space="preserve"> are,</w:t>
      </w:r>
      <w:r w:rsidR="00473957">
        <w:rPr>
          <w:rFonts w:ascii="Times New Roman" w:hAnsi="Times New Roman" w:cs="Times New Roman"/>
          <w:sz w:val="24"/>
          <w:szCs w:val="24"/>
        </w:rPr>
        <w:t xml:space="preserve"> </w:t>
      </w:r>
      <w:r w:rsidR="00CF7A6C">
        <w:rPr>
          <w:rFonts w:ascii="Times New Roman" w:hAnsi="Times New Roman" w:cs="Times New Roman"/>
          <w:sz w:val="24"/>
          <w:szCs w:val="24"/>
        </w:rPr>
        <w:t xml:space="preserve">lack of urgency; </w:t>
      </w:r>
      <w:r w:rsidR="00A34A12">
        <w:rPr>
          <w:rFonts w:ascii="Times New Roman" w:hAnsi="Times New Roman" w:cs="Times New Roman"/>
          <w:sz w:val="24"/>
          <w:szCs w:val="24"/>
        </w:rPr>
        <w:t xml:space="preserve">relief sought based on </w:t>
      </w:r>
      <w:r w:rsidR="00CF7A6C">
        <w:rPr>
          <w:rFonts w:ascii="Times New Roman" w:hAnsi="Times New Roman" w:cs="Times New Roman"/>
          <w:sz w:val="24"/>
          <w:szCs w:val="24"/>
        </w:rPr>
        <w:t xml:space="preserve">misapprehension of </w:t>
      </w:r>
      <w:r w:rsidR="00A34A12">
        <w:rPr>
          <w:rFonts w:ascii="Times New Roman" w:hAnsi="Times New Roman" w:cs="Times New Roman"/>
          <w:sz w:val="24"/>
          <w:szCs w:val="24"/>
        </w:rPr>
        <w:t xml:space="preserve">imaginary </w:t>
      </w:r>
      <w:r w:rsidR="00CF7A6C">
        <w:rPr>
          <w:rFonts w:ascii="Times New Roman" w:hAnsi="Times New Roman" w:cs="Times New Roman"/>
          <w:sz w:val="24"/>
          <w:szCs w:val="24"/>
        </w:rPr>
        <w:t xml:space="preserve">harm; court cannot interdict a lawful process; </w:t>
      </w:r>
      <w:r w:rsidR="002B6160">
        <w:rPr>
          <w:rFonts w:ascii="Times New Roman" w:hAnsi="Times New Roman" w:cs="Times New Roman"/>
          <w:sz w:val="24"/>
          <w:szCs w:val="24"/>
        </w:rPr>
        <w:t xml:space="preserve">failure to exhaust </w:t>
      </w:r>
      <w:r w:rsidR="008D6105">
        <w:rPr>
          <w:rFonts w:ascii="Times New Roman" w:hAnsi="Times New Roman" w:cs="Times New Roman"/>
          <w:sz w:val="24"/>
          <w:szCs w:val="24"/>
        </w:rPr>
        <w:t xml:space="preserve">domestic remedies </w:t>
      </w:r>
      <w:r w:rsidR="00CF7A6C">
        <w:rPr>
          <w:rFonts w:ascii="Times New Roman" w:hAnsi="Times New Roman" w:cs="Times New Roman"/>
          <w:sz w:val="24"/>
          <w:szCs w:val="24"/>
        </w:rPr>
        <w:t xml:space="preserve">and that the relief sought was fatally defective. </w:t>
      </w:r>
      <w:r w:rsidR="00027BFD">
        <w:rPr>
          <w:rFonts w:ascii="Times New Roman" w:hAnsi="Times New Roman" w:cs="Times New Roman"/>
          <w:sz w:val="24"/>
          <w:szCs w:val="24"/>
        </w:rPr>
        <w:t xml:space="preserve">I shall revert to </w:t>
      </w:r>
      <w:r w:rsidR="00CF7A6C">
        <w:rPr>
          <w:rFonts w:ascii="Times New Roman" w:hAnsi="Times New Roman" w:cs="Times New Roman"/>
          <w:sz w:val="24"/>
          <w:szCs w:val="24"/>
        </w:rPr>
        <w:t xml:space="preserve">these </w:t>
      </w:r>
      <w:r w:rsidR="00027BFD">
        <w:rPr>
          <w:rFonts w:ascii="Times New Roman" w:hAnsi="Times New Roman" w:cs="Times New Roman"/>
          <w:sz w:val="24"/>
          <w:szCs w:val="24"/>
        </w:rPr>
        <w:t xml:space="preserve">after </w:t>
      </w:r>
      <w:r w:rsidR="00090D46">
        <w:rPr>
          <w:rFonts w:ascii="Times New Roman" w:hAnsi="Times New Roman" w:cs="Times New Roman"/>
          <w:sz w:val="24"/>
          <w:szCs w:val="24"/>
        </w:rPr>
        <w:t xml:space="preserve">a </w:t>
      </w:r>
      <w:r w:rsidR="00027BFD">
        <w:rPr>
          <w:rFonts w:ascii="Times New Roman" w:hAnsi="Times New Roman" w:cs="Times New Roman"/>
          <w:sz w:val="24"/>
          <w:szCs w:val="24"/>
        </w:rPr>
        <w:t xml:space="preserve">brief exposition of the factual background. </w:t>
      </w:r>
      <w:r w:rsidR="00CF7A6C">
        <w:rPr>
          <w:rFonts w:ascii="Times New Roman" w:hAnsi="Times New Roman" w:cs="Times New Roman"/>
          <w:sz w:val="24"/>
          <w:szCs w:val="24"/>
        </w:rPr>
        <w:t xml:space="preserve"> </w:t>
      </w:r>
    </w:p>
    <w:p w:rsidR="00786F3E" w:rsidRDefault="00AD033C" w:rsidP="00786F3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19 December 2019, the applicants became aware that </w:t>
      </w:r>
      <w:r w:rsidR="002B6160">
        <w:rPr>
          <w:rFonts w:ascii="Times New Roman" w:hAnsi="Times New Roman" w:cs="Times New Roman"/>
          <w:sz w:val="24"/>
          <w:szCs w:val="24"/>
        </w:rPr>
        <w:t>with effect from 1 January 2020 they</w:t>
      </w:r>
      <w:r>
        <w:rPr>
          <w:rFonts w:ascii="Times New Roman" w:hAnsi="Times New Roman" w:cs="Times New Roman"/>
          <w:sz w:val="24"/>
          <w:szCs w:val="24"/>
        </w:rPr>
        <w:t xml:space="preserve"> were required to pay </w:t>
      </w:r>
      <w:r w:rsidR="002B6160">
        <w:rPr>
          <w:rFonts w:ascii="Times New Roman" w:hAnsi="Times New Roman" w:cs="Times New Roman"/>
          <w:sz w:val="24"/>
          <w:szCs w:val="24"/>
        </w:rPr>
        <w:t xml:space="preserve">annual business licence fees of </w:t>
      </w:r>
      <w:r>
        <w:rPr>
          <w:rFonts w:ascii="Times New Roman" w:hAnsi="Times New Roman" w:cs="Times New Roman"/>
          <w:sz w:val="24"/>
          <w:szCs w:val="24"/>
        </w:rPr>
        <w:t>$29 400 up from</w:t>
      </w:r>
      <w:r w:rsidR="002B6160">
        <w:rPr>
          <w:rFonts w:ascii="Times New Roman" w:hAnsi="Times New Roman" w:cs="Times New Roman"/>
          <w:sz w:val="24"/>
          <w:szCs w:val="24"/>
        </w:rPr>
        <w:t xml:space="preserve"> the</w:t>
      </w:r>
      <w:r>
        <w:rPr>
          <w:rFonts w:ascii="Times New Roman" w:hAnsi="Times New Roman" w:cs="Times New Roman"/>
          <w:sz w:val="24"/>
          <w:szCs w:val="24"/>
        </w:rPr>
        <w:t xml:space="preserve"> $300</w:t>
      </w:r>
      <w:r w:rsidR="002B6160">
        <w:rPr>
          <w:rFonts w:ascii="Times New Roman" w:hAnsi="Times New Roman" w:cs="Times New Roman"/>
          <w:sz w:val="24"/>
          <w:szCs w:val="24"/>
        </w:rPr>
        <w:t xml:space="preserve"> in the past year. One such notification, dated 19 December 2019 was issued by first respondent </w:t>
      </w:r>
      <w:r w:rsidR="009E42EB">
        <w:rPr>
          <w:rFonts w:ascii="Times New Roman" w:hAnsi="Times New Roman" w:cs="Times New Roman"/>
          <w:sz w:val="24"/>
          <w:szCs w:val="24"/>
        </w:rPr>
        <w:t>to Dr Mupfuwahuku, the eleventh applicant herein</w:t>
      </w:r>
      <w:r w:rsidR="002B6160">
        <w:rPr>
          <w:rFonts w:ascii="Times New Roman" w:hAnsi="Times New Roman" w:cs="Times New Roman"/>
          <w:sz w:val="24"/>
          <w:szCs w:val="24"/>
        </w:rPr>
        <w:t xml:space="preserve">. </w:t>
      </w:r>
      <w:r w:rsidR="00090D46">
        <w:rPr>
          <w:rFonts w:ascii="Times New Roman" w:hAnsi="Times New Roman" w:cs="Times New Roman"/>
          <w:sz w:val="24"/>
          <w:szCs w:val="24"/>
        </w:rPr>
        <w:t xml:space="preserve">The notification requires payment to be made </w:t>
      </w:r>
      <w:r w:rsidR="0072110A">
        <w:rPr>
          <w:rFonts w:ascii="Times New Roman" w:hAnsi="Times New Roman" w:cs="Times New Roman"/>
          <w:sz w:val="24"/>
          <w:szCs w:val="24"/>
        </w:rPr>
        <w:t xml:space="preserve">within thirty days. </w:t>
      </w:r>
      <w:r w:rsidR="009E42EB">
        <w:rPr>
          <w:rFonts w:ascii="Times New Roman" w:hAnsi="Times New Roman" w:cs="Times New Roman"/>
          <w:sz w:val="24"/>
          <w:szCs w:val="24"/>
        </w:rPr>
        <w:t xml:space="preserve">The applicants felt that </w:t>
      </w:r>
      <w:r w:rsidR="002B6160">
        <w:rPr>
          <w:rFonts w:ascii="Times New Roman" w:hAnsi="Times New Roman" w:cs="Times New Roman"/>
          <w:sz w:val="24"/>
          <w:szCs w:val="24"/>
        </w:rPr>
        <w:t xml:space="preserve">the increase, </w:t>
      </w:r>
      <w:r w:rsidR="009E42EB">
        <w:rPr>
          <w:rFonts w:ascii="Times New Roman" w:hAnsi="Times New Roman" w:cs="Times New Roman"/>
          <w:sz w:val="24"/>
          <w:szCs w:val="24"/>
        </w:rPr>
        <w:t>determined by the first respondent without consulting them was ridiculously high and unreasonable. What made</w:t>
      </w:r>
      <w:r w:rsidR="002B6160">
        <w:rPr>
          <w:rFonts w:ascii="Times New Roman" w:hAnsi="Times New Roman" w:cs="Times New Roman"/>
          <w:sz w:val="24"/>
          <w:szCs w:val="24"/>
        </w:rPr>
        <w:t xml:space="preserve"> it</w:t>
      </w:r>
      <w:r w:rsidR="009E42EB">
        <w:rPr>
          <w:rFonts w:ascii="Times New Roman" w:hAnsi="Times New Roman" w:cs="Times New Roman"/>
          <w:sz w:val="24"/>
          <w:szCs w:val="24"/>
        </w:rPr>
        <w:t xml:space="preserve"> more preposterous was that fellow professionals such as accountants were required to pay amounts as low as $3 600 for the same period. </w:t>
      </w:r>
    </w:p>
    <w:p w:rsidR="009E42EB" w:rsidRDefault="009E42EB" w:rsidP="00786F3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applicants consulted with their lawyers </w:t>
      </w:r>
      <w:r w:rsidR="001420E9">
        <w:rPr>
          <w:rFonts w:ascii="Times New Roman" w:hAnsi="Times New Roman" w:cs="Times New Roman"/>
          <w:sz w:val="24"/>
          <w:szCs w:val="24"/>
        </w:rPr>
        <w:t xml:space="preserve">who proceeded to challenge the decision of the first respondent through an application for a </w:t>
      </w:r>
      <w:r w:rsidR="00090D46">
        <w:rPr>
          <w:rFonts w:ascii="Times New Roman" w:hAnsi="Times New Roman" w:cs="Times New Roman"/>
          <w:i/>
          <w:sz w:val="24"/>
          <w:szCs w:val="24"/>
        </w:rPr>
        <w:t>declarat</w:t>
      </w:r>
      <w:r w:rsidR="001420E9" w:rsidRPr="00090D46">
        <w:rPr>
          <w:rFonts w:ascii="Times New Roman" w:hAnsi="Times New Roman" w:cs="Times New Roman"/>
          <w:i/>
          <w:sz w:val="24"/>
          <w:szCs w:val="24"/>
        </w:rPr>
        <w:t>ur</w:t>
      </w:r>
      <w:r w:rsidR="002B6160" w:rsidRPr="00090D46">
        <w:rPr>
          <w:rFonts w:ascii="Times New Roman" w:hAnsi="Times New Roman" w:cs="Times New Roman"/>
          <w:i/>
          <w:sz w:val="24"/>
          <w:szCs w:val="24"/>
        </w:rPr>
        <w:t>.</w:t>
      </w:r>
      <w:r w:rsidR="002B6160">
        <w:rPr>
          <w:rFonts w:ascii="Times New Roman" w:hAnsi="Times New Roman" w:cs="Times New Roman"/>
          <w:sz w:val="24"/>
          <w:szCs w:val="24"/>
        </w:rPr>
        <w:t xml:space="preserve"> The application was </w:t>
      </w:r>
      <w:r w:rsidR="001420E9">
        <w:rPr>
          <w:rFonts w:ascii="Times New Roman" w:hAnsi="Times New Roman" w:cs="Times New Roman"/>
          <w:sz w:val="24"/>
          <w:szCs w:val="24"/>
        </w:rPr>
        <w:t>filed with th</w:t>
      </w:r>
      <w:r w:rsidR="002B6160">
        <w:rPr>
          <w:rFonts w:ascii="Times New Roman" w:hAnsi="Times New Roman" w:cs="Times New Roman"/>
          <w:sz w:val="24"/>
          <w:szCs w:val="24"/>
        </w:rPr>
        <w:t>is court on 27 December 2019</w:t>
      </w:r>
      <w:r w:rsidR="001420E9">
        <w:rPr>
          <w:rFonts w:ascii="Times New Roman" w:hAnsi="Times New Roman" w:cs="Times New Roman"/>
          <w:sz w:val="24"/>
          <w:szCs w:val="24"/>
        </w:rPr>
        <w:t xml:space="preserve"> under case Number HC10368/19. The relief sought </w:t>
      </w:r>
      <w:r w:rsidR="00441C59">
        <w:rPr>
          <w:rFonts w:ascii="Times New Roman" w:hAnsi="Times New Roman" w:cs="Times New Roman"/>
          <w:sz w:val="24"/>
          <w:szCs w:val="24"/>
        </w:rPr>
        <w:t xml:space="preserve">therein </w:t>
      </w:r>
      <w:r w:rsidR="001420E9">
        <w:rPr>
          <w:rFonts w:ascii="Times New Roman" w:hAnsi="Times New Roman" w:cs="Times New Roman"/>
          <w:sz w:val="24"/>
          <w:szCs w:val="24"/>
        </w:rPr>
        <w:t>is couched as follows:</w:t>
      </w:r>
    </w:p>
    <w:p w:rsidR="001420E9" w:rsidRPr="0072110A" w:rsidRDefault="001420E9" w:rsidP="0072110A">
      <w:pPr>
        <w:spacing w:after="0" w:line="240" w:lineRule="auto"/>
        <w:ind w:left="990" w:hanging="270"/>
        <w:jc w:val="both"/>
        <w:rPr>
          <w:rFonts w:ascii="Times New Roman" w:hAnsi="Times New Roman" w:cs="Times New Roman"/>
        </w:rPr>
      </w:pPr>
      <w:r w:rsidRPr="00DC365F">
        <w:rPr>
          <w:rFonts w:ascii="Times New Roman" w:hAnsi="Times New Roman" w:cs="Times New Roman"/>
          <w:sz w:val="20"/>
          <w:szCs w:val="20"/>
        </w:rPr>
        <w:t>“1</w:t>
      </w:r>
      <w:r w:rsidRPr="0072110A">
        <w:rPr>
          <w:rFonts w:ascii="Times New Roman" w:hAnsi="Times New Roman" w:cs="Times New Roman"/>
        </w:rPr>
        <w:t>. The Respondent’s actions of pegging business licence practice fees against the Applicants is an affront of the Applicants constitutional right to fair and prompt administrative justice as enshrined under s68(1) and (2) of the Constitution of Zimbabwe.</w:t>
      </w:r>
    </w:p>
    <w:p w:rsidR="001420E9" w:rsidRPr="0072110A" w:rsidRDefault="001420E9" w:rsidP="0072110A">
      <w:pPr>
        <w:spacing w:after="0" w:line="240" w:lineRule="auto"/>
        <w:ind w:left="900" w:hanging="180"/>
        <w:jc w:val="both"/>
        <w:rPr>
          <w:rFonts w:ascii="Times New Roman" w:hAnsi="Times New Roman" w:cs="Times New Roman"/>
        </w:rPr>
      </w:pPr>
      <w:r w:rsidRPr="0072110A">
        <w:rPr>
          <w:rFonts w:ascii="Times New Roman" w:hAnsi="Times New Roman" w:cs="Times New Roman"/>
        </w:rPr>
        <w:t xml:space="preserve">2. Any resolution and or by laws enacted at the behest of the respondent requiring applicants to pay business licences in order to provide medical services, dental services and or surgical services is </w:t>
      </w:r>
      <w:r w:rsidRPr="0072110A">
        <w:rPr>
          <w:rFonts w:ascii="Times New Roman" w:hAnsi="Times New Roman" w:cs="Times New Roman"/>
        </w:rPr>
        <w:lastRenderedPageBreak/>
        <w:t>ultra vires the Urban Coun</w:t>
      </w:r>
      <w:r w:rsidR="00090D46" w:rsidRPr="0072110A">
        <w:rPr>
          <w:rFonts w:ascii="Times New Roman" w:hAnsi="Times New Roman" w:cs="Times New Roman"/>
        </w:rPr>
        <w:t>c</w:t>
      </w:r>
      <w:r w:rsidRPr="0072110A">
        <w:rPr>
          <w:rFonts w:ascii="Times New Roman" w:hAnsi="Times New Roman" w:cs="Times New Roman"/>
        </w:rPr>
        <w:t>ils Act [Chapter 29:15], specifically s219 therefore and of no force and effect.</w:t>
      </w:r>
    </w:p>
    <w:p w:rsidR="001420E9" w:rsidRPr="0072110A" w:rsidRDefault="001420E9" w:rsidP="0072110A">
      <w:pPr>
        <w:spacing w:after="0" w:line="240" w:lineRule="auto"/>
        <w:ind w:left="900" w:hanging="180"/>
        <w:jc w:val="both"/>
        <w:rPr>
          <w:rFonts w:ascii="Times New Roman" w:hAnsi="Times New Roman" w:cs="Times New Roman"/>
        </w:rPr>
      </w:pPr>
      <w:r w:rsidRPr="0072110A">
        <w:rPr>
          <w:rFonts w:ascii="Times New Roman" w:hAnsi="Times New Roman" w:cs="Times New Roman"/>
        </w:rPr>
        <w:t>3. any resolution and or by laws referred to in paragraph 2 herein being thus of no force or effect is invalid, unlawful and thus null and void.</w:t>
      </w:r>
    </w:p>
    <w:p w:rsidR="001420E9" w:rsidRDefault="001420E9" w:rsidP="0072110A">
      <w:pPr>
        <w:spacing w:after="0" w:line="240" w:lineRule="auto"/>
        <w:ind w:left="900" w:hanging="180"/>
        <w:jc w:val="both"/>
        <w:rPr>
          <w:rFonts w:ascii="Times New Roman" w:hAnsi="Times New Roman" w:cs="Times New Roman"/>
        </w:rPr>
      </w:pPr>
      <w:r w:rsidRPr="0072110A">
        <w:rPr>
          <w:rFonts w:ascii="Times New Roman" w:hAnsi="Times New Roman" w:cs="Times New Roman"/>
        </w:rPr>
        <w:t>4. The first respondent shall bear costs of this application.”</w:t>
      </w:r>
    </w:p>
    <w:p w:rsidR="0072110A" w:rsidRPr="0072110A" w:rsidRDefault="0072110A" w:rsidP="0072110A">
      <w:pPr>
        <w:spacing w:after="0" w:line="240" w:lineRule="auto"/>
        <w:ind w:left="900" w:hanging="180"/>
        <w:jc w:val="both"/>
        <w:rPr>
          <w:rFonts w:ascii="Times New Roman" w:hAnsi="Times New Roman" w:cs="Times New Roman"/>
        </w:rPr>
      </w:pPr>
    </w:p>
    <w:p w:rsidR="001420E9" w:rsidRDefault="00E2629A" w:rsidP="00786F3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Accompanying the urgent chamber application is a certificate of urgency which in paragraph</w:t>
      </w:r>
      <w:r w:rsidR="00480946">
        <w:rPr>
          <w:rFonts w:ascii="Times New Roman" w:hAnsi="Times New Roman" w:cs="Times New Roman"/>
          <w:sz w:val="24"/>
          <w:szCs w:val="24"/>
        </w:rPr>
        <w:t>s</w:t>
      </w:r>
      <w:r>
        <w:rPr>
          <w:rFonts w:ascii="Times New Roman" w:hAnsi="Times New Roman" w:cs="Times New Roman"/>
          <w:sz w:val="24"/>
          <w:szCs w:val="24"/>
        </w:rPr>
        <w:t xml:space="preserve"> 3</w:t>
      </w:r>
      <w:r w:rsidR="00480946">
        <w:rPr>
          <w:rFonts w:ascii="Times New Roman" w:hAnsi="Times New Roman" w:cs="Times New Roman"/>
          <w:sz w:val="24"/>
          <w:szCs w:val="24"/>
        </w:rPr>
        <w:t>, 5 and 7</w:t>
      </w:r>
      <w:r>
        <w:rPr>
          <w:rFonts w:ascii="Times New Roman" w:hAnsi="Times New Roman" w:cs="Times New Roman"/>
          <w:sz w:val="24"/>
          <w:szCs w:val="24"/>
        </w:rPr>
        <w:t xml:space="preserve"> sets out the basis of urgency as follows:</w:t>
      </w:r>
    </w:p>
    <w:p w:rsidR="00480946" w:rsidRDefault="00E2629A" w:rsidP="0072110A">
      <w:pPr>
        <w:spacing w:after="0" w:line="360" w:lineRule="auto"/>
        <w:ind w:left="1080" w:hanging="360"/>
        <w:jc w:val="both"/>
        <w:rPr>
          <w:rFonts w:ascii="Times New Roman" w:hAnsi="Times New Roman" w:cs="Times New Roman"/>
          <w:sz w:val="24"/>
          <w:szCs w:val="24"/>
        </w:rPr>
      </w:pPr>
      <w:r>
        <w:rPr>
          <w:rFonts w:ascii="Times New Roman" w:hAnsi="Times New Roman" w:cs="Times New Roman"/>
          <w:sz w:val="24"/>
          <w:szCs w:val="24"/>
        </w:rPr>
        <w:t>“</w:t>
      </w:r>
      <w:r w:rsidR="00480946">
        <w:rPr>
          <w:rFonts w:ascii="Times New Roman" w:hAnsi="Times New Roman" w:cs="Times New Roman"/>
          <w:sz w:val="24"/>
          <w:szCs w:val="24"/>
        </w:rPr>
        <w:t xml:space="preserve">3. </w:t>
      </w:r>
      <w:r>
        <w:rPr>
          <w:rFonts w:ascii="Times New Roman" w:hAnsi="Times New Roman" w:cs="Times New Roman"/>
          <w:sz w:val="24"/>
          <w:szCs w:val="24"/>
        </w:rPr>
        <w:t xml:space="preserve">First Respondent has the tendency of closing businesses for people who </w:t>
      </w:r>
      <w:r w:rsidR="0072110A">
        <w:rPr>
          <w:rFonts w:ascii="Times New Roman" w:hAnsi="Times New Roman" w:cs="Times New Roman"/>
          <w:sz w:val="24"/>
          <w:szCs w:val="24"/>
        </w:rPr>
        <w:t>trade</w:t>
      </w:r>
      <w:r>
        <w:rPr>
          <w:rFonts w:ascii="Times New Roman" w:hAnsi="Times New Roman" w:cs="Times New Roman"/>
          <w:sz w:val="24"/>
          <w:szCs w:val="24"/>
        </w:rPr>
        <w:t xml:space="preserve"> without such licences and there is a real likelihood that if Applicants fail to pay the said monies, their businesses will be closed effective 1 January 2020</w:t>
      </w:r>
      <w:r w:rsidR="00480946">
        <w:rPr>
          <w:rFonts w:ascii="Times New Roman" w:hAnsi="Times New Roman" w:cs="Times New Roman"/>
          <w:sz w:val="24"/>
          <w:szCs w:val="24"/>
        </w:rPr>
        <w:t>.</w:t>
      </w:r>
    </w:p>
    <w:p w:rsidR="00480946" w:rsidRDefault="00480946" w:rsidP="0072110A">
      <w:pPr>
        <w:pStyle w:val="ListParagraph"/>
        <w:spacing w:after="0" w:line="360" w:lineRule="auto"/>
        <w:ind w:left="1080" w:hanging="360"/>
        <w:jc w:val="both"/>
        <w:rPr>
          <w:rFonts w:ascii="Times New Roman" w:hAnsi="Times New Roman" w:cs="Times New Roman"/>
          <w:sz w:val="24"/>
          <w:szCs w:val="24"/>
        </w:rPr>
      </w:pPr>
      <w:r>
        <w:rPr>
          <w:rFonts w:ascii="Times New Roman" w:hAnsi="Times New Roman" w:cs="Times New Roman"/>
          <w:sz w:val="24"/>
          <w:szCs w:val="24"/>
        </w:rPr>
        <w:t xml:space="preserve">5. </w:t>
      </w:r>
      <w:r w:rsidR="0072110A">
        <w:rPr>
          <w:rFonts w:ascii="Times New Roman" w:hAnsi="Times New Roman" w:cs="Times New Roman"/>
          <w:sz w:val="24"/>
          <w:szCs w:val="24"/>
        </w:rPr>
        <w:t xml:space="preserve"> </w:t>
      </w:r>
      <w:r>
        <w:rPr>
          <w:rFonts w:ascii="Times New Roman" w:hAnsi="Times New Roman" w:cs="Times New Roman"/>
          <w:sz w:val="24"/>
          <w:szCs w:val="24"/>
        </w:rPr>
        <w:t>Applicants have swiftly protected their rights and there appears to be no other effective remedy in protecting their rights pending the determination of the application for declaratory.</w:t>
      </w:r>
    </w:p>
    <w:p w:rsidR="00480946" w:rsidRPr="00480946" w:rsidRDefault="00480946" w:rsidP="0072110A">
      <w:pPr>
        <w:pStyle w:val="ListParagraph"/>
        <w:spacing w:after="0" w:line="360" w:lineRule="auto"/>
        <w:ind w:left="1080" w:hanging="360"/>
        <w:jc w:val="both"/>
        <w:rPr>
          <w:rFonts w:ascii="Times New Roman" w:hAnsi="Times New Roman" w:cs="Times New Roman"/>
          <w:sz w:val="24"/>
          <w:szCs w:val="24"/>
        </w:rPr>
      </w:pPr>
      <w:r>
        <w:rPr>
          <w:rFonts w:ascii="Times New Roman" w:hAnsi="Times New Roman" w:cs="Times New Roman"/>
          <w:sz w:val="24"/>
          <w:szCs w:val="24"/>
        </w:rPr>
        <w:t>7. The relief which the applicants seek, to have the 1</w:t>
      </w:r>
      <w:r w:rsidRPr="00480946">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prohibited from requesting the 2020 business fees at RTGS 29 400 will be rendered hollow if this application is </w:t>
      </w:r>
      <w:r w:rsidR="008F323D">
        <w:rPr>
          <w:rFonts w:ascii="Times New Roman" w:hAnsi="Times New Roman" w:cs="Times New Roman"/>
          <w:sz w:val="24"/>
          <w:szCs w:val="24"/>
        </w:rPr>
        <w:t>steered</w:t>
      </w:r>
      <w:r>
        <w:rPr>
          <w:rFonts w:ascii="Times New Roman" w:hAnsi="Times New Roman" w:cs="Times New Roman"/>
          <w:sz w:val="24"/>
          <w:szCs w:val="24"/>
        </w:rPr>
        <w:t xml:space="preserve"> towards the ordinary roll”</w:t>
      </w:r>
    </w:p>
    <w:p w:rsidR="008F323D" w:rsidRDefault="008F323D" w:rsidP="00441C5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now proceed to deal with the preliminary points raised by first respondent.</w:t>
      </w:r>
    </w:p>
    <w:p w:rsidR="008F323D" w:rsidRPr="0072110A" w:rsidRDefault="008F323D" w:rsidP="00E2629A">
      <w:pPr>
        <w:spacing w:after="0" w:line="360" w:lineRule="auto"/>
        <w:jc w:val="both"/>
        <w:rPr>
          <w:rFonts w:ascii="Times New Roman" w:hAnsi="Times New Roman" w:cs="Times New Roman"/>
          <w:sz w:val="24"/>
          <w:szCs w:val="24"/>
          <w:u w:val="single"/>
        </w:rPr>
      </w:pPr>
      <w:r w:rsidRPr="0072110A">
        <w:rPr>
          <w:rFonts w:ascii="Times New Roman" w:hAnsi="Times New Roman" w:cs="Times New Roman"/>
          <w:sz w:val="24"/>
          <w:szCs w:val="24"/>
          <w:u w:val="single"/>
        </w:rPr>
        <w:t xml:space="preserve">URGENCY  </w:t>
      </w:r>
    </w:p>
    <w:p w:rsidR="00A941C0" w:rsidRDefault="00C357F6" w:rsidP="00EA47BE">
      <w:pPr>
        <w:spacing w:after="0" w:line="360" w:lineRule="auto"/>
        <w:ind w:firstLine="720"/>
        <w:jc w:val="both"/>
        <w:rPr>
          <w:rFonts w:ascii="Times New Roman" w:hAnsi="Times New Roman" w:cs="Times New Roman"/>
          <w:sz w:val="24"/>
          <w:szCs w:val="24"/>
        </w:rPr>
      </w:pPr>
      <w:r w:rsidRPr="00441C59">
        <w:rPr>
          <w:rFonts w:ascii="Times New Roman" w:hAnsi="Times New Roman" w:cs="Times New Roman"/>
          <w:i/>
          <w:sz w:val="24"/>
          <w:szCs w:val="24"/>
        </w:rPr>
        <w:t>Mr Sithole</w:t>
      </w:r>
      <w:r>
        <w:rPr>
          <w:rFonts w:ascii="Times New Roman" w:hAnsi="Times New Roman" w:cs="Times New Roman"/>
          <w:sz w:val="24"/>
          <w:szCs w:val="24"/>
        </w:rPr>
        <w:t xml:space="preserve"> for </w:t>
      </w:r>
      <w:r w:rsidR="00441C59">
        <w:rPr>
          <w:rFonts w:ascii="Times New Roman" w:hAnsi="Times New Roman" w:cs="Times New Roman"/>
          <w:sz w:val="24"/>
          <w:szCs w:val="24"/>
        </w:rPr>
        <w:t xml:space="preserve">first respondent </w:t>
      </w:r>
      <w:r>
        <w:rPr>
          <w:rFonts w:ascii="Times New Roman" w:hAnsi="Times New Roman" w:cs="Times New Roman"/>
          <w:sz w:val="24"/>
          <w:szCs w:val="24"/>
        </w:rPr>
        <w:t xml:space="preserve">submitted that the application was not urgent </w:t>
      </w:r>
      <w:r w:rsidR="008F323D">
        <w:rPr>
          <w:rFonts w:ascii="Times New Roman" w:hAnsi="Times New Roman" w:cs="Times New Roman"/>
          <w:sz w:val="24"/>
          <w:szCs w:val="24"/>
        </w:rPr>
        <w:t>as the need to act arose</w:t>
      </w:r>
      <w:r w:rsidR="00441C59">
        <w:rPr>
          <w:rFonts w:ascii="Times New Roman" w:hAnsi="Times New Roman" w:cs="Times New Roman"/>
          <w:sz w:val="24"/>
          <w:szCs w:val="24"/>
        </w:rPr>
        <w:t xml:space="preserve"> as far back as 10 October 2019, </w:t>
      </w:r>
      <w:r w:rsidR="008F323D">
        <w:rPr>
          <w:rFonts w:ascii="Times New Roman" w:hAnsi="Times New Roman" w:cs="Times New Roman"/>
          <w:sz w:val="24"/>
          <w:szCs w:val="24"/>
        </w:rPr>
        <w:t xml:space="preserve">when the first respondent </w:t>
      </w:r>
      <w:r w:rsidR="00EA47BE">
        <w:rPr>
          <w:rFonts w:ascii="Times New Roman" w:hAnsi="Times New Roman" w:cs="Times New Roman"/>
          <w:sz w:val="24"/>
          <w:szCs w:val="24"/>
        </w:rPr>
        <w:t xml:space="preserve">placed a notice in a newspaper informing ratepayers of the proposed review of rates, fees service charges and tariffs for 2020. Another notice is alleged to have been placed in another newspaper on 27 October 2019. The notices further advised ratepayers that a copy of the schedule showing details of the proposed charges was available for inspection during normal office hours at the civic centre. </w:t>
      </w:r>
      <w:r w:rsidR="00441C59">
        <w:rPr>
          <w:rFonts w:ascii="Times New Roman" w:hAnsi="Times New Roman" w:cs="Times New Roman"/>
          <w:sz w:val="24"/>
          <w:szCs w:val="24"/>
        </w:rPr>
        <w:t>As of the 11</w:t>
      </w:r>
      <w:r w:rsidR="00441C59" w:rsidRPr="00441C59">
        <w:rPr>
          <w:rFonts w:ascii="Times New Roman" w:hAnsi="Times New Roman" w:cs="Times New Roman"/>
          <w:sz w:val="24"/>
          <w:szCs w:val="24"/>
          <w:vertAlign w:val="superscript"/>
        </w:rPr>
        <w:t>th</w:t>
      </w:r>
      <w:r w:rsidR="00441C59">
        <w:rPr>
          <w:rFonts w:ascii="Times New Roman" w:hAnsi="Times New Roman" w:cs="Times New Roman"/>
          <w:sz w:val="24"/>
          <w:szCs w:val="24"/>
        </w:rPr>
        <w:t xml:space="preserve"> </w:t>
      </w:r>
      <w:r w:rsidR="00955BB1">
        <w:rPr>
          <w:rFonts w:ascii="Times New Roman" w:hAnsi="Times New Roman" w:cs="Times New Roman"/>
          <w:sz w:val="24"/>
          <w:szCs w:val="24"/>
        </w:rPr>
        <w:t xml:space="preserve">October 2019, the applicants </w:t>
      </w:r>
      <w:r w:rsidR="003435A7">
        <w:rPr>
          <w:rFonts w:ascii="Times New Roman" w:hAnsi="Times New Roman" w:cs="Times New Roman"/>
          <w:sz w:val="24"/>
          <w:szCs w:val="24"/>
        </w:rPr>
        <w:t xml:space="preserve">therefore </w:t>
      </w:r>
      <w:r w:rsidR="00955BB1">
        <w:rPr>
          <w:rFonts w:ascii="Times New Roman" w:hAnsi="Times New Roman" w:cs="Times New Roman"/>
          <w:sz w:val="24"/>
          <w:szCs w:val="24"/>
        </w:rPr>
        <w:t>had constructive knowledge of the proposed reviews and they ought to have raised their objection</w:t>
      </w:r>
      <w:r w:rsidR="00441C59">
        <w:rPr>
          <w:rFonts w:ascii="Times New Roman" w:hAnsi="Times New Roman" w:cs="Times New Roman"/>
          <w:sz w:val="24"/>
          <w:szCs w:val="24"/>
        </w:rPr>
        <w:t>s</w:t>
      </w:r>
      <w:r w:rsidR="00955BB1">
        <w:rPr>
          <w:rFonts w:ascii="Times New Roman" w:hAnsi="Times New Roman" w:cs="Times New Roman"/>
          <w:sz w:val="24"/>
          <w:szCs w:val="24"/>
        </w:rPr>
        <w:t xml:space="preserve"> </w:t>
      </w:r>
      <w:r w:rsidR="00441C59">
        <w:rPr>
          <w:rFonts w:ascii="Times New Roman" w:hAnsi="Times New Roman" w:cs="Times New Roman"/>
          <w:sz w:val="24"/>
          <w:szCs w:val="24"/>
        </w:rPr>
        <w:t>on that occasion</w:t>
      </w:r>
      <w:r w:rsidR="00955BB1">
        <w:rPr>
          <w:rFonts w:ascii="Times New Roman" w:hAnsi="Times New Roman" w:cs="Times New Roman"/>
          <w:sz w:val="24"/>
          <w:szCs w:val="24"/>
        </w:rPr>
        <w:t xml:space="preserve">. </w:t>
      </w:r>
      <w:r w:rsidR="00EA47BE" w:rsidRPr="00DF17D3">
        <w:rPr>
          <w:rFonts w:ascii="Times New Roman" w:hAnsi="Times New Roman" w:cs="Times New Roman"/>
          <w:i/>
          <w:sz w:val="24"/>
          <w:szCs w:val="24"/>
        </w:rPr>
        <w:t>Mr Sithole</w:t>
      </w:r>
      <w:r w:rsidR="00EA47BE">
        <w:rPr>
          <w:rFonts w:ascii="Times New Roman" w:hAnsi="Times New Roman" w:cs="Times New Roman"/>
          <w:sz w:val="24"/>
          <w:szCs w:val="24"/>
        </w:rPr>
        <w:t xml:space="preserve"> sought to tender in evidence two extracts of the notices, but </w:t>
      </w:r>
      <w:r w:rsidR="00EA47BE" w:rsidRPr="00441C59">
        <w:rPr>
          <w:rFonts w:ascii="Times New Roman" w:hAnsi="Times New Roman" w:cs="Times New Roman"/>
          <w:i/>
          <w:sz w:val="24"/>
          <w:szCs w:val="24"/>
        </w:rPr>
        <w:t>Ms Mabwe</w:t>
      </w:r>
      <w:r w:rsidR="00EA47BE">
        <w:rPr>
          <w:rFonts w:ascii="Times New Roman" w:hAnsi="Times New Roman" w:cs="Times New Roman"/>
          <w:sz w:val="24"/>
          <w:szCs w:val="24"/>
        </w:rPr>
        <w:t xml:space="preserve"> for the applicants </w:t>
      </w:r>
      <w:r w:rsidR="00441C59">
        <w:rPr>
          <w:rFonts w:ascii="Times New Roman" w:hAnsi="Times New Roman" w:cs="Times New Roman"/>
          <w:sz w:val="24"/>
          <w:szCs w:val="24"/>
        </w:rPr>
        <w:t xml:space="preserve">challenged their authenticity. She argued that </w:t>
      </w:r>
      <w:r w:rsidR="00EA47BE">
        <w:rPr>
          <w:rFonts w:ascii="Times New Roman" w:hAnsi="Times New Roman" w:cs="Times New Roman"/>
          <w:sz w:val="24"/>
          <w:szCs w:val="24"/>
        </w:rPr>
        <w:t xml:space="preserve">they did not show the </w:t>
      </w:r>
      <w:r w:rsidR="00441C59">
        <w:rPr>
          <w:rFonts w:ascii="Times New Roman" w:hAnsi="Times New Roman" w:cs="Times New Roman"/>
          <w:sz w:val="24"/>
          <w:szCs w:val="24"/>
        </w:rPr>
        <w:t xml:space="preserve">issue </w:t>
      </w:r>
      <w:r w:rsidR="00EA47BE">
        <w:rPr>
          <w:rFonts w:ascii="Times New Roman" w:hAnsi="Times New Roman" w:cs="Times New Roman"/>
          <w:sz w:val="24"/>
          <w:szCs w:val="24"/>
        </w:rPr>
        <w:t>date</w:t>
      </w:r>
      <w:r w:rsidR="003435A7">
        <w:rPr>
          <w:rFonts w:ascii="Times New Roman" w:hAnsi="Times New Roman" w:cs="Times New Roman"/>
          <w:sz w:val="24"/>
          <w:szCs w:val="24"/>
        </w:rPr>
        <w:t>s</w:t>
      </w:r>
      <w:r w:rsidR="00EA47BE">
        <w:rPr>
          <w:rFonts w:ascii="Times New Roman" w:hAnsi="Times New Roman" w:cs="Times New Roman"/>
          <w:sz w:val="24"/>
          <w:szCs w:val="24"/>
        </w:rPr>
        <w:t xml:space="preserve"> and the respective newspaper</w:t>
      </w:r>
      <w:r w:rsidR="003435A7">
        <w:rPr>
          <w:rFonts w:ascii="Times New Roman" w:hAnsi="Times New Roman" w:cs="Times New Roman"/>
          <w:sz w:val="24"/>
          <w:szCs w:val="24"/>
        </w:rPr>
        <w:t>s</w:t>
      </w:r>
      <w:r w:rsidR="00EA47BE">
        <w:rPr>
          <w:rFonts w:ascii="Times New Roman" w:hAnsi="Times New Roman" w:cs="Times New Roman"/>
          <w:sz w:val="24"/>
          <w:szCs w:val="24"/>
        </w:rPr>
        <w:t xml:space="preserve"> from which they had been extracted. That threw their </w:t>
      </w:r>
      <w:r w:rsidR="00A01289">
        <w:rPr>
          <w:rFonts w:ascii="Times New Roman" w:hAnsi="Times New Roman" w:cs="Times New Roman"/>
          <w:sz w:val="24"/>
          <w:szCs w:val="24"/>
        </w:rPr>
        <w:t xml:space="preserve">authenticity into doubt. The dates had been inserted in long hand. </w:t>
      </w:r>
      <w:r w:rsidR="00A01289" w:rsidRPr="00DF17D3">
        <w:rPr>
          <w:rFonts w:ascii="Times New Roman" w:hAnsi="Times New Roman" w:cs="Times New Roman"/>
          <w:i/>
          <w:sz w:val="24"/>
          <w:szCs w:val="24"/>
        </w:rPr>
        <w:t>Mr Sithole</w:t>
      </w:r>
      <w:r w:rsidR="00A01289">
        <w:rPr>
          <w:rFonts w:ascii="Times New Roman" w:hAnsi="Times New Roman" w:cs="Times New Roman"/>
          <w:sz w:val="24"/>
          <w:szCs w:val="24"/>
        </w:rPr>
        <w:t xml:space="preserve"> undertook to avail the original newspapers from which the notices had been extracted. The originals had not been furnished as at the date of writing this judgment. </w:t>
      </w:r>
      <w:r w:rsidR="00955BB1" w:rsidRPr="00DF17D3">
        <w:rPr>
          <w:rFonts w:ascii="Times New Roman" w:hAnsi="Times New Roman" w:cs="Times New Roman"/>
          <w:i/>
          <w:sz w:val="24"/>
          <w:szCs w:val="24"/>
        </w:rPr>
        <w:t>Mr Sithole</w:t>
      </w:r>
      <w:r w:rsidR="00955BB1">
        <w:rPr>
          <w:rFonts w:ascii="Times New Roman" w:hAnsi="Times New Roman" w:cs="Times New Roman"/>
          <w:sz w:val="24"/>
          <w:szCs w:val="24"/>
        </w:rPr>
        <w:t xml:space="preserve"> submitted that on 29 November 2019, the applicants had, through a </w:t>
      </w:r>
      <w:r w:rsidR="00955BB1">
        <w:rPr>
          <w:rFonts w:ascii="Times New Roman" w:hAnsi="Times New Roman" w:cs="Times New Roman"/>
          <w:sz w:val="24"/>
          <w:szCs w:val="24"/>
        </w:rPr>
        <w:lastRenderedPageBreak/>
        <w:t xml:space="preserve">representative </w:t>
      </w:r>
      <w:r w:rsidR="00DF17D3">
        <w:rPr>
          <w:rFonts w:ascii="Times New Roman" w:hAnsi="Times New Roman" w:cs="Times New Roman"/>
          <w:sz w:val="24"/>
          <w:szCs w:val="24"/>
        </w:rPr>
        <w:t xml:space="preserve">made </w:t>
      </w:r>
      <w:r w:rsidR="00955BB1">
        <w:rPr>
          <w:rFonts w:ascii="Times New Roman" w:hAnsi="Times New Roman" w:cs="Times New Roman"/>
          <w:sz w:val="24"/>
          <w:szCs w:val="24"/>
        </w:rPr>
        <w:t xml:space="preserve">written </w:t>
      </w:r>
      <w:r w:rsidR="00DF17D3">
        <w:rPr>
          <w:rFonts w:ascii="Times New Roman" w:hAnsi="Times New Roman" w:cs="Times New Roman"/>
          <w:sz w:val="24"/>
          <w:szCs w:val="24"/>
        </w:rPr>
        <w:t xml:space="preserve">representations to the </w:t>
      </w:r>
      <w:r w:rsidR="00955BB1">
        <w:rPr>
          <w:rFonts w:ascii="Times New Roman" w:hAnsi="Times New Roman" w:cs="Times New Roman"/>
          <w:sz w:val="24"/>
          <w:szCs w:val="24"/>
        </w:rPr>
        <w:t xml:space="preserve">first respondent </w:t>
      </w:r>
      <w:r w:rsidR="00441C59">
        <w:rPr>
          <w:rFonts w:ascii="Times New Roman" w:hAnsi="Times New Roman" w:cs="Times New Roman"/>
          <w:sz w:val="24"/>
          <w:szCs w:val="24"/>
        </w:rPr>
        <w:t>appealing for a downward review of the proposed fee.</w:t>
      </w:r>
      <w:r w:rsidR="00DF17D3">
        <w:rPr>
          <w:rFonts w:ascii="Times New Roman" w:hAnsi="Times New Roman" w:cs="Times New Roman"/>
          <w:sz w:val="24"/>
          <w:szCs w:val="24"/>
        </w:rPr>
        <w:t xml:space="preserve"> Th</w:t>
      </w:r>
      <w:r w:rsidR="003435A7">
        <w:rPr>
          <w:rFonts w:ascii="Times New Roman" w:hAnsi="Times New Roman" w:cs="Times New Roman"/>
          <w:sz w:val="24"/>
          <w:szCs w:val="24"/>
        </w:rPr>
        <w:t>at</w:t>
      </w:r>
      <w:r w:rsidR="00441C59">
        <w:rPr>
          <w:rFonts w:ascii="Times New Roman" w:hAnsi="Times New Roman" w:cs="Times New Roman"/>
          <w:sz w:val="24"/>
          <w:szCs w:val="24"/>
        </w:rPr>
        <w:t xml:space="preserve"> letter</w:t>
      </w:r>
      <w:r w:rsidR="00DF17D3">
        <w:rPr>
          <w:rFonts w:ascii="Times New Roman" w:hAnsi="Times New Roman" w:cs="Times New Roman"/>
          <w:sz w:val="24"/>
          <w:szCs w:val="24"/>
        </w:rPr>
        <w:t xml:space="preserve"> made reference </w:t>
      </w:r>
      <w:r w:rsidR="00A941C0">
        <w:rPr>
          <w:rFonts w:ascii="Times New Roman" w:hAnsi="Times New Roman" w:cs="Times New Roman"/>
          <w:sz w:val="24"/>
          <w:szCs w:val="24"/>
        </w:rPr>
        <w:t xml:space="preserve">to a </w:t>
      </w:r>
      <w:r w:rsidR="00A941C0" w:rsidRPr="000C50D1">
        <w:rPr>
          <w:rFonts w:ascii="Times New Roman" w:hAnsi="Times New Roman" w:cs="Times New Roman"/>
          <w:sz w:val="24"/>
          <w:szCs w:val="24"/>
        </w:rPr>
        <w:t>fee of $27 000.</w:t>
      </w:r>
      <w:r w:rsidR="00A941C0">
        <w:rPr>
          <w:rFonts w:ascii="Times New Roman" w:hAnsi="Times New Roman" w:cs="Times New Roman"/>
          <w:sz w:val="24"/>
          <w:szCs w:val="24"/>
        </w:rPr>
        <w:t xml:space="preserve"> </w:t>
      </w:r>
      <w:r w:rsidR="00441C59" w:rsidRPr="00441C59">
        <w:rPr>
          <w:rFonts w:ascii="Times New Roman" w:hAnsi="Times New Roman" w:cs="Times New Roman"/>
          <w:i/>
          <w:sz w:val="24"/>
          <w:szCs w:val="24"/>
        </w:rPr>
        <w:t>Mr Sithole</w:t>
      </w:r>
      <w:r w:rsidR="00441C59">
        <w:rPr>
          <w:rFonts w:ascii="Times New Roman" w:hAnsi="Times New Roman" w:cs="Times New Roman"/>
          <w:sz w:val="24"/>
          <w:szCs w:val="24"/>
        </w:rPr>
        <w:t xml:space="preserve"> further submitted tha</w:t>
      </w:r>
      <w:r w:rsidR="00A941C0">
        <w:rPr>
          <w:rFonts w:ascii="Times New Roman" w:hAnsi="Times New Roman" w:cs="Times New Roman"/>
          <w:sz w:val="24"/>
          <w:szCs w:val="24"/>
        </w:rPr>
        <w:t xml:space="preserve">t as at 29 November the applicants were </w:t>
      </w:r>
      <w:r w:rsidR="00441C59">
        <w:rPr>
          <w:rFonts w:ascii="Times New Roman" w:hAnsi="Times New Roman" w:cs="Times New Roman"/>
          <w:sz w:val="24"/>
          <w:szCs w:val="24"/>
        </w:rPr>
        <w:t xml:space="preserve">therefore </w:t>
      </w:r>
      <w:r w:rsidR="00A941C0">
        <w:rPr>
          <w:rFonts w:ascii="Times New Roman" w:hAnsi="Times New Roman" w:cs="Times New Roman"/>
          <w:sz w:val="24"/>
          <w:szCs w:val="24"/>
        </w:rPr>
        <w:t>aware of the applicant’s position to review the</w:t>
      </w:r>
      <w:r w:rsidR="00441C59">
        <w:rPr>
          <w:rFonts w:ascii="Times New Roman" w:hAnsi="Times New Roman" w:cs="Times New Roman"/>
          <w:sz w:val="24"/>
          <w:szCs w:val="24"/>
        </w:rPr>
        <w:t xml:space="preserve"> business</w:t>
      </w:r>
      <w:r w:rsidR="00A941C0">
        <w:rPr>
          <w:rFonts w:ascii="Times New Roman" w:hAnsi="Times New Roman" w:cs="Times New Roman"/>
          <w:sz w:val="24"/>
          <w:szCs w:val="24"/>
        </w:rPr>
        <w:t xml:space="preserve"> licence fees </w:t>
      </w:r>
      <w:r w:rsidR="00441C59">
        <w:rPr>
          <w:rFonts w:ascii="Times New Roman" w:hAnsi="Times New Roman" w:cs="Times New Roman"/>
          <w:sz w:val="24"/>
          <w:szCs w:val="24"/>
        </w:rPr>
        <w:t xml:space="preserve">upwards. The applicants did not need </w:t>
      </w:r>
      <w:r w:rsidR="00A941C0">
        <w:rPr>
          <w:rFonts w:ascii="Times New Roman" w:hAnsi="Times New Roman" w:cs="Times New Roman"/>
          <w:sz w:val="24"/>
          <w:szCs w:val="24"/>
        </w:rPr>
        <w:t xml:space="preserve">to wait until 27 December 2019 to file both the present application and the application for a </w:t>
      </w:r>
      <w:r w:rsidR="00A941C0" w:rsidRPr="00793E2D">
        <w:rPr>
          <w:rFonts w:ascii="Times New Roman" w:hAnsi="Times New Roman" w:cs="Times New Roman"/>
          <w:i/>
          <w:sz w:val="24"/>
          <w:szCs w:val="24"/>
        </w:rPr>
        <w:t>declaratur</w:t>
      </w:r>
      <w:r w:rsidR="00A941C0">
        <w:rPr>
          <w:rFonts w:ascii="Times New Roman" w:hAnsi="Times New Roman" w:cs="Times New Roman"/>
          <w:sz w:val="24"/>
          <w:szCs w:val="24"/>
        </w:rPr>
        <w:t xml:space="preserve">. </w:t>
      </w:r>
    </w:p>
    <w:p w:rsidR="00E2629A" w:rsidRDefault="006F55B6" w:rsidP="00EA47B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For the applicants </w:t>
      </w:r>
      <w:r w:rsidRPr="00793E2D">
        <w:rPr>
          <w:rFonts w:ascii="Times New Roman" w:hAnsi="Times New Roman" w:cs="Times New Roman"/>
          <w:i/>
          <w:sz w:val="24"/>
          <w:szCs w:val="24"/>
        </w:rPr>
        <w:t>Ms Mabwe</w:t>
      </w:r>
      <w:r>
        <w:rPr>
          <w:rFonts w:ascii="Times New Roman" w:hAnsi="Times New Roman" w:cs="Times New Roman"/>
          <w:sz w:val="24"/>
          <w:szCs w:val="24"/>
        </w:rPr>
        <w:t xml:space="preserve"> argued that the need to act could not have arisen on 11 October or 29 November 2019, </w:t>
      </w:r>
      <w:r w:rsidR="00793E2D">
        <w:rPr>
          <w:rFonts w:ascii="Times New Roman" w:hAnsi="Times New Roman" w:cs="Times New Roman"/>
          <w:sz w:val="24"/>
          <w:szCs w:val="24"/>
        </w:rPr>
        <w:t xml:space="preserve">seeing as </w:t>
      </w:r>
      <w:r>
        <w:rPr>
          <w:rFonts w:ascii="Times New Roman" w:hAnsi="Times New Roman" w:cs="Times New Roman"/>
          <w:sz w:val="24"/>
          <w:szCs w:val="24"/>
        </w:rPr>
        <w:t>the first respondent had n</w:t>
      </w:r>
      <w:r w:rsidR="000A289D">
        <w:rPr>
          <w:rFonts w:ascii="Times New Roman" w:hAnsi="Times New Roman" w:cs="Times New Roman"/>
          <w:sz w:val="24"/>
          <w:szCs w:val="24"/>
        </w:rPr>
        <w:t>ot</w:t>
      </w:r>
      <w:r>
        <w:rPr>
          <w:rFonts w:ascii="Times New Roman" w:hAnsi="Times New Roman" w:cs="Times New Roman"/>
          <w:sz w:val="24"/>
          <w:szCs w:val="24"/>
        </w:rPr>
        <w:t xml:space="preserve"> </w:t>
      </w:r>
      <w:r w:rsidR="00793E2D">
        <w:rPr>
          <w:rFonts w:ascii="Times New Roman" w:hAnsi="Times New Roman" w:cs="Times New Roman"/>
          <w:sz w:val="24"/>
          <w:szCs w:val="24"/>
        </w:rPr>
        <w:t xml:space="preserve">yet </w:t>
      </w:r>
      <w:r>
        <w:rPr>
          <w:rFonts w:ascii="Times New Roman" w:hAnsi="Times New Roman" w:cs="Times New Roman"/>
          <w:sz w:val="24"/>
          <w:szCs w:val="24"/>
        </w:rPr>
        <w:t>complied with section 219 of the Urban Councils Act</w:t>
      </w:r>
      <w:r>
        <w:rPr>
          <w:rStyle w:val="FootnoteReference"/>
          <w:rFonts w:ascii="Times New Roman" w:hAnsi="Times New Roman" w:cs="Times New Roman"/>
          <w:sz w:val="24"/>
          <w:szCs w:val="24"/>
        </w:rPr>
        <w:footnoteReference w:id="1"/>
      </w:r>
      <w:r w:rsidR="00793E2D">
        <w:rPr>
          <w:rFonts w:ascii="Times New Roman" w:hAnsi="Times New Roman" w:cs="Times New Roman"/>
          <w:sz w:val="24"/>
          <w:szCs w:val="24"/>
        </w:rPr>
        <w:t xml:space="preserve"> (the Act) at that stage</w:t>
      </w:r>
      <w:r>
        <w:rPr>
          <w:rFonts w:ascii="Times New Roman" w:hAnsi="Times New Roman" w:cs="Times New Roman"/>
          <w:sz w:val="24"/>
          <w:szCs w:val="24"/>
        </w:rPr>
        <w:t xml:space="preserve">. </w:t>
      </w:r>
      <w:r w:rsidR="00A941C0">
        <w:rPr>
          <w:rFonts w:ascii="Times New Roman" w:hAnsi="Times New Roman" w:cs="Times New Roman"/>
          <w:sz w:val="24"/>
          <w:szCs w:val="24"/>
        </w:rPr>
        <w:t xml:space="preserve"> </w:t>
      </w:r>
      <w:r w:rsidR="00793E2D">
        <w:rPr>
          <w:rFonts w:ascii="Times New Roman" w:hAnsi="Times New Roman" w:cs="Times New Roman"/>
          <w:sz w:val="24"/>
          <w:szCs w:val="24"/>
        </w:rPr>
        <w:t>T</w:t>
      </w:r>
      <w:r w:rsidR="000A289D">
        <w:rPr>
          <w:rFonts w:ascii="Times New Roman" w:hAnsi="Times New Roman" w:cs="Times New Roman"/>
          <w:sz w:val="24"/>
          <w:szCs w:val="24"/>
        </w:rPr>
        <w:t>he need to act could not have been triggered by the alleged notices of 10 and 28 October which were essentially proposals for the review of the</w:t>
      </w:r>
      <w:r w:rsidR="00793E2D">
        <w:rPr>
          <w:rFonts w:ascii="Times New Roman" w:hAnsi="Times New Roman" w:cs="Times New Roman"/>
          <w:sz w:val="24"/>
          <w:szCs w:val="24"/>
        </w:rPr>
        <w:t xml:space="preserve"> business</w:t>
      </w:r>
      <w:r w:rsidR="000A289D">
        <w:rPr>
          <w:rFonts w:ascii="Times New Roman" w:hAnsi="Times New Roman" w:cs="Times New Roman"/>
          <w:sz w:val="24"/>
          <w:szCs w:val="24"/>
        </w:rPr>
        <w:t xml:space="preserve"> licence fees. Section 219 states that:</w:t>
      </w:r>
    </w:p>
    <w:p w:rsidR="00F77ABC" w:rsidRPr="0072110A" w:rsidRDefault="00F77ABC" w:rsidP="0072110A">
      <w:pPr>
        <w:autoSpaceDE w:val="0"/>
        <w:autoSpaceDN w:val="0"/>
        <w:adjustRightInd w:val="0"/>
        <w:spacing w:after="0" w:line="240" w:lineRule="auto"/>
        <w:ind w:firstLine="720"/>
        <w:jc w:val="both"/>
        <w:rPr>
          <w:rFonts w:ascii="Arial" w:hAnsi="Arial" w:cs="Arial"/>
          <w:b/>
          <w:bCs/>
          <w:color w:val="000000"/>
          <w:lang w:val="en-ZW"/>
        </w:rPr>
      </w:pPr>
      <w:r w:rsidRPr="00DC365F">
        <w:rPr>
          <w:rFonts w:ascii="Arial" w:hAnsi="Arial" w:cs="Arial"/>
          <w:b/>
          <w:bCs/>
          <w:color w:val="000000"/>
          <w:sz w:val="20"/>
          <w:szCs w:val="20"/>
          <w:lang w:val="en-ZW"/>
        </w:rPr>
        <w:t>“</w:t>
      </w:r>
      <w:r w:rsidRPr="0072110A">
        <w:rPr>
          <w:rFonts w:ascii="Arial" w:hAnsi="Arial" w:cs="Arial"/>
          <w:b/>
          <w:bCs/>
          <w:color w:val="000000"/>
          <w:lang w:val="en-ZW"/>
        </w:rPr>
        <w:t>219 Charges by resolution</w:t>
      </w:r>
    </w:p>
    <w:p w:rsidR="00F77ABC" w:rsidRPr="0072110A" w:rsidRDefault="00F77ABC" w:rsidP="0072110A">
      <w:pPr>
        <w:autoSpaceDE w:val="0"/>
        <w:autoSpaceDN w:val="0"/>
        <w:adjustRightInd w:val="0"/>
        <w:spacing w:after="0" w:line="240" w:lineRule="auto"/>
        <w:ind w:left="720"/>
        <w:jc w:val="both"/>
        <w:rPr>
          <w:rFonts w:ascii="Times New Roman" w:hAnsi="Times New Roman" w:cs="Times New Roman"/>
          <w:color w:val="000000"/>
          <w:lang w:val="en-ZW"/>
        </w:rPr>
      </w:pPr>
      <w:r w:rsidRPr="0072110A">
        <w:rPr>
          <w:rFonts w:ascii="Times New Roman" w:hAnsi="Times New Roman" w:cs="Times New Roman"/>
          <w:color w:val="000000"/>
          <w:lang w:val="en-ZW"/>
        </w:rPr>
        <w:t>(1) A council may, by resolution passed by a majority of the total membership of the council—</w:t>
      </w:r>
    </w:p>
    <w:p w:rsidR="00F77ABC" w:rsidRPr="0072110A" w:rsidRDefault="00F77ABC" w:rsidP="0072110A">
      <w:pPr>
        <w:autoSpaceDE w:val="0"/>
        <w:autoSpaceDN w:val="0"/>
        <w:adjustRightInd w:val="0"/>
        <w:spacing w:after="0" w:line="240" w:lineRule="auto"/>
        <w:ind w:firstLine="720"/>
        <w:jc w:val="both"/>
        <w:rPr>
          <w:rFonts w:ascii="Times New Roman" w:hAnsi="Times New Roman" w:cs="Times New Roman"/>
          <w:color w:val="000000"/>
          <w:lang w:val="en-ZW"/>
        </w:rPr>
      </w:pPr>
      <w:r w:rsidRPr="0072110A">
        <w:rPr>
          <w:rFonts w:ascii="Times New Roman" w:hAnsi="Times New Roman" w:cs="Times New Roman"/>
          <w:color w:val="000000"/>
          <w:lang w:val="en-ZW"/>
        </w:rPr>
        <w:t>(</w:t>
      </w:r>
      <w:r w:rsidRPr="0072110A">
        <w:rPr>
          <w:rFonts w:ascii="Times New Roman" w:hAnsi="Times New Roman" w:cs="Times New Roman"/>
          <w:i/>
          <w:iCs/>
          <w:color w:val="000000"/>
          <w:lang w:val="en-ZW"/>
        </w:rPr>
        <w:t>a</w:t>
      </w:r>
      <w:r w:rsidRPr="0072110A">
        <w:rPr>
          <w:rFonts w:ascii="Times New Roman" w:hAnsi="Times New Roman" w:cs="Times New Roman"/>
          <w:color w:val="000000"/>
          <w:lang w:val="en-ZW"/>
        </w:rPr>
        <w:t xml:space="preserve">) fix </w:t>
      </w:r>
      <w:r w:rsidRPr="0072110A">
        <w:rPr>
          <w:rFonts w:ascii="Times New Roman" w:hAnsi="Times New Roman" w:cs="Times New Roman"/>
          <w:color w:val="000000"/>
          <w:u w:val="single"/>
          <w:lang w:val="en-ZW"/>
        </w:rPr>
        <w:t>tariffs or charges</w:t>
      </w:r>
      <w:r w:rsidRPr="0072110A">
        <w:rPr>
          <w:rFonts w:ascii="Times New Roman" w:hAnsi="Times New Roman" w:cs="Times New Roman"/>
          <w:color w:val="000000"/>
          <w:lang w:val="en-ZW"/>
        </w:rPr>
        <w:t xml:space="preserve"> for—</w:t>
      </w:r>
    </w:p>
    <w:p w:rsidR="00F77ABC" w:rsidRPr="0072110A" w:rsidRDefault="00F77ABC" w:rsidP="0072110A">
      <w:pPr>
        <w:autoSpaceDE w:val="0"/>
        <w:autoSpaceDN w:val="0"/>
        <w:adjustRightInd w:val="0"/>
        <w:spacing w:after="0" w:line="240" w:lineRule="auto"/>
        <w:ind w:firstLine="720"/>
        <w:jc w:val="both"/>
        <w:rPr>
          <w:rFonts w:ascii="Times New Roman" w:hAnsi="Times New Roman" w:cs="Times New Roman"/>
          <w:color w:val="000000"/>
          <w:lang w:val="en-ZW"/>
        </w:rPr>
      </w:pPr>
      <w:r w:rsidRPr="0072110A">
        <w:rPr>
          <w:rFonts w:ascii="Times New Roman" w:hAnsi="Times New Roman" w:cs="Times New Roman"/>
          <w:color w:val="000000"/>
          <w:lang w:val="en-ZW"/>
        </w:rPr>
        <w:t>(i) the supply of electricity or water or of refuse removal services; or</w:t>
      </w:r>
    </w:p>
    <w:p w:rsidR="00F77ABC" w:rsidRPr="0072110A" w:rsidRDefault="00F77ABC" w:rsidP="0072110A">
      <w:pPr>
        <w:autoSpaceDE w:val="0"/>
        <w:autoSpaceDN w:val="0"/>
        <w:adjustRightInd w:val="0"/>
        <w:spacing w:after="0" w:line="240" w:lineRule="auto"/>
        <w:ind w:left="720"/>
        <w:jc w:val="both"/>
        <w:rPr>
          <w:rFonts w:ascii="Times New Roman" w:hAnsi="Times New Roman" w:cs="Times New Roman"/>
          <w:color w:val="000000"/>
          <w:lang w:val="en-ZW"/>
        </w:rPr>
      </w:pPr>
      <w:r w:rsidRPr="0072110A">
        <w:rPr>
          <w:rFonts w:ascii="Times New Roman" w:hAnsi="Times New Roman" w:cs="Times New Roman"/>
          <w:color w:val="000000"/>
          <w:lang w:val="en-ZW"/>
        </w:rPr>
        <w:t>(ii) the conveyance of sewage or trade effluent in public sewers and its treatment at a sewage treatment works; or</w:t>
      </w:r>
    </w:p>
    <w:p w:rsidR="00F77ABC" w:rsidRPr="0072110A" w:rsidRDefault="00F77ABC" w:rsidP="0072110A">
      <w:pPr>
        <w:autoSpaceDE w:val="0"/>
        <w:autoSpaceDN w:val="0"/>
        <w:adjustRightInd w:val="0"/>
        <w:spacing w:after="0" w:line="240" w:lineRule="auto"/>
        <w:ind w:firstLine="720"/>
        <w:jc w:val="both"/>
        <w:rPr>
          <w:rFonts w:ascii="Times New Roman" w:hAnsi="Times New Roman" w:cs="Times New Roman"/>
          <w:color w:val="000000"/>
          <w:lang w:val="en-ZW"/>
        </w:rPr>
      </w:pPr>
      <w:r w:rsidRPr="0072110A">
        <w:rPr>
          <w:rFonts w:ascii="Times New Roman" w:hAnsi="Times New Roman" w:cs="Times New Roman"/>
          <w:color w:val="000000"/>
          <w:lang w:val="en-ZW"/>
        </w:rPr>
        <w:t>(iii) any other services which a council may provide in terms of this Act;</w:t>
      </w:r>
    </w:p>
    <w:p w:rsidR="003002AE" w:rsidRPr="0072110A" w:rsidRDefault="00F77ABC" w:rsidP="0072110A">
      <w:pPr>
        <w:autoSpaceDE w:val="0"/>
        <w:autoSpaceDN w:val="0"/>
        <w:adjustRightInd w:val="0"/>
        <w:spacing w:after="0" w:line="240" w:lineRule="auto"/>
        <w:ind w:left="720"/>
        <w:jc w:val="both"/>
        <w:rPr>
          <w:rFonts w:ascii="Times New Roman" w:hAnsi="Times New Roman" w:cs="Times New Roman"/>
          <w:color w:val="000000"/>
          <w:lang w:val="en-ZW"/>
        </w:rPr>
      </w:pPr>
      <w:r w:rsidRPr="0072110A">
        <w:rPr>
          <w:rFonts w:ascii="Times New Roman" w:hAnsi="Times New Roman" w:cs="Times New Roman"/>
          <w:color w:val="000000"/>
          <w:lang w:val="en-ZW"/>
        </w:rPr>
        <w:t>(</w:t>
      </w:r>
      <w:r w:rsidRPr="0072110A">
        <w:rPr>
          <w:rFonts w:ascii="Times New Roman" w:hAnsi="Times New Roman" w:cs="Times New Roman"/>
          <w:i/>
          <w:iCs/>
          <w:color w:val="000000"/>
          <w:lang w:val="en-ZW"/>
        </w:rPr>
        <w:t>b</w:t>
      </w:r>
      <w:r w:rsidRPr="0072110A">
        <w:rPr>
          <w:rFonts w:ascii="Times New Roman" w:hAnsi="Times New Roman" w:cs="Times New Roman"/>
          <w:color w:val="000000"/>
          <w:lang w:val="en-ZW"/>
        </w:rPr>
        <w:t xml:space="preserve">) fix </w:t>
      </w:r>
      <w:r w:rsidRPr="0072110A">
        <w:rPr>
          <w:rFonts w:ascii="Times New Roman" w:hAnsi="Times New Roman" w:cs="Times New Roman"/>
          <w:color w:val="000000"/>
          <w:u w:val="single"/>
          <w:lang w:val="en-ZW"/>
        </w:rPr>
        <w:t>charges</w:t>
      </w:r>
      <w:r w:rsidRPr="0072110A">
        <w:rPr>
          <w:rFonts w:ascii="Times New Roman" w:hAnsi="Times New Roman" w:cs="Times New Roman"/>
          <w:color w:val="000000"/>
          <w:lang w:val="en-ZW"/>
        </w:rPr>
        <w:t xml:space="preserve"> to be payable in respect of certificates, </w:t>
      </w:r>
      <w:r w:rsidRPr="0072110A">
        <w:rPr>
          <w:rFonts w:ascii="Times New Roman" w:hAnsi="Times New Roman" w:cs="Times New Roman"/>
          <w:color w:val="000000"/>
          <w:u w:val="single"/>
          <w:lang w:val="en-ZW"/>
        </w:rPr>
        <w:t>licences or permits issued</w:t>
      </w:r>
      <w:r w:rsidRPr="0072110A">
        <w:rPr>
          <w:rFonts w:ascii="Times New Roman" w:hAnsi="Times New Roman" w:cs="Times New Roman"/>
          <w:color w:val="000000"/>
          <w:lang w:val="en-ZW"/>
        </w:rPr>
        <w:t>, inspections carried out, services rendered or any act, matter or thing done by th</w:t>
      </w:r>
      <w:r w:rsidR="003002AE" w:rsidRPr="0072110A">
        <w:rPr>
          <w:rFonts w:ascii="Times New Roman" w:hAnsi="Times New Roman" w:cs="Times New Roman"/>
          <w:color w:val="000000"/>
          <w:lang w:val="en-ZW"/>
        </w:rPr>
        <w:t>e council in terms of this Act;</w:t>
      </w:r>
    </w:p>
    <w:p w:rsidR="003002AE" w:rsidRPr="0072110A" w:rsidRDefault="003002AE" w:rsidP="0072110A">
      <w:pPr>
        <w:autoSpaceDE w:val="0"/>
        <w:autoSpaceDN w:val="0"/>
        <w:adjustRightInd w:val="0"/>
        <w:spacing w:after="0" w:line="240" w:lineRule="auto"/>
        <w:ind w:left="720"/>
        <w:jc w:val="both"/>
        <w:rPr>
          <w:rFonts w:ascii="Times New Roman" w:hAnsi="Times New Roman" w:cs="Times New Roman"/>
          <w:color w:val="000000"/>
          <w:lang w:val="en-ZW"/>
        </w:rPr>
      </w:pPr>
      <w:r w:rsidRPr="0072110A">
        <w:rPr>
          <w:rFonts w:ascii="Times New Roman" w:hAnsi="Times New Roman" w:cs="Times New Roman"/>
          <w:lang w:val="en-ZW"/>
        </w:rPr>
        <w:t>(</w:t>
      </w:r>
      <w:r w:rsidRPr="0072110A">
        <w:rPr>
          <w:rFonts w:ascii="Times New Roman" w:hAnsi="Times New Roman" w:cs="Times New Roman"/>
          <w:i/>
          <w:iCs/>
          <w:lang w:val="en-ZW"/>
        </w:rPr>
        <w:t>c</w:t>
      </w:r>
      <w:r w:rsidRPr="0072110A">
        <w:rPr>
          <w:rFonts w:ascii="Times New Roman" w:hAnsi="Times New Roman" w:cs="Times New Roman"/>
          <w:lang w:val="en-ZW"/>
        </w:rPr>
        <w:t xml:space="preserve">) fix </w:t>
      </w:r>
      <w:r w:rsidRPr="0072110A">
        <w:rPr>
          <w:rFonts w:ascii="Times New Roman" w:hAnsi="Times New Roman" w:cs="Times New Roman"/>
          <w:u w:val="single"/>
          <w:lang w:val="en-ZW"/>
        </w:rPr>
        <w:t>deposits</w:t>
      </w:r>
      <w:r w:rsidRPr="0072110A">
        <w:rPr>
          <w:rFonts w:ascii="Times New Roman" w:hAnsi="Times New Roman" w:cs="Times New Roman"/>
          <w:lang w:val="en-ZW"/>
        </w:rPr>
        <w:t xml:space="preserve"> to be paid in connection with any services provided by the council in terms of this Act:</w:t>
      </w:r>
    </w:p>
    <w:p w:rsidR="00F77ABC" w:rsidRPr="0072110A" w:rsidRDefault="00F77ABC" w:rsidP="0072110A">
      <w:pPr>
        <w:autoSpaceDE w:val="0"/>
        <w:autoSpaceDN w:val="0"/>
        <w:adjustRightInd w:val="0"/>
        <w:spacing w:after="0" w:line="240" w:lineRule="auto"/>
        <w:ind w:left="720"/>
        <w:jc w:val="both"/>
        <w:rPr>
          <w:rFonts w:ascii="Times New Roman" w:hAnsi="Times New Roman" w:cs="Times New Roman"/>
          <w:color w:val="000000"/>
          <w:lang w:val="en-ZW"/>
        </w:rPr>
      </w:pPr>
      <w:r w:rsidRPr="0072110A">
        <w:rPr>
          <w:rFonts w:ascii="Times New Roman" w:hAnsi="Times New Roman" w:cs="Times New Roman"/>
          <w:color w:val="000000"/>
          <w:lang w:val="en-ZW"/>
        </w:rPr>
        <w:t>Provided that in any local government area administered by a council or in such part of a council area as may be prescribed or as may be notified to the council by the Minister—</w:t>
      </w:r>
    </w:p>
    <w:p w:rsidR="00F77ABC" w:rsidRPr="0072110A" w:rsidRDefault="00F77ABC" w:rsidP="0072110A">
      <w:pPr>
        <w:autoSpaceDE w:val="0"/>
        <w:autoSpaceDN w:val="0"/>
        <w:adjustRightInd w:val="0"/>
        <w:spacing w:after="0" w:line="240" w:lineRule="auto"/>
        <w:ind w:left="720"/>
        <w:jc w:val="both"/>
        <w:rPr>
          <w:rFonts w:ascii="Times New Roman" w:hAnsi="Times New Roman" w:cs="Times New Roman"/>
          <w:color w:val="000000"/>
          <w:lang w:val="en-ZW"/>
        </w:rPr>
      </w:pPr>
      <w:r w:rsidRPr="0072110A">
        <w:rPr>
          <w:rFonts w:ascii="Times New Roman" w:hAnsi="Times New Roman" w:cs="Times New Roman"/>
          <w:color w:val="000000"/>
          <w:lang w:val="en-ZW"/>
        </w:rPr>
        <w:t>(</w:t>
      </w:r>
      <w:r w:rsidRPr="0072110A">
        <w:rPr>
          <w:rFonts w:ascii="Times New Roman" w:hAnsi="Times New Roman" w:cs="Times New Roman"/>
          <w:i/>
          <w:iCs/>
          <w:color w:val="000000"/>
          <w:lang w:val="en-ZW"/>
        </w:rPr>
        <w:t>a</w:t>
      </w:r>
      <w:r w:rsidRPr="0072110A">
        <w:rPr>
          <w:rFonts w:ascii="Times New Roman" w:hAnsi="Times New Roman" w:cs="Times New Roman"/>
          <w:color w:val="000000"/>
          <w:lang w:val="en-ZW"/>
        </w:rPr>
        <w:t>) notwithstanding anything to the contrary contained in this Act, no rents, charges, fees or deposits or any kind, other than charges, fees or deposits in connection with the supply of electricity, shall be raised or levied by a council in respect of any residential accommodation or services provided specifically to or in connection with any residential accommodation otherwise than by by-laws made or in force in terms of this Act;</w:t>
      </w:r>
    </w:p>
    <w:p w:rsidR="00F77ABC" w:rsidRPr="0072110A" w:rsidRDefault="00F77ABC" w:rsidP="0072110A">
      <w:pPr>
        <w:autoSpaceDE w:val="0"/>
        <w:autoSpaceDN w:val="0"/>
        <w:adjustRightInd w:val="0"/>
        <w:spacing w:after="0" w:line="240" w:lineRule="auto"/>
        <w:ind w:left="720"/>
        <w:jc w:val="both"/>
        <w:rPr>
          <w:rFonts w:ascii="Times New Roman" w:hAnsi="Times New Roman" w:cs="Times New Roman"/>
          <w:color w:val="000000"/>
          <w:lang w:val="en-ZW"/>
        </w:rPr>
      </w:pPr>
      <w:r w:rsidRPr="0072110A">
        <w:rPr>
          <w:rFonts w:ascii="Times New Roman" w:hAnsi="Times New Roman" w:cs="Times New Roman"/>
          <w:color w:val="000000"/>
          <w:lang w:val="en-ZW"/>
        </w:rPr>
        <w:t>(</w:t>
      </w:r>
      <w:r w:rsidRPr="0072110A">
        <w:rPr>
          <w:rFonts w:ascii="Times New Roman" w:hAnsi="Times New Roman" w:cs="Times New Roman"/>
          <w:i/>
          <w:iCs/>
          <w:color w:val="000000"/>
          <w:lang w:val="en-ZW"/>
        </w:rPr>
        <w:t>b</w:t>
      </w:r>
      <w:r w:rsidRPr="0072110A">
        <w:rPr>
          <w:rFonts w:ascii="Times New Roman" w:hAnsi="Times New Roman" w:cs="Times New Roman"/>
          <w:color w:val="000000"/>
          <w:lang w:val="en-ZW"/>
        </w:rPr>
        <w:t>) a council may, subject to the approval of the Minister, fix in any lease or agreement entered into by it the rents, charges, fees or deposits which shall be payable by the lessee in respect of the occupation of any premises.</w:t>
      </w:r>
    </w:p>
    <w:p w:rsidR="00F77ABC" w:rsidRPr="0072110A" w:rsidRDefault="00F77ABC" w:rsidP="0072110A">
      <w:pPr>
        <w:autoSpaceDE w:val="0"/>
        <w:autoSpaceDN w:val="0"/>
        <w:adjustRightInd w:val="0"/>
        <w:spacing w:after="0" w:line="240" w:lineRule="auto"/>
        <w:ind w:left="720"/>
        <w:jc w:val="both"/>
        <w:rPr>
          <w:rFonts w:ascii="Times New Roman" w:hAnsi="Times New Roman" w:cs="Times New Roman"/>
          <w:color w:val="000000"/>
          <w:u w:val="single"/>
          <w:lang w:val="en-ZW"/>
        </w:rPr>
      </w:pPr>
      <w:r w:rsidRPr="0072110A">
        <w:rPr>
          <w:rFonts w:ascii="Times New Roman" w:hAnsi="Times New Roman" w:cs="Times New Roman"/>
          <w:color w:val="000000"/>
          <w:lang w:val="en-ZW"/>
        </w:rPr>
        <w:t xml:space="preserve">(2) Before any </w:t>
      </w:r>
      <w:r w:rsidRPr="0072110A">
        <w:rPr>
          <w:rFonts w:ascii="Times New Roman" w:hAnsi="Times New Roman" w:cs="Times New Roman"/>
          <w:color w:val="000000"/>
          <w:u w:val="single"/>
          <w:lang w:val="en-ZW"/>
        </w:rPr>
        <w:t>tariffs, charges or deposits</w:t>
      </w:r>
      <w:r w:rsidRPr="0072110A">
        <w:rPr>
          <w:rFonts w:ascii="Times New Roman" w:hAnsi="Times New Roman" w:cs="Times New Roman"/>
          <w:color w:val="000000"/>
          <w:lang w:val="en-ZW"/>
        </w:rPr>
        <w:t xml:space="preserve"> fixed in terms of subsection (1) come into operation a statement setting out the proposed </w:t>
      </w:r>
      <w:r w:rsidRPr="0072110A">
        <w:rPr>
          <w:rFonts w:ascii="Times New Roman" w:hAnsi="Times New Roman" w:cs="Times New Roman"/>
          <w:color w:val="000000"/>
          <w:u w:val="single"/>
          <w:lang w:val="en-ZW"/>
        </w:rPr>
        <w:t>tariffs, charges or deposits</w:t>
      </w:r>
      <w:r w:rsidRPr="0072110A">
        <w:rPr>
          <w:rFonts w:ascii="Times New Roman" w:hAnsi="Times New Roman" w:cs="Times New Roman"/>
          <w:color w:val="000000"/>
          <w:lang w:val="en-ZW"/>
        </w:rPr>
        <w:t xml:space="preserve"> and any existing </w:t>
      </w:r>
      <w:r w:rsidRPr="0072110A">
        <w:rPr>
          <w:rFonts w:ascii="Times New Roman" w:hAnsi="Times New Roman" w:cs="Times New Roman"/>
          <w:color w:val="000000"/>
          <w:u w:val="single"/>
          <w:lang w:val="en-ZW"/>
        </w:rPr>
        <w:t>tariffs, charges or deposits</w:t>
      </w:r>
      <w:r w:rsidRPr="0072110A">
        <w:rPr>
          <w:rFonts w:ascii="Times New Roman" w:hAnsi="Times New Roman" w:cs="Times New Roman"/>
          <w:color w:val="000000"/>
          <w:lang w:val="en-ZW"/>
        </w:rPr>
        <w:t xml:space="preserve"> for the same matters shall—</w:t>
      </w:r>
    </w:p>
    <w:p w:rsidR="00F77ABC" w:rsidRPr="0072110A" w:rsidRDefault="00F77ABC" w:rsidP="0072110A">
      <w:pPr>
        <w:autoSpaceDE w:val="0"/>
        <w:autoSpaceDN w:val="0"/>
        <w:adjustRightInd w:val="0"/>
        <w:spacing w:after="0" w:line="240" w:lineRule="auto"/>
        <w:ind w:firstLine="720"/>
        <w:jc w:val="both"/>
        <w:rPr>
          <w:rFonts w:ascii="Times New Roman" w:hAnsi="Times New Roman" w:cs="Times New Roman"/>
          <w:color w:val="000000"/>
          <w:u w:val="single"/>
          <w:lang w:val="en-ZW"/>
        </w:rPr>
      </w:pPr>
      <w:r w:rsidRPr="0072110A">
        <w:rPr>
          <w:rFonts w:ascii="Times New Roman" w:hAnsi="Times New Roman" w:cs="Times New Roman"/>
          <w:color w:val="000000"/>
          <w:u w:val="single"/>
          <w:lang w:val="en-ZW"/>
        </w:rPr>
        <w:t>(</w:t>
      </w:r>
      <w:r w:rsidRPr="0072110A">
        <w:rPr>
          <w:rFonts w:ascii="Times New Roman" w:hAnsi="Times New Roman" w:cs="Times New Roman"/>
          <w:i/>
          <w:iCs/>
          <w:color w:val="000000"/>
          <w:u w:val="single"/>
          <w:lang w:val="en-ZW"/>
        </w:rPr>
        <w:t>a</w:t>
      </w:r>
      <w:r w:rsidRPr="0072110A">
        <w:rPr>
          <w:rFonts w:ascii="Times New Roman" w:hAnsi="Times New Roman" w:cs="Times New Roman"/>
          <w:color w:val="000000"/>
          <w:u w:val="single"/>
          <w:lang w:val="en-ZW"/>
        </w:rPr>
        <w:t>) be advertised in two issues of a newspaper; and</w:t>
      </w:r>
    </w:p>
    <w:p w:rsidR="00F77ABC" w:rsidRPr="0072110A" w:rsidRDefault="00F77ABC" w:rsidP="0072110A">
      <w:pPr>
        <w:autoSpaceDE w:val="0"/>
        <w:autoSpaceDN w:val="0"/>
        <w:adjustRightInd w:val="0"/>
        <w:spacing w:after="0" w:line="240" w:lineRule="auto"/>
        <w:ind w:left="720"/>
        <w:jc w:val="both"/>
        <w:rPr>
          <w:rFonts w:ascii="Times New Roman" w:hAnsi="Times New Roman" w:cs="Times New Roman"/>
          <w:color w:val="000000"/>
          <w:u w:val="single"/>
          <w:lang w:val="en-ZW"/>
        </w:rPr>
      </w:pPr>
      <w:r w:rsidRPr="0072110A">
        <w:rPr>
          <w:rFonts w:ascii="Times New Roman" w:hAnsi="Times New Roman" w:cs="Times New Roman"/>
          <w:color w:val="000000"/>
          <w:u w:val="single"/>
          <w:lang w:val="en-ZW"/>
        </w:rPr>
        <w:t>(</w:t>
      </w:r>
      <w:r w:rsidRPr="0072110A">
        <w:rPr>
          <w:rFonts w:ascii="Times New Roman" w:hAnsi="Times New Roman" w:cs="Times New Roman"/>
          <w:i/>
          <w:iCs/>
          <w:color w:val="000000"/>
          <w:u w:val="single"/>
          <w:lang w:val="en-ZW"/>
        </w:rPr>
        <w:t>b</w:t>
      </w:r>
      <w:r w:rsidRPr="0072110A">
        <w:rPr>
          <w:rFonts w:ascii="Times New Roman" w:hAnsi="Times New Roman" w:cs="Times New Roman"/>
          <w:color w:val="000000"/>
          <w:u w:val="single"/>
          <w:lang w:val="en-ZW"/>
        </w:rPr>
        <w:t>) be posted at the office of the council for a period of not less than thirty days from the date of the first advertisement in the newspaper.</w:t>
      </w:r>
    </w:p>
    <w:p w:rsidR="00F77ABC" w:rsidRPr="0072110A" w:rsidRDefault="00F77ABC" w:rsidP="0072110A">
      <w:pPr>
        <w:autoSpaceDE w:val="0"/>
        <w:autoSpaceDN w:val="0"/>
        <w:adjustRightInd w:val="0"/>
        <w:spacing w:after="0" w:line="240" w:lineRule="auto"/>
        <w:ind w:left="720"/>
        <w:jc w:val="both"/>
        <w:rPr>
          <w:rFonts w:ascii="Times New Roman" w:hAnsi="Times New Roman" w:cs="Times New Roman"/>
          <w:color w:val="000000"/>
          <w:lang w:val="en-ZW"/>
        </w:rPr>
      </w:pPr>
      <w:r w:rsidRPr="0072110A">
        <w:rPr>
          <w:rFonts w:ascii="Times New Roman" w:hAnsi="Times New Roman" w:cs="Times New Roman"/>
          <w:color w:val="000000"/>
          <w:lang w:val="en-ZW"/>
        </w:rPr>
        <w:t>(3) If a statement has been advertised in terms of paragraph (</w:t>
      </w:r>
      <w:r w:rsidRPr="0072110A">
        <w:rPr>
          <w:rFonts w:ascii="Times New Roman" w:hAnsi="Times New Roman" w:cs="Times New Roman"/>
          <w:i/>
          <w:iCs/>
          <w:color w:val="000000"/>
          <w:lang w:val="en-ZW"/>
        </w:rPr>
        <w:t>a</w:t>
      </w:r>
      <w:r w:rsidRPr="0072110A">
        <w:rPr>
          <w:rFonts w:ascii="Times New Roman" w:hAnsi="Times New Roman" w:cs="Times New Roman"/>
          <w:color w:val="000000"/>
          <w:lang w:val="en-ZW"/>
        </w:rPr>
        <w:t>) of subsection (2) and within the period of thirty days referred to in that paragraph objections to the proposed tariffs, charges or deposits are lodged—</w:t>
      </w:r>
    </w:p>
    <w:p w:rsidR="00F77ABC" w:rsidRPr="0072110A" w:rsidRDefault="00F77ABC" w:rsidP="0072110A">
      <w:pPr>
        <w:autoSpaceDE w:val="0"/>
        <w:autoSpaceDN w:val="0"/>
        <w:adjustRightInd w:val="0"/>
        <w:spacing w:after="0" w:line="240" w:lineRule="auto"/>
        <w:ind w:left="720"/>
        <w:jc w:val="both"/>
        <w:rPr>
          <w:rFonts w:ascii="Times New Roman" w:hAnsi="Times New Roman" w:cs="Times New Roman"/>
          <w:color w:val="000000"/>
          <w:lang w:val="en-ZW"/>
        </w:rPr>
      </w:pPr>
      <w:r w:rsidRPr="0072110A">
        <w:rPr>
          <w:rFonts w:ascii="Times New Roman" w:hAnsi="Times New Roman" w:cs="Times New Roman"/>
          <w:color w:val="000000"/>
          <w:lang w:val="en-ZW"/>
        </w:rPr>
        <w:lastRenderedPageBreak/>
        <w:t>(</w:t>
      </w:r>
      <w:r w:rsidRPr="0072110A">
        <w:rPr>
          <w:rFonts w:ascii="Times New Roman" w:hAnsi="Times New Roman" w:cs="Times New Roman"/>
          <w:i/>
          <w:iCs/>
          <w:color w:val="000000"/>
          <w:lang w:val="en-ZW"/>
        </w:rPr>
        <w:t>a</w:t>
      </w:r>
      <w:r w:rsidRPr="0072110A">
        <w:rPr>
          <w:rFonts w:ascii="Times New Roman" w:hAnsi="Times New Roman" w:cs="Times New Roman"/>
          <w:color w:val="000000"/>
          <w:lang w:val="en-ZW"/>
        </w:rPr>
        <w:t>) by thirty or more persons who are voters or who are users of the service to which the tariff, charge or deposit relates; or</w:t>
      </w:r>
    </w:p>
    <w:p w:rsidR="00F77ABC" w:rsidRPr="0072110A" w:rsidRDefault="00F77ABC" w:rsidP="0072110A">
      <w:pPr>
        <w:autoSpaceDE w:val="0"/>
        <w:autoSpaceDN w:val="0"/>
        <w:adjustRightInd w:val="0"/>
        <w:spacing w:after="0" w:line="240" w:lineRule="auto"/>
        <w:ind w:left="720"/>
        <w:jc w:val="both"/>
        <w:rPr>
          <w:rFonts w:ascii="Times New Roman" w:hAnsi="Times New Roman" w:cs="Times New Roman"/>
          <w:color w:val="000000"/>
          <w:lang w:val="en-ZW"/>
        </w:rPr>
      </w:pPr>
      <w:r w:rsidRPr="0072110A">
        <w:rPr>
          <w:rFonts w:ascii="Times New Roman" w:hAnsi="Times New Roman" w:cs="Times New Roman"/>
          <w:color w:val="000000"/>
          <w:lang w:val="en-ZW"/>
        </w:rPr>
        <w:t>(</w:t>
      </w:r>
      <w:r w:rsidRPr="0072110A">
        <w:rPr>
          <w:rFonts w:ascii="Times New Roman" w:hAnsi="Times New Roman" w:cs="Times New Roman"/>
          <w:i/>
          <w:iCs/>
          <w:color w:val="000000"/>
          <w:lang w:val="en-ZW"/>
        </w:rPr>
        <w:t>b</w:t>
      </w:r>
      <w:r w:rsidRPr="0072110A">
        <w:rPr>
          <w:rFonts w:ascii="Times New Roman" w:hAnsi="Times New Roman" w:cs="Times New Roman"/>
          <w:color w:val="000000"/>
          <w:lang w:val="en-ZW"/>
        </w:rPr>
        <w:t xml:space="preserve">) where there are less than thirty such users of the service concerned, by not less than fifty </w:t>
      </w:r>
      <w:r w:rsidRPr="0072110A">
        <w:rPr>
          <w:rFonts w:ascii="Times New Roman" w:hAnsi="Times New Roman" w:cs="Times New Roman"/>
          <w:i/>
          <w:iCs/>
          <w:color w:val="000000"/>
          <w:lang w:val="en-ZW"/>
        </w:rPr>
        <w:t xml:space="preserve">per centum </w:t>
      </w:r>
      <w:r w:rsidRPr="0072110A">
        <w:rPr>
          <w:rFonts w:ascii="Times New Roman" w:hAnsi="Times New Roman" w:cs="Times New Roman"/>
          <w:color w:val="000000"/>
          <w:lang w:val="en-ZW"/>
        </w:rPr>
        <w:t>of the number of such users;</w:t>
      </w:r>
    </w:p>
    <w:p w:rsidR="00F77ABC" w:rsidRPr="0072110A" w:rsidRDefault="00F77ABC" w:rsidP="0072110A">
      <w:pPr>
        <w:autoSpaceDE w:val="0"/>
        <w:autoSpaceDN w:val="0"/>
        <w:adjustRightInd w:val="0"/>
        <w:spacing w:after="0" w:line="240" w:lineRule="auto"/>
        <w:ind w:left="720"/>
        <w:jc w:val="both"/>
        <w:rPr>
          <w:rFonts w:ascii="Times New Roman" w:hAnsi="Times New Roman" w:cs="Times New Roman"/>
          <w:color w:val="000000"/>
          <w:lang w:val="en-ZW"/>
        </w:rPr>
      </w:pPr>
      <w:r w:rsidRPr="0072110A">
        <w:rPr>
          <w:rFonts w:ascii="Times New Roman" w:hAnsi="Times New Roman" w:cs="Times New Roman"/>
          <w:color w:val="000000"/>
          <w:lang w:val="en-ZW"/>
        </w:rPr>
        <w:t xml:space="preserve">such </w:t>
      </w:r>
      <w:r w:rsidRPr="0072110A">
        <w:rPr>
          <w:rFonts w:ascii="Times New Roman" w:hAnsi="Times New Roman" w:cs="Times New Roman"/>
          <w:color w:val="000000"/>
          <w:u w:val="single"/>
          <w:lang w:val="en-ZW"/>
        </w:rPr>
        <w:t>tariffs, charges of deposits</w:t>
      </w:r>
      <w:r w:rsidRPr="0072110A">
        <w:rPr>
          <w:rFonts w:ascii="Times New Roman" w:hAnsi="Times New Roman" w:cs="Times New Roman"/>
          <w:color w:val="000000"/>
          <w:lang w:val="en-ZW"/>
        </w:rPr>
        <w:t xml:space="preserve"> shall be reconsidered by the council, together with the objections so lodged, and they shall not come into operation unless the resolution is again passed by a majority of the total membership of the council:</w:t>
      </w:r>
    </w:p>
    <w:p w:rsidR="00F77ABC" w:rsidRPr="0072110A" w:rsidRDefault="00F77ABC" w:rsidP="0072110A">
      <w:pPr>
        <w:autoSpaceDE w:val="0"/>
        <w:autoSpaceDN w:val="0"/>
        <w:adjustRightInd w:val="0"/>
        <w:spacing w:after="0" w:line="240" w:lineRule="auto"/>
        <w:ind w:left="720"/>
        <w:jc w:val="both"/>
        <w:rPr>
          <w:rFonts w:ascii="Times New Roman" w:hAnsi="Times New Roman" w:cs="Times New Roman"/>
          <w:color w:val="000000"/>
          <w:lang w:val="en-ZW"/>
        </w:rPr>
      </w:pPr>
      <w:r w:rsidRPr="0072110A">
        <w:rPr>
          <w:rFonts w:ascii="Times New Roman" w:hAnsi="Times New Roman" w:cs="Times New Roman"/>
          <w:color w:val="000000"/>
          <w:lang w:val="en-ZW"/>
        </w:rPr>
        <w:t>Provided that the council may in these circumstances, by such resolution, fix lower tariffs, charges or deposits than those objected to without further advertising.</w:t>
      </w:r>
    </w:p>
    <w:p w:rsidR="00F77ABC" w:rsidRPr="0072110A" w:rsidRDefault="00F77ABC" w:rsidP="0072110A">
      <w:pPr>
        <w:autoSpaceDE w:val="0"/>
        <w:autoSpaceDN w:val="0"/>
        <w:adjustRightInd w:val="0"/>
        <w:spacing w:after="0" w:line="240" w:lineRule="auto"/>
        <w:ind w:left="720"/>
        <w:jc w:val="both"/>
        <w:rPr>
          <w:rFonts w:ascii="Times New Roman" w:hAnsi="Times New Roman" w:cs="Times New Roman"/>
          <w:color w:val="000000"/>
          <w:lang w:val="en-ZW"/>
        </w:rPr>
      </w:pPr>
      <w:r w:rsidRPr="0072110A">
        <w:rPr>
          <w:rFonts w:ascii="Times New Roman" w:hAnsi="Times New Roman" w:cs="Times New Roman"/>
          <w:color w:val="000000"/>
          <w:lang w:val="en-ZW"/>
        </w:rPr>
        <w:t xml:space="preserve">(4) </w:t>
      </w:r>
      <w:r w:rsidR="002712C6" w:rsidRPr="0072110A">
        <w:rPr>
          <w:rFonts w:ascii="Times New Roman" w:hAnsi="Times New Roman" w:cs="Times New Roman"/>
          <w:color w:val="000000"/>
          <w:lang w:val="en-ZW"/>
        </w:rPr>
        <w:t>…………………</w:t>
      </w:r>
      <w:r w:rsidRPr="0072110A">
        <w:rPr>
          <w:rFonts w:ascii="Times New Roman" w:hAnsi="Times New Roman" w:cs="Times New Roman"/>
          <w:color w:val="000000"/>
          <w:lang w:val="en-ZW"/>
        </w:rPr>
        <w:t>.</w:t>
      </w:r>
    </w:p>
    <w:p w:rsidR="00F77ABC" w:rsidRPr="0072110A" w:rsidRDefault="00F77ABC" w:rsidP="0072110A">
      <w:pPr>
        <w:autoSpaceDE w:val="0"/>
        <w:autoSpaceDN w:val="0"/>
        <w:adjustRightInd w:val="0"/>
        <w:spacing w:after="0" w:line="240" w:lineRule="auto"/>
        <w:ind w:left="720"/>
        <w:jc w:val="both"/>
        <w:rPr>
          <w:rFonts w:ascii="Times New Roman" w:hAnsi="Times New Roman" w:cs="Times New Roman"/>
          <w:color w:val="000000"/>
          <w:u w:val="single"/>
          <w:lang w:val="en-ZW"/>
        </w:rPr>
      </w:pPr>
      <w:r w:rsidRPr="0072110A">
        <w:rPr>
          <w:rFonts w:ascii="Times New Roman" w:hAnsi="Times New Roman" w:cs="Times New Roman"/>
          <w:color w:val="000000"/>
          <w:lang w:val="en-ZW"/>
        </w:rPr>
        <w:t xml:space="preserve">(5) </w:t>
      </w:r>
      <w:r w:rsidRPr="0072110A">
        <w:rPr>
          <w:rFonts w:ascii="Times New Roman" w:hAnsi="Times New Roman" w:cs="Times New Roman"/>
          <w:color w:val="000000"/>
          <w:u w:val="single"/>
          <w:lang w:val="en-ZW"/>
        </w:rPr>
        <w:t>A resolution in terms of this section relating to any tariffs, charges or deposits which are provided for in any by-law shall not have the effect of introducing new tariffs, charges or deposits until the by-law concerned has</w:t>
      </w:r>
      <w:r w:rsidR="002712C6" w:rsidRPr="0072110A">
        <w:rPr>
          <w:rFonts w:ascii="Times New Roman" w:hAnsi="Times New Roman" w:cs="Times New Roman"/>
          <w:color w:val="000000"/>
          <w:u w:val="single"/>
          <w:lang w:val="en-ZW"/>
        </w:rPr>
        <w:t xml:space="preserve"> </w:t>
      </w:r>
      <w:r w:rsidRPr="0072110A">
        <w:rPr>
          <w:rFonts w:ascii="Times New Roman" w:hAnsi="Times New Roman" w:cs="Times New Roman"/>
          <w:color w:val="000000"/>
          <w:u w:val="single"/>
          <w:lang w:val="en-ZW"/>
        </w:rPr>
        <w:t>been repealed or amended, as the case may be:</w:t>
      </w:r>
    </w:p>
    <w:p w:rsidR="00F77ABC" w:rsidRPr="0072110A" w:rsidRDefault="00F77ABC" w:rsidP="0072110A">
      <w:pPr>
        <w:autoSpaceDE w:val="0"/>
        <w:autoSpaceDN w:val="0"/>
        <w:adjustRightInd w:val="0"/>
        <w:spacing w:after="0" w:line="240" w:lineRule="auto"/>
        <w:ind w:left="720"/>
        <w:jc w:val="both"/>
        <w:rPr>
          <w:rFonts w:ascii="Times New Roman" w:hAnsi="Times New Roman" w:cs="Times New Roman"/>
          <w:color w:val="000000"/>
          <w:lang w:val="en-ZW"/>
        </w:rPr>
      </w:pPr>
      <w:r w:rsidRPr="0072110A">
        <w:rPr>
          <w:rFonts w:ascii="Times New Roman" w:hAnsi="Times New Roman" w:cs="Times New Roman"/>
          <w:color w:val="000000"/>
          <w:lang w:val="en-ZW"/>
        </w:rPr>
        <w:t>Provided that this subsection shall not apply in relation to the introduction of a special water tariff which is introduced to have effect duri</w:t>
      </w:r>
      <w:r w:rsidR="009C480E" w:rsidRPr="0072110A">
        <w:rPr>
          <w:rFonts w:ascii="Times New Roman" w:hAnsi="Times New Roman" w:cs="Times New Roman"/>
          <w:color w:val="000000"/>
          <w:lang w:val="en-ZW"/>
        </w:rPr>
        <w:t>ng a period of a water shortage (underlining for emphasis).</w:t>
      </w:r>
    </w:p>
    <w:p w:rsidR="000A289D" w:rsidRPr="00F77ABC" w:rsidRDefault="00D26A4D" w:rsidP="00F77ABC">
      <w:pPr>
        <w:autoSpaceDE w:val="0"/>
        <w:autoSpaceDN w:val="0"/>
        <w:adjustRightInd w:val="0"/>
        <w:spacing w:after="0"/>
        <w:ind w:left="720"/>
        <w:jc w:val="both"/>
        <w:rPr>
          <w:rFonts w:ascii="Times New Roman" w:hAnsi="Times New Roman" w:cs="Times New Roman"/>
          <w:sz w:val="24"/>
          <w:szCs w:val="24"/>
        </w:rPr>
      </w:pPr>
      <w:r w:rsidRPr="00F77ABC">
        <w:rPr>
          <w:rFonts w:ascii="Times New Roman" w:hAnsi="Times New Roman" w:cs="Times New Roman"/>
          <w:color w:val="000000"/>
          <w:sz w:val="24"/>
          <w:szCs w:val="24"/>
          <w:lang w:val="en-ZW"/>
        </w:rPr>
        <w:t xml:space="preserve"> </w:t>
      </w:r>
    </w:p>
    <w:p w:rsidR="00F10775" w:rsidRDefault="00D26A4D" w:rsidP="00DC365F">
      <w:pPr>
        <w:autoSpaceDE w:val="0"/>
        <w:autoSpaceDN w:val="0"/>
        <w:adjustRightInd w:val="0"/>
        <w:spacing w:after="0"/>
        <w:ind w:firstLine="720"/>
        <w:jc w:val="both"/>
        <w:rPr>
          <w:rFonts w:ascii="Times New Roman" w:hAnsi="Times New Roman" w:cs="Times New Roman"/>
          <w:color w:val="000000"/>
          <w:sz w:val="24"/>
          <w:szCs w:val="24"/>
          <w:lang w:val="en-ZW"/>
        </w:rPr>
      </w:pPr>
      <w:r w:rsidRPr="00F10775">
        <w:rPr>
          <w:rFonts w:ascii="Times New Roman" w:hAnsi="Times New Roman" w:cs="Times New Roman"/>
          <w:i/>
          <w:color w:val="000000"/>
          <w:sz w:val="24"/>
          <w:szCs w:val="24"/>
          <w:lang w:val="en-ZW"/>
        </w:rPr>
        <w:t>Ms Mabwe</w:t>
      </w:r>
      <w:r w:rsidRPr="00F10775">
        <w:rPr>
          <w:rFonts w:ascii="Times New Roman" w:hAnsi="Times New Roman" w:cs="Times New Roman"/>
          <w:color w:val="000000"/>
          <w:sz w:val="24"/>
          <w:szCs w:val="24"/>
          <w:lang w:val="en-ZW"/>
        </w:rPr>
        <w:t xml:space="preserve"> argued that the first respondent ought to have complied with section 219 (2) of the Act which required it to prepare a statement setting out the proposed fees. Such a statement </w:t>
      </w:r>
      <w:r w:rsidR="0003549B">
        <w:rPr>
          <w:rFonts w:ascii="Times New Roman" w:hAnsi="Times New Roman" w:cs="Times New Roman"/>
          <w:color w:val="000000"/>
          <w:sz w:val="24"/>
          <w:szCs w:val="24"/>
          <w:lang w:val="en-ZW"/>
        </w:rPr>
        <w:t xml:space="preserve">had </w:t>
      </w:r>
      <w:r w:rsidRPr="00F10775">
        <w:rPr>
          <w:rFonts w:ascii="Times New Roman" w:hAnsi="Times New Roman" w:cs="Times New Roman"/>
          <w:color w:val="000000"/>
          <w:sz w:val="24"/>
          <w:szCs w:val="24"/>
          <w:lang w:val="en-ZW"/>
        </w:rPr>
        <w:t xml:space="preserve">to be advertised in two issues </w:t>
      </w:r>
      <w:r w:rsidR="00F10775" w:rsidRPr="00F10775">
        <w:rPr>
          <w:rFonts w:ascii="Times New Roman" w:hAnsi="Times New Roman" w:cs="Times New Roman"/>
          <w:color w:val="000000"/>
          <w:sz w:val="24"/>
          <w:szCs w:val="24"/>
          <w:lang w:val="en-ZW"/>
        </w:rPr>
        <w:t xml:space="preserve">of a newspaper and posted at the offices of first respondent for a period of not less than </w:t>
      </w:r>
      <w:r w:rsidR="002D6688" w:rsidRPr="00F10775">
        <w:rPr>
          <w:rFonts w:ascii="Times New Roman" w:hAnsi="Times New Roman" w:cs="Times New Roman"/>
          <w:color w:val="000000"/>
          <w:sz w:val="24"/>
          <w:szCs w:val="24"/>
          <w:lang w:val="en-ZW"/>
        </w:rPr>
        <w:t>thirty</w:t>
      </w:r>
      <w:r w:rsidR="00F10775" w:rsidRPr="00F10775">
        <w:rPr>
          <w:rFonts w:ascii="Times New Roman" w:hAnsi="Times New Roman" w:cs="Times New Roman"/>
          <w:color w:val="000000"/>
          <w:sz w:val="24"/>
          <w:szCs w:val="24"/>
          <w:lang w:val="en-ZW"/>
        </w:rPr>
        <w:t xml:space="preserve"> days from the date of the first advertisement. </w:t>
      </w:r>
      <w:r w:rsidR="00F10775">
        <w:rPr>
          <w:rFonts w:ascii="Times New Roman" w:hAnsi="Times New Roman" w:cs="Times New Roman"/>
          <w:color w:val="000000"/>
          <w:sz w:val="24"/>
          <w:szCs w:val="24"/>
          <w:lang w:val="en-ZW"/>
        </w:rPr>
        <w:t xml:space="preserve">There was no proof </w:t>
      </w:r>
      <w:r w:rsidR="00D70375">
        <w:rPr>
          <w:rFonts w:ascii="Times New Roman" w:hAnsi="Times New Roman" w:cs="Times New Roman"/>
          <w:color w:val="000000"/>
          <w:sz w:val="24"/>
          <w:szCs w:val="24"/>
          <w:lang w:val="en-ZW"/>
        </w:rPr>
        <w:t xml:space="preserve">of that having been </w:t>
      </w:r>
      <w:r w:rsidR="00F10775">
        <w:rPr>
          <w:rFonts w:ascii="Times New Roman" w:hAnsi="Times New Roman" w:cs="Times New Roman"/>
          <w:color w:val="000000"/>
          <w:sz w:val="24"/>
          <w:szCs w:val="24"/>
          <w:lang w:val="en-ZW"/>
        </w:rPr>
        <w:t xml:space="preserve">done. Counsel </w:t>
      </w:r>
      <w:r w:rsidR="00BC67FB">
        <w:rPr>
          <w:rFonts w:ascii="Times New Roman" w:hAnsi="Times New Roman" w:cs="Times New Roman"/>
          <w:color w:val="000000"/>
          <w:sz w:val="24"/>
          <w:szCs w:val="24"/>
          <w:lang w:val="en-ZW"/>
        </w:rPr>
        <w:t xml:space="preserve">further submitted that a resolution </w:t>
      </w:r>
      <w:r w:rsidR="00D34DEF">
        <w:rPr>
          <w:rFonts w:ascii="Times New Roman" w:hAnsi="Times New Roman" w:cs="Times New Roman"/>
          <w:color w:val="000000"/>
          <w:sz w:val="24"/>
          <w:szCs w:val="24"/>
          <w:lang w:val="en-ZW"/>
        </w:rPr>
        <w:t xml:space="preserve">of the first respondent </w:t>
      </w:r>
      <w:r w:rsidR="00BC67FB">
        <w:rPr>
          <w:rFonts w:ascii="Times New Roman" w:hAnsi="Times New Roman" w:cs="Times New Roman"/>
          <w:color w:val="000000"/>
          <w:sz w:val="24"/>
          <w:szCs w:val="24"/>
          <w:lang w:val="en-ZW"/>
        </w:rPr>
        <w:t>will not have the effect of introducing a new tariff until the by-law concerned has been repealed or amended</w:t>
      </w:r>
      <w:r w:rsidR="009C480E">
        <w:rPr>
          <w:rFonts w:ascii="Times New Roman" w:hAnsi="Times New Roman" w:cs="Times New Roman"/>
          <w:color w:val="000000"/>
          <w:sz w:val="24"/>
          <w:szCs w:val="24"/>
          <w:lang w:val="en-ZW"/>
        </w:rPr>
        <w:t xml:space="preserve"> in terms of section 219</w:t>
      </w:r>
      <w:r w:rsidR="0072110A">
        <w:rPr>
          <w:rFonts w:ascii="Times New Roman" w:hAnsi="Times New Roman" w:cs="Times New Roman"/>
          <w:color w:val="000000"/>
          <w:sz w:val="24"/>
          <w:szCs w:val="24"/>
          <w:lang w:val="en-ZW"/>
        </w:rPr>
        <w:t xml:space="preserve"> </w:t>
      </w:r>
      <w:r w:rsidR="009C480E">
        <w:rPr>
          <w:rFonts w:ascii="Times New Roman" w:hAnsi="Times New Roman" w:cs="Times New Roman"/>
          <w:color w:val="000000"/>
          <w:sz w:val="24"/>
          <w:szCs w:val="24"/>
          <w:lang w:val="en-ZW"/>
        </w:rPr>
        <w:t>(5)</w:t>
      </w:r>
      <w:r w:rsidR="00BC67FB">
        <w:rPr>
          <w:rFonts w:ascii="Times New Roman" w:hAnsi="Times New Roman" w:cs="Times New Roman"/>
          <w:color w:val="000000"/>
          <w:sz w:val="24"/>
          <w:szCs w:val="24"/>
          <w:lang w:val="en-ZW"/>
        </w:rPr>
        <w:t>. That, she further submitted, was not done in the present matter. She further submitted that the applicants object</w:t>
      </w:r>
      <w:r w:rsidR="00793E2D">
        <w:rPr>
          <w:rFonts w:ascii="Times New Roman" w:hAnsi="Times New Roman" w:cs="Times New Roman"/>
          <w:color w:val="000000"/>
          <w:sz w:val="24"/>
          <w:szCs w:val="24"/>
          <w:lang w:val="en-ZW"/>
        </w:rPr>
        <w:t>ed</w:t>
      </w:r>
      <w:r w:rsidR="00BC67FB">
        <w:rPr>
          <w:rFonts w:ascii="Times New Roman" w:hAnsi="Times New Roman" w:cs="Times New Roman"/>
          <w:color w:val="000000"/>
          <w:sz w:val="24"/>
          <w:szCs w:val="24"/>
          <w:lang w:val="en-ZW"/>
        </w:rPr>
        <w:t xml:space="preserve"> to the propos</w:t>
      </w:r>
      <w:r w:rsidR="00793E2D">
        <w:rPr>
          <w:rFonts w:ascii="Times New Roman" w:hAnsi="Times New Roman" w:cs="Times New Roman"/>
          <w:color w:val="000000"/>
          <w:sz w:val="24"/>
          <w:szCs w:val="24"/>
          <w:lang w:val="en-ZW"/>
        </w:rPr>
        <w:t xml:space="preserve">ed review of business licence fees </w:t>
      </w:r>
      <w:r w:rsidR="00BC67FB">
        <w:rPr>
          <w:rFonts w:ascii="Times New Roman" w:hAnsi="Times New Roman" w:cs="Times New Roman"/>
          <w:color w:val="000000"/>
          <w:sz w:val="24"/>
          <w:szCs w:val="24"/>
          <w:lang w:val="en-ZW"/>
        </w:rPr>
        <w:t>as evidenced by the letter of 29 November 2019</w:t>
      </w:r>
      <w:r w:rsidR="00793E2D">
        <w:rPr>
          <w:rFonts w:ascii="Times New Roman" w:hAnsi="Times New Roman" w:cs="Times New Roman"/>
          <w:color w:val="000000"/>
          <w:sz w:val="24"/>
          <w:szCs w:val="24"/>
          <w:lang w:val="en-ZW"/>
        </w:rPr>
        <w:t xml:space="preserve">. First </w:t>
      </w:r>
      <w:r w:rsidR="007B290A">
        <w:rPr>
          <w:rFonts w:ascii="Times New Roman" w:hAnsi="Times New Roman" w:cs="Times New Roman"/>
          <w:color w:val="000000"/>
          <w:sz w:val="24"/>
          <w:szCs w:val="24"/>
          <w:lang w:val="en-ZW"/>
        </w:rPr>
        <w:t xml:space="preserve">respondent did </w:t>
      </w:r>
      <w:r w:rsidR="00793E2D">
        <w:rPr>
          <w:rFonts w:ascii="Times New Roman" w:hAnsi="Times New Roman" w:cs="Times New Roman"/>
          <w:color w:val="000000"/>
          <w:sz w:val="24"/>
          <w:szCs w:val="24"/>
          <w:lang w:val="en-ZW"/>
        </w:rPr>
        <w:t>not respond to the letter.</w:t>
      </w:r>
      <w:r w:rsidR="00BC67FB">
        <w:rPr>
          <w:rFonts w:ascii="Times New Roman" w:hAnsi="Times New Roman" w:cs="Times New Roman"/>
          <w:color w:val="000000"/>
          <w:sz w:val="24"/>
          <w:szCs w:val="24"/>
          <w:lang w:val="en-ZW"/>
        </w:rPr>
        <w:t xml:space="preserve"> What </w:t>
      </w:r>
      <w:r w:rsidR="00793E2D">
        <w:rPr>
          <w:rFonts w:ascii="Times New Roman" w:hAnsi="Times New Roman" w:cs="Times New Roman"/>
          <w:color w:val="000000"/>
          <w:sz w:val="24"/>
          <w:szCs w:val="24"/>
          <w:lang w:val="en-ZW"/>
        </w:rPr>
        <w:t>prompted the applicants to approach the court o</w:t>
      </w:r>
      <w:r w:rsidR="00CE3C74">
        <w:rPr>
          <w:rFonts w:ascii="Times New Roman" w:hAnsi="Times New Roman" w:cs="Times New Roman"/>
          <w:color w:val="000000"/>
          <w:sz w:val="24"/>
          <w:szCs w:val="24"/>
          <w:lang w:val="en-ZW"/>
        </w:rPr>
        <w:t xml:space="preserve">n an urgent basis was </w:t>
      </w:r>
      <w:r w:rsidR="00BC67FB">
        <w:rPr>
          <w:rFonts w:ascii="Times New Roman" w:hAnsi="Times New Roman" w:cs="Times New Roman"/>
          <w:color w:val="000000"/>
          <w:sz w:val="24"/>
          <w:szCs w:val="24"/>
          <w:lang w:val="en-ZW"/>
        </w:rPr>
        <w:t>first respondent</w:t>
      </w:r>
      <w:r w:rsidR="00CE3C74">
        <w:rPr>
          <w:rFonts w:ascii="Times New Roman" w:hAnsi="Times New Roman" w:cs="Times New Roman"/>
          <w:color w:val="000000"/>
          <w:sz w:val="24"/>
          <w:szCs w:val="24"/>
          <w:lang w:val="en-ZW"/>
        </w:rPr>
        <w:t>’s decision</w:t>
      </w:r>
      <w:r w:rsidR="00BC67FB">
        <w:rPr>
          <w:rFonts w:ascii="Times New Roman" w:hAnsi="Times New Roman" w:cs="Times New Roman"/>
          <w:color w:val="000000"/>
          <w:sz w:val="24"/>
          <w:szCs w:val="24"/>
          <w:lang w:val="en-ZW"/>
        </w:rPr>
        <w:t xml:space="preserve"> to </w:t>
      </w:r>
      <w:r w:rsidR="00CE3C74">
        <w:rPr>
          <w:rFonts w:ascii="Times New Roman" w:hAnsi="Times New Roman" w:cs="Times New Roman"/>
          <w:color w:val="000000"/>
          <w:sz w:val="24"/>
          <w:szCs w:val="24"/>
          <w:lang w:val="en-ZW"/>
        </w:rPr>
        <w:t xml:space="preserve">send an </w:t>
      </w:r>
      <w:r w:rsidR="00BC67FB">
        <w:rPr>
          <w:rFonts w:ascii="Times New Roman" w:hAnsi="Times New Roman" w:cs="Times New Roman"/>
          <w:color w:val="000000"/>
          <w:sz w:val="24"/>
          <w:szCs w:val="24"/>
          <w:lang w:val="en-ZW"/>
        </w:rPr>
        <w:t>invoice</w:t>
      </w:r>
      <w:r w:rsidR="00427D93">
        <w:rPr>
          <w:rFonts w:ascii="Times New Roman" w:hAnsi="Times New Roman" w:cs="Times New Roman"/>
          <w:color w:val="000000"/>
          <w:sz w:val="24"/>
          <w:szCs w:val="24"/>
          <w:lang w:val="en-ZW"/>
        </w:rPr>
        <w:t xml:space="preserve"> </w:t>
      </w:r>
      <w:r w:rsidR="00CE3C74">
        <w:rPr>
          <w:rFonts w:ascii="Times New Roman" w:hAnsi="Times New Roman" w:cs="Times New Roman"/>
          <w:color w:val="000000"/>
          <w:sz w:val="24"/>
          <w:szCs w:val="24"/>
          <w:lang w:val="en-ZW"/>
        </w:rPr>
        <w:t xml:space="preserve">of $29 400 to </w:t>
      </w:r>
      <w:r w:rsidR="00BC67FB">
        <w:rPr>
          <w:rFonts w:ascii="Times New Roman" w:hAnsi="Times New Roman" w:cs="Times New Roman"/>
          <w:color w:val="000000"/>
          <w:sz w:val="24"/>
          <w:szCs w:val="24"/>
          <w:lang w:val="en-ZW"/>
        </w:rPr>
        <w:t>the 11</w:t>
      </w:r>
      <w:r w:rsidR="00BC67FB" w:rsidRPr="00BC67FB">
        <w:rPr>
          <w:rFonts w:ascii="Times New Roman" w:hAnsi="Times New Roman" w:cs="Times New Roman"/>
          <w:color w:val="000000"/>
          <w:sz w:val="24"/>
          <w:szCs w:val="24"/>
          <w:vertAlign w:val="superscript"/>
          <w:lang w:val="en-ZW"/>
        </w:rPr>
        <w:t>th</w:t>
      </w:r>
      <w:r w:rsidR="00BC67FB">
        <w:rPr>
          <w:rFonts w:ascii="Times New Roman" w:hAnsi="Times New Roman" w:cs="Times New Roman"/>
          <w:color w:val="000000"/>
          <w:sz w:val="24"/>
          <w:szCs w:val="24"/>
          <w:lang w:val="en-ZW"/>
        </w:rPr>
        <w:t xml:space="preserve"> </w:t>
      </w:r>
      <w:r w:rsidR="00434061">
        <w:rPr>
          <w:rFonts w:ascii="Times New Roman" w:hAnsi="Times New Roman" w:cs="Times New Roman"/>
          <w:color w:val="000000"/>
          <w:sz w:val="24"/>
          <w:szCs w:val="24"/>
          <w:lang w:val="en-ZW"/>
        </w:rPr>
        <w:t xml:space="preserve">applicant, notwithstanding the pendency of the applicants’ representations. </w:t>
      </w:r>
      <w:r w:rsidR="007F5C6C" w:rsidRPr="007B290A">
        <w:rPr>
          <w:rFonts w:ascii="Times New Roman" w:hAnsi="Times New Roman" w:cs="Times New Roman"/>
          <w:i/>
          <w:color w:val="000000"/>
          <w:sz w:val="24"/>
          <w:szCs w:val="24"/>
          <w:lang w:val="en-ZW"/>
        </w:rPr>
        <w:t>Mr Sithole</w:t>
      </w:r>
      <w:r w:rsidR="007F5C6C">
        <w:rPr>
          <w:rFonts w:ascii="Times New Roman" w:hAnsi="Times New Roman" w:cs="Times New Roman"/>
          <w:color w:val="000000"/>
          <w:sz w:val="24"/>
          <w:szCs w:val="24"/>
          <w:lang w:val="en-ZW"/>
        </w:rPr>
        <w:t xml:space="preserve"> countered by </w:t>
      </w:r>
      <w:r w:rsidR="007B290A">
        <w:rPr>
          <w:rFonts w:ascii="Times New Roman" w:hAnsi="Times New Roman" w:cs="Times New Roman"/>
          <w:color w:val="000000"/>
          <w:sz w:val="24"/>
          <w:szCs w:val="24"/>
          <w:lang w:val="en-ZW"/>
        </w:rPr>
        <w:t xml:space="preserve">submitting </w:t>
      </w:r>
      <w:r w:rsidR="007F5C6C">
        <w:rPr>
          <w:rFonts w:ascii="Times New Roman" w:hAnsi="Times New Roman" w:cs="Times New Roman"/>
          <w:color w:val="000000"/>
          <w:sz w:val="24"/>
          <w:szCs w:val="24"/>
          <w:lang w:val="en-ZW"/>
        </w:rPr>
        <w:t>that section 219 need</w:t>
      </w:r>
      <w:r w:rsidR="007B290A">
        <w:rPr>
          <w:rFonts w:ascii="Times New Roman" w:hAnsi="Times New Roman" w:cs="Times New Roman"/>
          <w:color w:val="000000"/>
          <w:sz w:val="24"/>
          <w:szCs w:val="24"/>
          <w:lang w:val="en-ZW"/>
        </w:rPr>
        <w:t>ed</w:t>
      </w:r>
      <w:r w:rsidR="007F5C6C">
        <w:rPr>
          <w:rFonts w:ascii="Times New Roman" w:hAnsi="Times New Roman" w:cs="Times New Roman"/>
          <w:color w:val="000000"/>
          <w:sz w:val="24"/>
          <w:szCs w:val="24"/>
          <w:lang w:val="en-ZW"/>
        </w:rPr>
        <w:t xml:space="preserve"> to be read together with paragraph 17 of the second schedule to the Act, which g</w:t>
      </w:r>
      <w:r w:rsidR="007B290A">
        <w:rPr>
          <w:rFonts w:ascii="Times New Roman" w:hAnsi="Times New Roman" w:cs="Times New Roman"/>
          <w:color w:val="000000"/>
          <w:sz w:val="24"/>
          <w:szCs w:val="24"/>
          <w:lang w:val="en-ZW"/>
        </w:rPr>
        <w:t>ave</w:t>
      </w:r>
      <w:r w:rsidR="007F5C6C">
        <w:rPr>
          <w:rFonts w:ascii="Times New Roman" w:hAnsi="Times New Roman" w:cs="Times New Roman"/>
          <w:color w:val="000000"/>
          <w:sz w:val="24"/>
          <w:szCs w:val="24"/>
          <w:lang w:val="en-ZW"/>
        </w:rPr>
        <w:t xml:space="preserve"> first re</w:t>
      </w:r>
      <w:r w:rsidR="007B290A">
        <w:rPr>
          <w:rFonts w:ascii="Times New Roman" w:hAnsi="Times New Roman" w:cs="Times New Roman"/>
          <w:color w:val="000000"/>
          <w:sz w:val="24"/>
          <w:szCs w:val="24"/>
          <w:lang w:val="en-ZW"/>
        </w:rPr>
        <w:t xml:space="preserve">spondent powers to implement </w:t>
      </w:r>
      <w:r w:rsidR="007F5C6C">
        <w:rPr>
          <w:rFonts w:ascii="Times New Roman" w:hAnsi="Times New Roman" w:cs="Times New Roman"/>
          <w:color w:val="000000"/>
          <w:sz w:val="24"/>
          <w:szCs w:val="24"/>
          <w:lang w:val="en-ZW"/>
        </w:rPr>
        <w:t>new</w:t>
      </w:r>
      <w:r w:rsidR="007B290A">
        <w:rPr>
          <w:rFonts w:ascii="Times New Roman" w:hAnsi="Times New Roman" w:cs="Times New Roman"/>
          <w:color w:val="000000"/>
          <w:sz w:val="24"/>
          <w:szCs w:val="24"/>
          <w:lang w:val="en-ZW"/>
        </w:rPr>
        <w:t xml:space="preserve"> business licence</w:t>
      </w:r>
      <w:r w:rsidR="007F5C6C">
        <w:rPr>
          <w:rFonts w:ascii="Times New Roman" w:hAnsi="Times New Roman" w:cs="Times New Roman"/>
          <w:color w:val="000000"/>
          <w:sz w:val="24"/>
          <w:szCs w:val="24"/>
          <w:lang w:val="en-ZW"/>
        </w:rPr>
        <w:t xml:space="preserve"> fees once a resolution </w:t>
      </w:r>
      <w:r w:rsidR="007B290A">
        <w:rPr>
          <w:rFonts w:ascii="Times New Roman" w:hAnsi="Times New Roman" w:cs="Times New Roman"/>
          <w:color w:val="000000"/>
          <w:sz w:val="24"/>
          <w:szCs w:val="24"/>
          <w:lang w:val="en-ZW"/>
        </w:rPr>
        <w:t xml:space="preserve">was </w:t>
      </w:r>
      <w:r w:rsidR="007F5C6C">
        <w:rPr>
          <w:rFonts w:ascii="Times New Roman" w:hAnsi="Times New Roman" w:cs="Times New Roman"/>
          <w:color w:val="000000"/>
          <w:sz w:val="24"/>
          <w:szCs w:val="24"/>
          <w:lang w:val="en-ZW"/>
        </w:rPr>
        <w:t>passed. The second schedule deals wit</w:t>
      </w:r>
      <w:r w:rsidR="007B290A">
        <w:rPr>
          <w:rFonts w:ascii="Times New Roman" w:hAnsi="Times New Roman" w:cs="Times New Roman"/>
          <w:color w:val="000000"/>
          <w:sz w:val="24"/>
          <w:szCs w:val="24"/>
          <w:lang w:val="en-ZW"/>
        </w:rPr>
        <w:t>h the powers of the council. P</w:t>
      </w:r>
      <w:r w:rsidR="007F5C6C">
        <w:rPr>
          <w:rFonts w:ascii="Times New Roman" w:hAnsi="Times New Roman" w:cs="Times New Roman"/>
          <w:color w:val="000000"/>
          <w:sz w:val="24"/>
          <w:szCs w:val="24"/>
          <w:lang w:val="en-ZW"/>
        </w:rPr>
        <w:t>aragraph 17 reads as follows:</w:t>
      </w:r>
    </w:p>
    <w:p w:rsidR="007F5C6C" w:rsidRDefault="007F5C6C" w:rsidP="00F10775">
      <w:pPr>
        <w:autoSpaceDE w:val="0"/>
        <w:autoSpaceDN w:val="0"/>
        <w:adjustRightInd w:val="0"/>
        <w:spacing w:after="0"/>
        <w:ind w:left="720"/>
        <w:jc w:val="both"/>
        <w:rPr>
          <w:rFonts w:ascii="Times New Roman" w:hAnsi="Times New Roman" w:cs="Times New Roman"/>
          <w:color w:val="000000"/>
          <w:sz w:val="24"/>
          <w:szCs w:val="24"/>
          <w:lang w:val="en-ZW"/>
        </w:rPr>
      </w:pPr>
    </w:p>
    <w:p w:rsidR="007F5C6C" w:rsidRPr="00DC365F" w:rsidRDefault="007F5C6C" w:rsidP="0072110A">
      <w:pPr>
        <w:autoSpaceDE w:val="0"/>
        <w:autoSpaceDN w:val="0"/>
        <w:adjustRightInd w:val="0"/>
        <w:spacing w:after="0" w:line="240" w:lineRule="auto"/>
        <w:ind w:left="720"/>
        <w:jc w:val="both"/>
        <w:rPr>
          <w:rFonts w:ascii="Times New Roman" w:hAnsi="Times New Roman" w:cs="Times New Roman"/>
          <w:lang w:val="en-ZW"/>
        </w:rPr>
      </w:pPr>
      <w:r w:rsidRPr="00DC365F">
        <w:rPr>
          <w:rFonts w:ascii="Times New Roman" w:hAnsi="Times New Roman" w:cs="Times New Roman"/>
          <w:lang w:val="en-ZW"/>
        </w:rPr>
        <w:t xml:space="preserve">“17. (1) Subject to subsection (5) of section </w:t>
      </w:r>
      <w:r w:rsidRPr="00DC365F">
        <w:rPr>
          <w:rFonts w:ascii="Times New Roman" w:hAnsi="Times New Roman" w:cs="Times New Roman"/>
          <w:i/>
          <w:iCs/>
          <w:lang w:val="en-ZW"/>
        </w:rPr>
        <w:t>two hundred and eighty-two</w:t>
      </w:r>
      <w:r w:rsidRPr="00DC365F">
        <w:rPr>
          <w:rFonts w:ascii="Times New Roman" w:hAnsi="Times New Roman" w:cs="Times New Roman"/>
          <w:lang w:val="en-ZW"/>
        </w:rPr>
        <w:t>, to make charges in respect of certificates, licences or permits issued, inspections carried out, services provided or any act, matter or thing done by the council in terms of this Act, including the requiring of a deposit in connection with any services provided by the council.</w:t>
      </w:r>
    </w:p>
    <w:p w:rsidR="007F5C6C" w:rsidRPr="00DC365F" w:rsidRDefault="007F5C6C" w:rsidP="0072110A">
      <w:pPr>
        <w:autoSpaceDE w:val="0"/>
        <w:autoSpaceDN w:val="0"/>
        <w:adjustRightInd w:val="0"/>
        <w:spacing w:after="0" w:line="240" w:lineRule="auto"/>
        <w:ind w:left="720"/>
        <w:jc w:val="both"/>
        <w:rPr>
          <w:rFonts w:ascii="Times New Roman" w:hAnsi="Times New Roman" w:cs="Times New Roman"/>
          <w:lang w:val="en-ZW"/>
        </w:rPr>
      </w:pPr>
      <w:r w:rsidRPr="00DC365F">
        <w:rPr>
          <w:rFonts w:ascii="Times New Roman" w:hAnsi="Times New Roman" w:cs="Times New Roman"/>
          <w:lang w:val="en-ZW"/>
        </w:rPr>
        <w:t>(2) In making charges in the exercise of the powers conferred by subparagraph (1) different charges may be made in respect of different certificates, licences or permits, inspections, services or other acts or different classes thereof.</w:t>
      </w:r>
    </w:p>
    <w:p w:rsidR="007F5C6C" w:rsidRPr="00DC365F" w:rsidRDefault="007F5C6C" w:rsidP="0072110A">
      <w:pPr>
        <w:autoSpaceDE w:val="0"/>
        <w:autoSpaceDN w:val="0"/>
        <w:adjustRightInd w:val="0"/>
        <w:spacing w:after="0" w:line="240" w:lineRule="auto"/>
        <w:ind w:left="720"/>
        <w:jc w:val="both"/>
        <w:rPr>
          <w:rFonts w:ascii="Times New Roman" w:hAnsi="Times New Roman" w:cs="Times New Roman"/>
          <w:color w:val="000000"/>
          <w:lang w:val="en-ZW"/>
        </w:rPr>
      </w:pPr>
      <w:r w:rsidRPr="00DC365F">
        <w:rPr>
          <w:rFonts w:ascii="Times New Roman" w:hAnsi="Times New Roman" w:cs="Times New Roman"/>
          <w:lang w:val="en-ZW"/>
        </w:rPr>
        <w:t xml:space="preserve">(3) </w:t>
      </w:r>
      <w:r w:rsidR="002D6688" w:rsidRPr="00DC365F">
        <w:rPr>
          <w:rFonts w:ascii="Times New Roman" w:hAnsi="Times New Roman" w:cs="Times New Roman"/>
          <w:lang w:val="en-ZW"/>
        </w:rPr>
        <w:t>…………..</w:t>
      </w:r>
      <w:r w:rsidRPr="00DC365F">
        <w:rPr>
          <w:rFonts w:ascii="Times New Roman" w:hAnsi="Times New Roman" w:cs="Times New Roman"/>
          <w:lang w:val="en-ZW"/>
        </w:rPr>
        <w:t>”</w:t>
      </w:r>
    </w:p>
    <w:p w:rsidR="00D26A4D" w:rsidRPr="007F5C6C" w:rsidRDefault="00D26A4D" w:rsidP="007F5C6C">
      <w:pPr>
        <w:autoSpaceDE w:val="0"/>
        <w:autoSpaceDN w:val="0"/>
        <w:adjustRightInd w:val="0"/>
        <w:spacing w:after="0"/>
        <w:ind w:left="720"/>
        <w:jc w:val="both"/>
        <w:rPr>
          <w:rFonts w:ascii="Times New Roman" w:hAnsi="Times New Roman" w:cs="Times New Roman"/>
          <w:color w:val="000000"/>
          <w:sz w:val="24"/>
          <w:szCs w:val="24"/>
          <w:u w:val="single"/>
          <w:lang w:val="en-ZW"/>
        </w:rPr>
      </w:pPr>
    </w:p>
    <w:p w:rsidR="00427D93" w:rsidRDefault="00427D93" w:rsidP="00F77ABC">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I do not agree with </w:t>
      </w:r>
      <w:r w:rsidR="002D6688" w:rsidRPr="009C480E">
        <w:rPr>
          <w:rFonts w:ascii="Times New Roman" w:hAnsi="Times New Roman" w:cs="Times New Roman"/>
          <w:i/>
          <w:sz w:val="24"/>
          <w:szCs w:val="24"/>
        </w:rPr>
        <w:t>Mr Sithole’s</w:t>
      </w:r>
      <w:r w:rsidR="002D6688">
        <w:rPr>
          <w:rFonts w:ascii="Times New Roman" w:hAnsi="Times New Roman" w:cs="Times New Roman"/>
          <w:sz w:val="24"/>
          <w:szCs w:val="24"/>
        </w:rPr>
        <w:t xml:space="preserve"> </w:t>
      </w:r>
      <w:r>
        <w:rPr>
          <w:rFonts w:ascii="Times New Roman" w:hAnsi="Times New Roman" w:cs="Times New Roman"/>
          <w:sz w:val="24"/>
          <w:szCs w:val="24"/>
        </w:rPr>
        <w:t xml:space="preserve">submission that paragraph 17 of the second schedule precludes first respondent from complying with the requirements of section 219 (2) and (5). The </w:t>
      </w:r>
      <w:r>
        <w:rPr>
          <w:rFonts w:ascii="Times New Roman" w:hAnsi="Times New Roman" w:cs="Times New Roman"/>
          <w:sz w:val="24"/>
          <w:szCs w:val="24"/>
        </w:rPr>
        <w:lastRenderedPageBreak/>
        <w:t xml:space="preserve">second schedule deals </w:t>
      </w:r>
      <w:r w:rsidR="009C480E">
        <w:rPr>
          <w:rFonts w:ascii="Times New Roman" w:hAnsi="Times New Roman" w:cs="Times New Roman"/>
          <w:sz w:val="24"/>
          <w:szCs w:val="24"/>
        </w:rPr>
        <w:t xml:space="preserve">broadly </w:t>
      </w:r>
      <w:r>
        <w:rPr>
          <w:rFonts w:ascii="Times New Roman" w:hAnsi="Times New Roman" w:cs="Times New Roman"/>
          <w:sz w:val="24"/>
          <w:szCs w:val="24"/>
        </w:rPr>
        <w:t xml:space="preserve">with </w:t>
      </w:r>
      <w:r w:rsidR="009C480E">
        <w:rPr>
          <w:rFonts w:ascii="Times New Roman" w:hAnsi="Times New Roman" w:cs="Times New Roman"/>
          <w:sz w:val="24"/>
          <w:szCs w:val="24"/>
        </w:rPr>
        <w:t xml:space="preserve">general </w:t>
      </w:r>
      <w:r>
        <w:rPr>
          <w:rFonts w:ascii="Times New Roman" w:hAnsi="Times New Roman" w:cs="Times New Roman"/>
          <w:sz w:val="24"/>
          <w:szCs w:val="24"/>
        </w:rPr>
        <w:t>powers of council, and must be read together with section 198 of the Act. Section 198 states that:</w:t>
      </w:r>
    </w:p>
    <w:p w:rsidR="003C516F" w:rsidRDefault="003C516F" w:rsidP="003C516F">
      <w:pPr>
        <w:autoSpaceDE w:val="0"/>
        <w:autoSpaceDN w:val="0"/>
        <w:adjustRightInd w:val="0"/>
        <w:spacing w:after="0" w:line="240" w:lineRule="auto"/>
        <w:ind w:firstLine="720"/>
        <w:rPr>
          <w:rFonts w:ascii="Arial" w:hAnsi="Arial" w:cs="Arial"/>
          <w:b/>
          <w:bCs/>
          <w:sz w:val="21"/>
          <w:szCs w:val="21"/>
          <w:lang w:val="en-ZW"/>
        </w:rPr>
      </w:pPr>
    </w:p>
    <w:p w:rsidR="003C516F" w:rsidRPr="0072110A" w:rsidRDefault="003C516F" w:rsidP="003C516F">
      <w:pPr>
        <w:autoSpaceDE w:val="0"/>
        <w:autoSpaceDN w:val="0"/>
        <w:adjustRightInd w:val="0"/>
        <w:spacing w:after="0" w:line="240" w:lineRule="auto"/>
        <w:ind w:firstLine="720"/>
        <w:jc w:val="both"/>
        <w:rPr>
          <w:rFonts w:ascii="Arial" w:hAnsi="Arial" w:cs="Arial"/>
          <w:b/>
          <w:bCs/>
          <w:lang w:val="en-ZW"/>
        </w:rPr>
      </w:pPr>
      <w:r w:rsidRPr="0072110A">
        <w:rPr>
          <w:rFonts w:ascii="Arial" w:hAnsi="Arial" w:cs="Arial"/>
          <w:b/>
          <w:bCs/>
          <w:lang w:val="en-ZW"/>
        </w:rPr>
        <w:t>“198 General powers</w:t>
      </w:r>
    </w:p>
    <w:p w:rsidR="003C516F" w:rsidRPr="0072110A" w:rsidRDefault="003C516F" w:rsidP="003C516F">
      <w:pPr>
        <w:autoSpaceDE w:val="0"/>
        <w:autoSpaceDN w:val="0"/>
        <w:adjustRightInd w:val="0"/>
        <w:spacing w:after="0" w:line="240" w:lineRule="auto"/>
        <w:ind w:left="720"/>
        <w:jc w:val="both"/>
        <w:rPr>
          <w:rFonts w:ascii="Times New Roman" w:hAnsi="Times New Roman" w:cs="Times New Roman"/>
          <w:lang w:val="en-ZW"/>
        </w:rPr>
      </w:pPr>
      <w:r w:rsidRPr="0072110A">
        <w:rPr>
          <w:rFonts w:ascii="Times New Roman" w:hAnsi="Times New Roman" w:cs="Times New Roman"/>
          <w:lang w:val="en-ZW"/>
        </w:rPr>
        <w:t xml:space="preserve">(1) </w:t>
      </w:r>
      <w:r w:rsidRPr="0072110A">
        <w:rPr>
          <w:rFonts w:ascii="Times New Roman" w:hAnsi="Times New Roman" w:cs="Times New Roman"/>
          <w:u w:val="single"/>
          <w:lang w:val="en-ZW"/>
        </w:rPr>
        <w:t>Subject to compliance with this Act and any other law</w:t>
      </w:r>
      <w:r w:rsidRPr="0072110A">
        <w:rPr>
          <w:rFonts w:ascii="Times New Roman" w:hAnsi="Times New Roman" w:cs="Times New Roman"/>
          <w:lang w:val="en-ZW"/>
        </w:rPr>
        <w:t>, a council shall have power to undertake, carry out or carry on any or all of the acts and things set out in the Second Schedule.</w:t>
      </w:r>
    </w:p>
    <w:p w:rsidR="003C516F" w:rsidRPr="0072110A" w:rsidRDefault="003C516F" w:rsidP="003C516F">
      <w:pPr>
        <w:autoSpaceDE w:val="0"/>
        <w:autoSpaceDN w:val="0"/>
        <w:adjustRightInd w:val="0"/>
        <w:spacing w:after="0" w:line="240" w:lineRule="auto"/>
        <w:ind w:left="720"/>
        <w:jc w:val="both"/>
        <w:rPr>
          <w:rFonts w:ascii="Times New Roman" w:hAnsi="Times New Roman" w:cs="Times New Roman"/>
          <w:lang w:val="en-ZW"/>
        </w:rPr>
      </w:pPr>
      <w:r w:rsidRPr="0072110A">
        <w:rPr>
          <w:rFonts w:ascii="Times New Roman" w:hAnsi="Times New Roman" w:cs="Times New Roman"/>
          <w:lang w:val="en-ZW"/>
        </w:rPr>
        <w:t>(2) The Minister may authorize a council to do, carry out or carry on any act or thing which, in his opinion, is necessary or desirable that the council should be able to do, carry out or carry on, whether or not the act or thing is an extension of any power set out in the Second Schedule or elsewhere in this Act.</w:t>
      </w:r>
    </w:p>
    <w:p w:rsidR="00427D93" w:rsidRPr="0072110A" w:rsidRDefault="003C516F" w:rsidP="003C516F">
      <w:pPr>
        <w:autoSpaceDE w:val="0"/>
        <w:autoSpaceDN w:val="0"/>
        <w:adjustRightInd w:val="0"/>
        <w:spacing w:after="0" w:line="240" w:lineRule="auto"/>
        <w:ind w:left="720"/>
        <w:jc w:val="both"/>
        <w:rPr>
          <w:rFonts w:ascii="Times New Roman" w:hAnsi="Times New Roman" w:cs="Times New Roman"/>
        </w:rPr>
      </w:pPr>
      <w:r w:rsidRPr="0072110A">
        <w:rPr>
          <w:rFonts w:ascii="Times New Roman" w:hAnsi="Times New Roman" w:cs="Times New Roman"/>
          <w:lang w:val="en-ZW"/>
        </w:rPr>
        <w:t>(3) Subject to this Act, a council shall have power to do any act or thing which, in the opinion or the council, is necessary for administering or giving effect to any by-laws of the council</w:t>
      </w:r>
      <w:r w:rsidR="0072110A">
        <w:rPr>
          <w:rFonts w:ascii="Times New Roman" w:hAnsi="Times New Roman" w:cs="Times New Roman"/>
          <w:lang w:val="en-ZW"/>
        </w:rPr>
        <w:t>.</w:t>
      </w:r>
      <w:r w:rsidRPr="0072110A">
        <w:rPr>
          <w:rFonts w:ascii="Times New Roman" w:hAnsi="Times New Roman" w:cs="Times New Roman"/>
          <w:lang w:val="en-ZW"/>
        </w:rPr>
        <w:t>”</w:t>
      </w:r>
      <w:r w:rsidR="009C480E" w:rsidRPr="0072110A">
        <w:rPr>
          <w:rFonts w:ascii="Times New Roman" w:hAnsi="Times New Roman" w:cs="Times New Roman"/>
          <w:lang w:val="en-ZW"/>
        </w:rPr>
        <w:t>(underlining for emphasis)</w:t>
      </w:r>
    </w:p>
    <w:p w:rsidR="003C516F" w:rsidRDefault="003C516F" w:rsidP="00F77ABC">
      <w:pPr>
        <w:spacing w:after="0"/>
        <w:ind w:firstLine="720"/>
        <w:jc w:val="both"/>
        <w:rPr>
          <w:rFonts w:ascii="Times New Roman" w:hAnsi="Times New Roman" w:cs="Times New Roman"/>
          <w:sz w:val="24"/>
          <w:szCs w:val="24"/>
        </w:rPr>
      </w:pPr>
    </w:p>
    <w:p w:rsidR="003C516F" w:rsidRDefault="003C516F" w:rsidP="0072110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do not </w:t>
      </w:r>
      <w:r w:rsidR="009C480E">
        <w:rPr>
          <w:rFonts w:ascii="Times New Roman" w:hAnsi="Times New Roman" w:cs="Times New Roman"/>
          <w:sz w:val="24"/>
          <w:szCs w:val="24"/>
        </w:rPr>
        <w:t>construe</w:t>
      </w:r>
      <w:r>
        <w:rPr>
          <w:rFonts w:ascii="Times New Roman" w:hAnsi="Times New Roman" w:cs="Times New Roman"/>
          <w:sz w:val="24"/>
          <w:szCs w:val="24"/>
        </w:rPr>
        <w:t xml:space="preserve"> paragraph 17 </w:t>
      </w:r>
      <w:r w:rsidR="009C480E">
        <w:rPr>
          <w:rFonts w:ascii="Times New Roman" w:hAnsi="Times New Roman" w:cs="Times New Roman"/>
          <w:sz w:val="24"/>
          <w:szCs w:val="24"/>
        </w:rPr>
        <w:t xml:space="preserve">as </w:t>
      </w:r>
      <w:r>
        <w:rPr>
          <w:rFonts w:ascii="Times New Roman" w:hAnsi="Times New Roman" w:cs="Times New Roman"/>
          <w:sz w:val="24"/>
          <w:szCs w:val="24"/>
        </w:rPr>
        <w:t>giv</w:t>
      </w:r>
      <w:r w:rsidR="009C480E">
        <w:rPr>
          <w:rFonts w:ascii="Times New Roman" w:hAnsi="Times New Roman" w:cs="Times New Roman"/>
          <w:sz w:val="24"/>
          <w:szCs w:val="24"/>
        </w:rPr>
        <w:t>ing</w:t>
      </w:r>
      <w:r>
        <w:rPr>
          <w:rFonts w:ascii="Times New Roman" w:hAnsi="Times New Roman" w:cs="Times New Roman"/>
          <w:sz w:val="24"/>
          <w:szCs w:val="24"/>
        </w:rPr>
        <w:t xml:space="preserve"> first respondent the discretion to implement a resolution without complying with section 219 (2) and (5)</w:t>
      </w:r>
      <w:r w:rsidR="009C480E">
        <w:rPr>
          <w:rFonts w:ascii="Times New Roman" w:hAnsi="Times New Roman" w:cs="Times New Roman"/>
          <w:sz w:val="24"/>
          <w:szCs w:val="24"/>
        </w:rPr>
        <w:t xml:space="preserve"> of the Act</w:t>
      </w:r>
      <w:r>
        <w:rPr>
          <w:rFonts w:ascii="Times New Roman" w:hAnsi="Times New Roman" w:cs="Times New Roman"/>
          <w:sz w:val="24"/>
          <w:szCs w:val="24"/>
        </w:rPr>
        <w:t xml:space="preserve">. In any event, as is clear from a reading of section 198, the general powers of council must be exercised, subject to compliance with the provisions of the Act. In my view, </w:t>
      </w:r>
      <w:r w:rsidR="009C480E">
        <w:rPr>
          <w:rFonts w:ascii="Times New Roman" w:hAnsi="Times New Roman" w:cs="Times New Roman"/>
          <w:sz w:val="24"/>
          <w:szCs w:val="24"/>
        </w:rPr>
        <w:t xml:space="preserve">business </w:t>
      </w:r>
      <w:r>
        <w:rPr>
          <w:rFonts w:ascii="Times New Roman" w:hAnsi="Times New Roman" w:cs="Times New Roman"/>
          <w:sz w:val="24"/>
          <w:szCs w:val="24"/>
        </w:rPr>
        <w:t xml:space="preserve">licence fees are encapsulated under paragraph (b) of section 219 (1). Subparagraph (b) allows council through a resolution to “fix </w:t>
      </w:r>
      <w:r w:rsidRPr="003C516F">
        <w:rPr>
          <w:rFonts w:ascii="Times New Roman" w:hAnsi="Times New Roman" w:cs="Times New Roman"/>
          <w:sz w:val="24"/>
          <w:szCs w:val="24"/>
          <w:u w:val="single"/>
        </w:rPr>
        <w:t>charges</w:t>
      </w:r>
      <w:r>
        <w:rPr>
          <w:rFonts w:ascii="Times New Roman" w:hAnsi="Times New Roman" w:cs="Times New Roman"/>
          <w:sz w:val="24"/>
          <w:szCs w:val="24"/>
        </w:rPr>
        <w:t xml:space="preserve"> to be payable in respect of certificates, </w:t>
      </w:r>
      <w:r w:rsidRPr="003C516F">
        <w:rPr>
          <w:rFonts w:ascii="Times New Roman" w:hAnsi="Times New Roman" w:cs="Times New Roman"/>
          <w:sz w:val="24"/>
          <w:szCs w:val="24"/>
          <w:u w:val="single"/>
        </w:rPr>
        <w:t xml:space="preserve">licences </w:t>
      </w:r>
      <w:r w:rsidR="00AE5E9F">
        <w:rPr>
          <w:rFonts w:ascii="Times New Roman" w:hAnsi="Times New Roman" w:cs="Times New Roman"/>
          <w:sz w:val="24"/>
          <w:szCs w:val="24"/>
        </w:rPr>
        <w:t>or permits issued</w:t>
      </w:r>
      <w:r>
        <w:rPr>
          <w:rFonts w:ascii="Times New Roman" w:hAnsi="Times New Roman" w:cs="Times New Roman"/>
          <w:sz w:val="24"/>
          <w:szCs w:val="24"/>
        </w:rPr>
        <w:t>…” Section 219</w:t>
      </w:r>
      <w:r w:rsidR="0072110A">
        <w:rPr>
          <w:rFonts w:ascii="Times New Roman" w:hAnsi="Times New Roman" w:cs="Times New Roman"/>
          <w:sz w:val="24"/>
          <w:szCs w:val="24"/>
        </w:rPr>
        <w:t xml:space="preserve"> </w:t>
      </w:r>
      <w:r>
        <w:rPr>
          <w:rFonts w:ascii="Times New Roman" w:hAnsi="Times New Roman" w:cs="Times New Roman"/>
          <w:sz w:val="24"/>
          <w:szCs w:val="24"/>
        </w:rPr>
        <w:t xml:space="preserve">(2) sets out conditions to be complied with before any tariffs, charges or deposits fixed </w:t>
      </w:r>
      <w:r w:rsidR="00AE5E9F">
        <w:rPr>
          <w:rFonts w:ascii="Times New Roman" w:hAnsi="Times New Roman" w:cs="Times New Roman"/>
          <w:sz w:val="24"/>
          <w:szCs w:val="24"/>
        </w:rPr>
        <w:t xml:space="preserve">through </w:t>
      </w:r>
      <w:r>
        <w:rPr>
          <w:rFonts w:ascii="Times New Roman" w:hAnsi="Times New Roman" w:cs="Times New Roman"/>
          <w:sz w:val="24"/>
          <w:szCs w:val="24"/>
        </w:rPr>
        <w:t xml:space="preserve">a resolution </w:t>
      </w:r>
      <w:r w:rsidR="00415265">
        <w:rPr>
          <w:rFonts w:ascii="Times New Roman" w:hAnsi="Times New Roman" w:cs="Times New Roman"/>
          <w:sz w:val="24"/>
          <w:szCs w:val="24"/>
        </w:rPr>
        <w:t xml:space="preserve">can </w:t>
      </w:r>
      <w:r>
        <w:rPr>
          <w:rFonts w:ascii="Times New Roman" w:hAnsi="Times New Roman" w:cs="Times New Roman"/>
          <w:sz w:val="24"/>
          <w:szCs w:val="24"/>
        </w:rPr>
        <w:t>come into operation. Similarly</w:t>
      </w:r>
      <w:r w:rsidR="00E24460">
        <w:rPr>
          <w:rFonts w:ascii="Times New Roman" w:hAnsi="Times New Roman" w:cs="Times New Roman"/>
          <w:sz w:val="24"/>
          <w:szCs w:val="24"/>
        </w:rPr>
        <w:t>,</w:t>
      </w:r>
      <w:r>
        <w:rPr>
          <w:rFonts w:ascii="Times New Roman" w:hAnsi="Times New Roman" w:cs="Times New Roman"/>
          <w:sz w:val="24"/>
          <w:szCs w:val="24"/>
        </w:rPr>
        <w:t xml:space="preserve"> section 219(5) provides that a resolution made in terms of section 219 relating to any tariffs, charges or deposits which are provided in any by-law shall not have the effect of introducing new tariffs, charges or deposits until the by-law concerned has been repealed or amended. To </w:t>
      </w:r>
      <w:r w:rsidR="00AE5E9F">
        <w:rPr>
          <w:rFonts w:ascii="Times New Roman" w:hAnsi="Times New Roman" w:cs="Times New Roman"/>
          <w:sz w:val="24"/>
          <w:szCs w:val="24"/>
        </w:rPr>
        <w:t xml:space="preserve">hold, </w:t>
      </w:r>
      <w:r>
        <w:rPr>
          <w:rFonts w:ascii="Times New Roman" w:hAnsi="Times New Roman" w:cs="Times New Roman"/>
          <w:sz w:val="24"/>
          <w:szCs w:val="24"/>
        </w:rPr>
        <w:t xml:space="preserve">as suggested by </w:t>
      </w:r>
      <w:r w:rsidRPr="00AE5E9F">
        <w:rPr>
          <w:rFonts w:ascii="Times New Roman" w:hAnsi="Times New Roman" w:cs="Times New Roman"/>
          <w:i/>
          <w:sz w:val="24"/>
          <w:szCs w:val="24"/>
        </w:rPr>
        <w:t>Mr Sithole</w:t>
      </w:r>
      <w:r w:rsidR="00E24460">
        <w:rPr>
          <w:rFonts w:ascii="Times New Roman" w:hAnsi="Times New Roman" w:cs="Times New Roman"/>
          <w:sz w:val="24"/>
          <w:szCs w:val="24"/>
        </w:rPr>
        <w:t xml:space="preserve">, </w:t>
      </w:r>
      <w:r>
        <w:rPr>
          <w:rFonts w:ascii="Times New Roman" w:hAnsi="Times New Roman" w:cs="Times New Roman"/>
          <w:sz w:val="24"/>
          <w:szCs w:val="24"/>
        </w:rPr>
        <w:t>that section 219(2) and (5) only appl</w:t>
      </w:r>
      <w:r w:rsidR="00AE5E9F">
        <w:rPr>
          <w:rFonts w:ascii="Times New Roman" w:hAnsi="Times New Roman" w:cs="Times New Roman"/>
          <w:sz w:val="24"/>
          <w:szCs w:val="24"/>
        </w:rPr>
        <w:t>ies</w:t>
      </w:r>
      <w:r>
        <w:rPr>
          <w:rFonts w:ascii="Times New Roman" w:hAnsi="Times New Roman" w:cs="Times New Roman"/>
          <w:sz w:val="24"/>
          <w:szCs w:val="24"/>
        </w:rPr>
        <w:t xml:space="preserve"> to tariffs or charges referred to </w:t>
      </w:r>
      <w:r w:rsidR="00AE5E9F">
        <w:rPr>
          <w:rFonts w:ascii="Times New Roman" w:hAnsi="Times New Roman" w:cs="Times New Roman"/>
          <w:sz w:val="24"/>
          <w:szCs w:val="24"/>
        </w:rPr>
        <w:t xml:space="preserve">under section </w:t>
      </w:r>
      <w:r>
        <w:rPr>
          <w:rFonts w:ascii="Times New Roman" w:hAnsi="Times New Roman" w:cs="Times New Roman"/>
          <w:sz w:val="24"/>
          <w:szCs w:val="24"/>
        </w:rPr>
        <w:t xml:space="preserve">219(a), is in my view taking a too restrictive approach bearing in mind that paragraph (b) of section 219(1) specifically refers to certificates, licences or permits. </w:t>
      </w:r>
    </w:p>
    <w:p w:rsidR="00D05A9F" w:rsidRDefault="00AE5E9F" w:rsidP="0072110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w:t>
      </w:r>
      <w:r w:rsidR="003C516F">
        <w:rPr>
          <w:rFonts w:ascii="Times New Roman" w:hAnsi="Times New Roman" w:cs="Times New Roman"/>
          <w:sz w:val="24"/>
          <w:szCs w:val="24"/>
        </w:rPr>
        <w:t xml:space="preserve">note that in his very first submissions on urgency, </w:t>
      </w:r>
      <w:r w:rsidR="003C516F" w:rsidRPr="00AE5E9F">
        <w:rPr>
          <w:rFonts w:ascii="Times New Roman" w:hAnsi="Times New Roman" w:cs="Times New Roman"/>
          <w:i/>
          <w:sz w:val="24"/>
          <w:szCs w:val="24"/>
        </w:rPr>
        <w:t>Mr Sithole</w:t>
      </w:r>
      <w:r w:rsidR="003C516F">
        <w:rPr>
          <w:rFonts w:ascii="Times New Roman" w:hAnsi="Times New Roman" w:cs="Times New Roman"/>
          <w:sz w:val="24"/>
          <w:szCs w:val="24"/>
        </w:rPr>
        <w:t xml:space="preserve"> argued </w:t>
      </w:r>
      <w:r w:rsidR="002D6688">
        <w:rPr>
          <w:rFonts w:ascii="Times New Roman" w:hAnsi="Times New Roman" w:cs="Times New Roman"/>
          <w:sz w:val="24"/>
          <w:szCs w:val="24"/>
        </w:rPr>
        <w:t xml:space="preserve">that the need to act was </w:t>
      </w:r>
      <w:r w:rsidR="003C516F">
        <w:rPr>
          <w:rFonts w:ascii="Times New Roman" w:hAnsi="Times New Roman" w:cs="Times New Roman"/>
          <w:sz w:val="24"/>
          <w:szCs w:val="24"/>
        </w:rPr>
        <w:t>triggered</w:t>
      </w:r>
      <w:r w:rsidR="002D6688">
        <w:rPr>
          <w:rFonts w:ascii="Times New Roman" w:hAnsi="Times New Roman" w:cs="Times New Roman"/>
          <w:sz w:val="24"/>
          <w:szCs w:val="24"/>
        </w:rPr>
        <w:t xml:space="preserve"> by the notices of 10 and 27 October 2019, which would have been </w:t>
      </w:r>
      <w:r w:rsidR="003C516F">
        <w:rPr>
          <w:rFonts w:ascii="Times New Roman" w:hAnsi="Times New Roman" w:cs="Times New Roman"/>
          <w:sz w:val="24"/>
          <w:szCs w:val="24"/>
        </w:rPr>
        <w:t xml:space="preserve">issued </w:t>
      </w:r>
      <w:r w:rsidR="002D6688">
        <w:rPr>
          <w:rFonts w:ascii="Times New Roman" w:hAnsi="Times New Roman" w:cs="Times New Roman"/>
          <w:sz w:val="24"/>
          <w:szCs w:val="24"/>
        </w:rPr>
        <w:t xml:space="preserve">in terms of section 219(2) of the Act. He cannot in the same breath then argue that there was no need to comply with </w:t>
      </w:r>
      <w:r w:rsidR="00D05A9F">
        <w:rPr>
          <w:rFonts w:ascii="Times New Roman" w:hAnsi="Times New Roman" w:cs="Times New Roman"/>
          <w:sz w:val="24"/>
          <w:szCs w:val="24"/>
        </w:rPr>
        <w:t xml:space="preserve">section 219(5), which specifies that a resolution relating to any tariff, charges or deposits shall not have the effect of introducing new tariffs, charges or deposits until the by-law concerned has been repealed or amended. </w:t>
      </w:r>
    </w:p>
    <w:p w:rsidR="00AB3ABB" w:rsidRDefault="00AB3ABB" w:rsidP="0072110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Whether or not a matter </w:t>
      </w:r>
      <w:r w:rsidR="00342E9B">
        <w:rPr>
          <w:rFonts w:ascii="Times New Roman" w:hAnsi="Times New Roman" w:cs="Times New Roman"/>
          <w:sz w:val="24"/>
          <w:szCs w:val="24"/>
        </w:rPr>
        <w:t xml:space="preserve">is urgent </w:t>
      </w:r>
      <w:r>
        <w:rPr>
          <w:rFonts w:ascii="Times New Roman" w:hAnsi="Times New Roman" w:cs="Times New Roman"/>
          <w:sz w:val="24"/>
          <w:szCs w:val="24"/>
        </w:rPr>
        <w:t xml:space="preserve">is an exercise of discretion on the part of the judge. In </w:t>
      </w:r>
      <w:r w:rsidRPr="00AB3ABB">
        <w:rPr>
          <w:rFonts w:ascii="Times New Roman" w:hAnsi="Times New Roman" w:cs="Times New Roman"/>
          <w:i/>
          <w:sz w:val="24"/>
          <w:szCs w:val="24"/>
        </w:rPr>
        <w:t xml:space="preserve">Econet Wireless (Pvt) Limited </w:t>
      </w:r>
      <w:r w:rsidRPr="0072110A">
        <w:rPr>
          <w:rFonts w:ascii="Times New Roman" w:hAnsi="Times New Roman" w:cs="Times New Roman"/>
          <w:sz w:val="24"/>
          <w:szCs w:val="24"/>
        </w:rPr>
        <w:t>v</w:t>
      </w:r>
      <w:r w:rsidRPr="00AB3ABB">
        <w:rPr>
          <w:rFonts w:ascii="Times New Roman" w:hAnsi="Times New Roman" w:cs="Times New Roman"/>
          <w:i/>
          <w:sz w:val="24"/>
          <w:szCs w:val="24"/>
        </w:rPr>
        <w:t xml:space="preserve"> Trustco Mobile (Proprietary) Limited &amp; Another</w:t>
      </w:r>
      <w:r>
        <w:rPr>
          <w:rStyle w:val="FootnoteReference"/>
          <w:rFonts w:ascii="Times New Roman" w:hAnsi="Times New Roman" w:cs="Times New Roman"/>
          <w:sz w:val="24"/>
          <w:szCs w:val="24"/>
        </w:rPr>
        <w:footnoteReference w:id="2"/>
      </w:r>
      <w:r>
        <w:rPr>
          <w:rFonts w:ascii="Times New Roman" w:hAnsi="Times New Roman" w:cs="Times New Roman"/>
          <w:i/>
          <w:sz w:val="24"/>
          <w:szCs w:val="24"/>
        </w:rPr>
        <w:t xml:space="preserve">, </w:t>
      </w:r>
      <w:r w:rsidRPr="0072110A">
        <w:rPr>
          <w:rFonts w:ascii="Times New Roman" w:hAnsi="Times New Roman" w:cs="Times New Roman"/>
          <w:smallCaps/>
          <w:sz w:val="24"/>
          <w:szCs w:val="24"/>
        </w:rPr>
        <w:t>Garwe JA</w:t>
      </w:r>
      <w:r>
        <w:rPr>
          <w:rFonts w:ascii="Times New Roman" w:hAnsi="Times New Roman" w:cs="Times New Roman"/>
          <w:sz w:val="24"/>
          <w:szCs w:val="24"/>
        </w:rPr>
        <w:t xml:space="preserve"> ma</w:t>
      </w:r>
      <w:r w:rsidR="00D05A9F">
        <w:rPr>
          <w:rFonts w:ascii="Times New Roman" w:hAnsi="Times New Roman" w:cs="Times New Roman"/>
          <w:sz w:val="24"/>
          <w:szCs w:val="24"/>
        </w:rPr>
        <w:t xml:space="preserve">kes </w:t>
      </w:r>
      <w:r>
        <w:rPr>
          <w:rFonts w:ascii="Times New Roman" w:hAnsi="Times New Roman" w:cs="Times New Roman"/>
          <w:sz w:val="24"/>
          <w:szCs w:val="24"/>
        </w:rPr>
        <w:t>the following poin</w:t>
      </w:r>
      <w:r w:rsidR="00D05A9F">
        <w:rPr>
          <w:rFonts w:ascii="Times New Roman" w:hAnsi="Times New Roman" w:cs="Times New Roman"/>
          <w:sz w:val="24"/>
          <w:szCs w:val="24"/>
        </w:rPr>
        <w:t>t on urgency</w:t>
      </w:r>
      <w:r>
        <w:rPr>
          <w:rFonts w:ascii="Times New Roman" w:hAnsi="Times New Roman" w:cs="Times New Roman"/>
          <w:sz w:val="24"/>
          <w:szCs w:val="24"/>
        </w:rPr>
        <w:t>:</w:t>
      </w:r>
    </w:p>
    <w:p w:rsidR="00AB3ABB" w:rsidRPr="0072110A" w:rsidRDefault="00AB3ABB" w:rsidP="0072110A">
      <w:pPr>
        <w:spacing w:after="0" w:line="240" w:lineRule="auto"/>
        <w:ind w:left="1440"/>
        <w:jc w:val="both"/>
        <w:rPr>
          <w:rFonts w:ascii="Times New Roman" w:hAnsi="Times New Roman" w:cs="Times New Roman"/>
        </w:rPr>
      </w:pPr>
      <w:r w:rsidRPr="0072110A">
        <w:rPr>
          <w:rFonts w:ascii="Times New Roman" w:hAnsi="Times New Roman" w:cs="Times New Roman"/>
          <w:u w:val="single"/>
        </w:rPr>
        <w:t>“It is clear that in terms of Rules 244 and 246 of the High Court Rules the decision whether to hear an application on the basis of urgency is that of a judge.  The decision is one therefore that involves the exercise of a discretion….”</w:t>
      </w:r>
    </w:p>
    <w:p w:rsidR="00AB3ABB" w:rsidRDefault="00AB3ABB" w:rsidP="00F77ABC">
      <w:pPr>
        <w:spacing w:after="0"/>
        <w:ind w:firstLine="720"/>
        <w:jc w:val="both"/>
        <w:rPr>
          <w:rFonts w:ascii="Times New Roman" w:hAnsi="Times New Roman" w:cs="Times New Roman"/>
          <w:sz w:val="24"/>
          <w:szCs w:val="24"/>
        </w:rPr>
      </w:pPr>
    </w:p>
    <w:p w:rsidR="000A289D" w:rsidRDefault="00D8319C" w:rsidP="0072110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am persuaded that the </w:t>
      </w:r>
      <w:r w:rsidR="00B47E03">
        <w:rPr>
          <w:rFonts w:ascii="Times New Roman" w:hAnsi="Times New Roman" w:cs="Times New Roman"/>
          <w:sz w:val="24"/>
          <w:szCs w:val="24"/>
        </w:rPr>
        <w:t>need to act could not have arise</w:t>
      </w:r>
      <w:r w:rsidR="00D05A9F">
        <w:rPr>
          <w:rFonts w:ascii="Times New Roman" w:hAnsi="Times New Roman" w:cs="Times New Roman"/>
          <w:sz w:val="24"/>
          <w:szCs w:val="24"/>
        </w:rPr>
        <w:t>n</w:t>
      </w:r>
      <w:r w:rsidR="00B47E03">
        <w:rPr>
          <w:rFonts w:ascii="Times New Roman" w:hAnsi="Times New Roman" w:cs="Times New Roman"/>
          <w:sz w:val="24"/>
          <w:szCs w:val="24"/>
        </w:rPr>
        <w:t xml:space="preserve"> earlier than 19 December 2019</w:t>
      </w:r>
      <w:r w:rsidR="00AB3ABB">
        <w:rPr>
          <w:rFonts w:ascii="Times New Roman" w:hAnsi="Times New Roman" w:cs="Times New Roman"/>
          <w:sz w:val="24"/>
          <w:szCs w:val="24"/>
        </w:rPr>
        <w:t xml:space="preserve">, being the date </w:t>
      </w:r>
      <w:r w:rsidR="00B47E03">
        <w:rPr>
          <w:rFonts w:ascii="Times New Roman" w:hAnsi="Times New Roman" w:cs="Times New Roman"/>
          <w:sz w:val="24"/>
          <w:szCs w:val="24"/>
        </w:rPr>
        <w:t>first respondent invoiced</w:t>
      </w:r>
      <w:r w:rsidR="00D05A9F">
        <w:rPr>
          <w:rFonts w:ascii="Times New Roman" w:hAnsi="Times New Roman" w:cs="Times New Roman"/>
          <w:sz w:val="24"/>
          <w:szCs w:val="24"/>
        </w:rPr>
        <w:t xml:space="preserve"> applicants with the revised business licence </w:t>
      </w:r>
      <w:r w:rsidR="00B47E03">
        <w:rPr>
          <w:rFonts w:ascii="Times New Roman" w:hAnsi="Times New Roman" w:cs="Times New Roman"/>
          <w:sz w:val="24"/>
          <w:szCs w:val="24"/>
        </w:rPr>
        <w:t xml:space="preserve">fees before fully complying with the provisions of section 219. </w:t>
      </w:r>
      <w:r w:rsidR="00AE620C">
        <w:rPr>
          <w:rFonts w:ascii="Times New Roman" w:hAnsi="Times New Roman" w:cs="Times New Roman"/>
          <w:sz w:val="24"/>
          <w:szCs w:val="24"/>
        </w:rPr>
        <w:t xml:space="preserve">I accordingly find that there is no merit in the preliminary objection and it is hereby dismissed. </w:t>
      </w:r>
    </w:p>
    <w:p w:rsidR="007E5891" w:rsidRPr="0072110A" w:rsidRDefault="007E5891" w:rsidP="0072110A">
      <w:pPr>
        <w:spacing w:after="0" w:line="360" w:lineRule="auto"/>
        <w:jc w:val="both"/>
        <w:rPr>
          <w:rFonts w:ascii="Times New Roman" w:hAnsi="Times New Roman" w:cs="Times New Roman"/>
          <w:sz w:val="24"/>
          <w:szCs w:val="24"/>
          <w:u w:val="single"/>
        </w:rPr>
      </w:pPr>
      <w:r w:rsidRPr="0072110A">
        <w:rPr>
          <w:rFonts w:ascii="Times New Roman" w:hAnsi="Times New Roman" w:cs="Times New Roman"/>
          <w:sz w:val="24"/>
          <w:szCs w:val="24"/>
          <w:u w:val="single"/>
        </w:rPr>
        <w:t xml:space="preserve">RELIEF SOUGHT </w:t>
      </w:r>
      <w:r w:rsidR="00E24460" w:rsidRPr="0072110A">
        <w:rPr>
          <w:rFonts w:ascii="Times New Roman" w:hAnsi="Times New Roman" w:cs="Times New Roman"/>
          <w:sz w:val="24"/>
          <w:szCs w:val="24"/>
          <w:u w:val="single"/>
        </w:rPr>
        <w:t xml:space="preserve">SPECULATIVE </w:t>
      </w:r>
    </w:p>
    <w:p w:rsidR="00257C62" w:rsidRDefault="00F51D0E" w:rsidP="0072110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was submitted on behalf of the first respondent that the relief sought by the applicants was speculative as it was based on a misapprehension</w:t>
      </w:r>
      <w:r w:rsidR="00D05A9F">
        <w:rPr>
          <w:rFonts w:ascii="Times New Roman" w:hAnsi="Times New Roman" w:cs="Times New Roman"/>
          <w:sz w:val="24"/>
          <w:szCs w:val="24"/>
        </w:rPr>
        <w:t xml:space="preserve"> of harm that was imagined by the applicants</w:t>
      </w:r>
      <w:r>
        <w:rPr>
          <w:rFonts w:ascii="Times New Roman" w:hAnsi="Times New Roman" w:cs="Times New Roman"/>
          <w:sz w:val="24"/>
          <w:szCs w:val="24"/>
        </w:rPr>
        <w:t>.</w:t>
      </w:r>
      <w:r w:rsidR="0003558C">
        <w:rPr>
          <w:rFonts w:ascii="Times New Roman" w:hAnsi="Times New Roman" w:cs="Times New Roman"/>
          <w:sz w:val="24"/>
          <w:szCs w:val="24"/>
        </w:rPr>
        <w:t xml:space="preserve"> The first respondent’s </w:t>
      </w:r>
      <w:r w:rsidR="00D05A9F">
        <w:rPr>
          <w:rFonts w:ascii="Times New Roman" w:hAnsi="Times New Roman" w:cs="Times New Roman"/>
          <w:sz w:val="24"/>
          <w:szCs w:val="24"/>
        </w:rPr>
        <w:t xml:space="preserve">argument is </w:t>
      </w:r>
      <w:r w:rsidR="0003558C">
        <w:rPr>
          <w:rFonts w:ascii="Times New Roman" w:hAnsi="Times New Roman" w:cs="Times New Roman"/>
          <w:sz w:val="24"/>
          <w:szCs w:val="24"/>
        </w:rPr>
        <w:t xml:space="preserve">premised on the postulation that </w:t>
      </w:r>
      <w:r w:rsidR="002A4723">
        <w:rPr>
          <w:rFonts w:ascii="Times New Roman" w:hAnsi="Times New Roman" w:cs="Times New Roman"/>
          <w:sz w:val="24"/>
          <w:szCs w:val="24"/>
        </w:rPr>
        <w:t xml:space="preserve">the law does not allow it to close premises of defaulters. The only remedy at its disposal is the imposition of a fine in terms </w:t>
      </w:r>
      <w:r w:rsidR="00F93F31">
        <w:rPr>
          <w:rFonts w:ascii="Times New Roman" w:hAnsi="Times New Roman" w:cs="Times New Roman"/>
          <w:sz w:val="24"/>
          <w:szCs w:val="24"/>
        </w:rPr>
        <w:t>of section 7(2) of the Kwekwe (Trading) By-laws</w:t>
      </w:r>
      <w:r w:rsidR="00F93F31">
        <w:rPr>
          <w:rStyle w:val="FootnoteReference"/>
          <w:rFonts w:ascii="Times New Roman" w:hAnsi="Times New Roman" w:cs="Times New Roman"/>
          <w:sz w:val="24"/>
          <w:szCs w:val="24"/>
        </w:rPr>
        <w:footnoteReference w:id="3"/>
      </w:r>
      <w:r w:rsidR="00F93F31">
        <w:rPr>
          <w:rFonts w:ascii="Times New Roman" w:hAnsi="Times New Roman" w:cs="Times New Roman"/>
          <w:sz w:val="24"/>
          <w:szCs w:val="24"/>
        </w:rPr>
        <w:t xml:space="preserve">.  For the applicants it was argued that there was no </w:t>
      </w:r>
      <w:r w:rsidR="00D05A9F">
        <w:rPr>
          <w:rFonts w:ascii="Times New Roman" w:hAnsi="Times New Roman" w:cs="Times New Roman"/>
          <w:sz w:val="24"/>
          <w:szCs w:val="24"/>
        </w:rPr>
        <w:t xml:space="preserve">legal </w:t>
      </w:r>
      <w:r w:rsidR="00F93F31">
        <w:rPr>
          <w:rFonts w:ascii="Times New Roman" w:hAnsi="Times New Roman" w:cs="Times New Roman"/>
          <w:sz w:val="24"/>
          <w:szCs w:val="24"/>
        </w:rPr>
        <w:t xml:space="preserve">basis for the first respondent to implement the new </w:t>
      </w:r>
      <w:r w:rsidR="00D05A9F">
        <w:rPr>
          <w:rFonts w:ascii="Times New Roman" w:hAnsi="Times New Roman" w:cs="Times New Roman"/>
          <w:sz w:val="24"/>
          <w:szCs w:val="24"/>
        </w:rPr>
        <w:t xml:space="preserve">business licence </w:t>
      </w:r>
      <w:r w:rsidR="00F93F31">
        <w:rPr>
          <w:rFonts w:ascii="Times New Roman" w:hAnsi="Times New Roman" w:cs="Times New Roman"/>
          <w:sz w:val="24"/>
          <w:szCs w:val="24"/>
        </w:rPr>
        <w:t>fee</w:t>
      </w:r>
      <w:r w:rsidR="00D05A9F">
        <w:rPr>
          <w:rFonts w:ascii="Times New Roman" w:hAnsi="Times New Roman" w:cs="Times New Roman"/>
          <w:sz w:val="24"/>
          <w:szCs w:val="24"/>
        </w:rPr>
        <w:t>s</w:t>
      </w:r>
      <w:r w:rsidR="00F93F31">
        <w:rPr>
          <w:rFonts w:ascii="Times New Roman" w:hAnsi="Times New Roman" w:cs="Times New Roman"/>
          <w:sz w:val="24"/>
          <w:szCs w:val="24"/>
        </w:rPr>
        <w:t xml:space="preserve"> without having complied with </w:t>
      </w:r>
      <w:r w:rsidR="00257C62">
        <w:rPr>
          <w:rFonts w:ascii="Times New Roman" w:hAnsi="Times New Roman" w:cs="Times New Roman"/>
          <w:sz w:val="24"/>
          <w:szCs w:val="24"/>
        </w:rPr>
        <w:t xml:space="preserve">the law. </w:t>
      </w:r>
      <w:r w:rsidR="00D05A9F" w:rsidRPr="00D05A9F">
        <w:rPr>
          <w:rFonts w:ascii="Times New Roman" w:hAnsi="Times New Roman" w:cs="Times New Roman"/>
          <w:i/>
          <w:sz w:val="24"/>
          <w:szCs w:val="24"/>
        </w:rPr>
        <w:t>Ms Mabwe</w:t>
      </w:r>
      <w:r w:rsidR="00D05A9F">
        <w:rPr>
          <w:rFonts w:ascii="Times New Roman" w:hAnsi="Times New Roman" w:cs="Times New Roman"/>
          <w:sz w:val="24"/>
          <w:szCs w:val="24"/>
        </w:rPr>
        <w:t xml:space="preserve"> </w:t>
      </w:r>
      <w:r w:rsidR="00257C62">
        <w:rPr>
          <w:rFonts w:ascii="Times New Roman" w:hAnsi="Times New Roman" w:cs="Times New Roman"/>
          <w:sz w:val="24"/>
          <w:szCs w:val="24"/>
        </w:rPr>
        <w:t xml:space="preserve">submitted that the applicants could not rely on first respondent word that it would not close their practices or penalize them for not complying with the new fee regime. </w:t>
      </w:r>
      <w:r w:rsidR="00D05A9F">
        <w:rPr>
          <w:rFonts w:ascii="Times New Roman" w:hAnsi="Times New Roman" w:cs="Times New Roman"/>
          <w:sz w:val="24"/>
          <w:szCs w:val="24"/>
        </w:rPr>
        <w:t xml:space="preserve">First respondent had already violated the law. </w:t>
      </w:r>
      <w:r w:rsidR="00257C62">
        <w:rPr>
          <w:rFonts w:ascii="Times New Roman" w:hAnsi="Times New Roman" w:cs="Times New Roman"/>
          <w:sz w:val="24"/>
          <w:szCs w:val="24"/>
        </w:rPr>
        <w:t xml:space="preserve">The applicants harboured a reasonable apprehension that some </w:t>
      </w:r>
      <w:r w:rsidR="000A74E3">
        <w:rPr>
          <w:rFonts w:ascii="Times New Roman" w:hAnsi="Times New Roman" w:cs="Times New Roman"/>
          <w:sz w:val="24"/>
          <w:szCs w:val="24"/>
        </w:rPr>
        <w:t xml:space="preserve">enforcement </w:t>
      </w:r>
      <w:r w:rsidR="00257C62">
        <w:rPr>
          <w:rFonts w:ascii="Times New Roman" w:hAnsi="Times New Roman" w:cs="Times New Roman"/>
          <w:sz w:val="24"/>
          <w:szCs w:val="24"/>
        </w:rPr>
        <w:t xml:space="preserve">measures would be </w:t>
      </w:r>
      <w:r w:rsidR="000A74E3">
        <w:rPr>
          <w:rFonts w:ascii="Times New Roman" w:hAnsi="Times New Roman" w:cs="Times New Roman"/>
          <w:sz w:val="24"/>
          <w:szCs w:val="24"/>
        </w:rPr>
        <w:t xml:space="preserve">invoked </w:t>
      </w:r>
      <w:r w:rsidR="00257C62">
        <w:rPr>
          <w:rFonts w:ascii="Times New Roman" w:hAnsi="Times New Roman" w:cs="Times New Roman"/>
          <w:sz w:val="24"/>
          <w:szCs w:val="24"/>
        </w:rPr>
        <w:t xml:space="preserve">against them </w:t>
      </w:r>
      <w:r w:rsidR="000A74E3">
        <w:rPr>
          <w:rFonts w:ascii="Times New Roman" w:hAnsi="Times New Roman" w:cs="Times New Roman"/>
          <w:sz w:val="24"/>
          <w:szCs w:val="24"/>
        </w:rPr>
        <w:t xml:space="preserve">seeing as the </w:t>
      </w:r>
      <w:r w:rsidR="00D05A9F">
        <w:rPr>
          <w:rFonts w:ascii="Times New Roman" w:hAnsi="Times New Roman" w:cs="Times New Roman"/>
          <w:sz w:val="24"/>
          <w:szCs w:val="24"/>
        </w:rPr>
        <w:t>first</w:t>
      </w:r>
      <w:r w:rsidR="00257C62">
        <w:rPr>
          <w:rFonts w:ascii="Times New Roman" w:hAnsi="Times New Roman" w:cs="Times New Roman"/>
          <w:sz w:val="24"/>
          <w:szCs w:val="24"/>
        </w:rPr>
        <w:t xml:space="preserve"> respondent had already invoiced one of their members</w:t>
      </w:r>
      <w:r w:rsidR="00D05A9F">
        <w:rPr>
          <w:rFonts w:ascii="Times New Roman" w:hAnsi="Times New Roman" w:cs="Times New Roman"/>
          <w:sz w:val="24"/>
          <w:szCs w:val="24"/>
        </w:rPr>
        <w:t xml:space="preserve">, </w:t>
      </w:r>
      <w:r w:rsidR="000A74E3">
        <w:rPr>
          <w:rFonts w:ascii="Times New Roman" w:hAnsi="Times New Roman" w:cs="Times New Roman"/>
          <w:sz w:val="24"/>
          <w:szCs w:val="24"/>
        </w:rPr>
        <w:t>for the revised fee</w:t>
      </w:r>
      <w:r w:rsidR="00257C62">
        <w:rPr>
          <w:rFonts w:ascii="Times New Roman" w:hAnsi="Times New Roman" w:cs="Times New Roman"/>
          <w:sz w:val="24"/>
          <w:szCs w:val="24"/>
        </w:rPr>
        <w:t xml:space="preserve">. </w:t>
      </w:r>
      <w:r w:rsidR="003C4CF6">
        <w:rPr>
          <w:rFonts w:ascii="Times New Roman" w:hAnsi="Times New Roman" w:cs="Times New Roman"/>
          <w:sz w:val="24"/>
          <w:szCs w:val="24"/>
        </w:rPr>
        <w:t xml:space="preserve">There </w:t>
      </w:r>
      <w:r w:rsidR="00257C62">
        <w:rPr>
          <w:rFonts w:ascii="Times New Roman" w:hAnsi="Times New Roman" w:cs="Times New Roman"/>
          <w:sz w:val="24"/>
          <w:szCs w:val="24"/>
        </w:rPr>
        <w:t xml:space="preserve">is merit in this submission. </w:t>
      </w:r>
      <w:r w:rsidR="003C4CF6">
        <w:rPr>
          <w:rFonts w:ascii="Times New Roman" w:hAnsi="Times New Roman" w:cs="Times New Roman"/>
          <w:sz w:val="24"/>
          <w:szCs w:val="24"/>
        </w:rPr>
        <w:t>Written r</w:t>
      </w:r>
      <w:r w:rsidR="00257C62">
        <w:rPr>
          <w:rFonts w:ascii="Times New Roman" w:hAnsi="Times New Roman" w:cs="Times New Roman"/>
          <w:sz w:val="24"/>
          <w:szCs w:val="24"/>
        </w:rPr>
        <w:t xml:space="preserve">epresentations were made to the first respondent through the letter of 29 November 2019, </w:t>
      </w:r>
      <w:r w:rsidR="003C4CF6">
        <w:rPr>
          <w:rFonts w:ascii="Times New Roman" w:hAnsi="Times New Roman" w:cs="Times New Roman"/>
          <w:sz w:val="24"/>
          <w:szCs w:val="24"/>
        </w:rPr>
        <w:t>which was not acted on. First respondent proceeded to invoice 11</w:t>
      </w:r>
      <w:r w:rsidR="003C4CF6" w:rsidRPr="003C4CF6">
        <w:rPr>
          <w:rFonts w:ascii="Times New Roman" w:hAnsi="Times New Roman" w:cs="Times New Roman"/>
          <w:sz w:val="24"/>
          <w:szCs w:val="24"/>
          <w:vertAlign w:val="superscript"/>
        </w:rPr>
        <w:t>th</w:t>
      </w:r>
      <w:r w:rsidR="003C4CF6">
        <w:rPr>
          <w:rFonts w:ascii="Times New Roman" w:hAnsi="Times New Roman" w:cs="Times New Roman"/>
          <w:sz w:val="24"/>
          <w:szCs w:val="24"/>
        </w:rPr>
        <w:t xml:space="preserve"> applicant for an amount slightly higher than the amount referred to in the written representations. It did not deal with the applicants’</w:t>
      </w:r>
      <w:r w:rsidR="00257C62">
        <w:rPr>
          <w:rFonts w:ascii="Times New Roman" w:hAnsi="Times New Roman" w:cs="Times New Roman"/>
          <w:sz w:val="24"/>
          <w:szCs w:val="24"/>
        </w:rPr>
        <w:t xml:space="preserve"> </w:t>
      </w:r>
      <w:r w:rsidR="003C4CF6">
        <w:rPr>
          <w:rFonts w:ascii="Times New Roman" w:hAnsi="Times New Roman" w:cs="Times New Roman"/>
          <w:sz w:val="24"/>
          <w:szCs w:val="24"/>
        </w:rPr>
        <w:t>representations</w:t>
      </w:r>
      <w:r w:rsidR="00257C62">
        <w:rPr>
          <w:rFonts w:ascii="Times New Roman" w:hAnsi="Times New Roman" w:cs="Times New Roman"/>
          <w:sz w:val="24"/>
          <w:szCs w:val="24"/>
        </w:rPr>
        <w:t xml:space="preserve"> as envisaged under section 219(3), assuming that it had complied with the requirements of section 219</w:t>
      </w:r>
      <w:r w:rsidR="0072110A">
        <w:rPr>
          <w:rFonts w:ascii="Times New Roman" w:hAnsi="Times New Roman" w:cs="Times New Roman"/>
          <w:sz w:val="24"/>
          <w:szCs w:val="24"/>
        </w:rPr>
        <w:t xml:space="preserve"> </w:t>
      </w:r>
      <w:r w:rsidR="00257C62">
        <w:rPr>
          <w:rFonts w:ascii="Times New Roman" w:hAnsi="Times New Roman" w:cs="Times New Roman"/>
          <w:sz w:val="24"/>
          <w:szCs w:val="24"/>
        </w:rPr>
        <w:t xml:space="preserve">(2). </w:t>
      </w:r>
    </w:p>
    <w:p w:rsidR="00257C62" w:rsidRDefault="00257C62" w:rsidP="00786F3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find no merit in this objection and it is accordingly dismissed. </w:t>
      </w:r>
    </w:p>
    <w:p w:rsidR="00F93F31" w:rsidRDefault="00F93F31" w:rsidP="00786F3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F93F31" w:rsidRPr="0072110A" w:rsidRDefault="0077616D" w:rsidP="00342E9B">
      <w:pPr>
        <w:spacing w:after="0" w:line="360" w:lineRule="auto"/>
        <w:jc w:val="both"/>
        <w:rPr>
          <w:rFonts w:ascii="Times New Roman" w:hAnsi="Times New Roman" w:cs="Times New Roman"/>
          <w:sz w:val="24"/>
          <w:szCs w:val="24"/>
          <w:u w:val="single"/>
        </w:rPr>
      </w:pPr>
      <w:r w:rsidRPr="0072110A">
        <w:rPr>
          <w:rFonts w:ascii="Times New Roman" w:hAnsi="Times New Roman" w:cs="Times New Roman"/>
          <w:sz w:val="24"/>
          <w:szCs w:val="24"/>
          <w:u w:val="single"/>
        </w:rPr>
        <w:lastRenderedPageBreak/>
        <w:t>THAT</w:t>
      </w:r>
      <w:r w:rsidR="00342E9B" w:rsidRPr="0072110A">
        <w:rPr>
          <w:rFonts w:ascii="Times New Roman" w:hAnsi="Times New Roman" w:cs="Times New Roman"/>
          <w:sz w:val="24"/>
          <w:szCs w:val="24"/>
          <w:u w:val="single"/>
        </w:rPr>
        <w:t xml:space="preserve"> A LAWFUL PROCESS CANNOT BE INTERDICTED</w:t>
      </w:r>
    </w:p>
    <w:p w:rsidR="00342E9B" w:rsidRDefault="00342E9B" w:rsidP="00342E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was argued on behalf of the first respondent</w:t>
      </w:r>
      <w:r w:rsidR="005D03FE">
        <w:rPr>
          <w:rFonts w:ascii="Times New Roman" w:hAnsi="Times New Roman" w:cs="Times New Roman"/>
          <w:sz w:val="24"/>
          <w:szCs w:val="24"/>
        </w:rPr>
        <w:t xml:space="preserve"> </w:t>
      </w:r>
      <w:r w:rsidR="003C4CF6">
        <w:rPr>
          <w:rFonts w:ascii="Times New Roman" w:hAnsi="Times New Roman" w:cs="Times New Roman"/>
          <w:sz w:val="24"/>
          <w:szCs w:val="24"/>
        </w:rPr>
        <w:t xml:space="preserve">that </w:t>
      </w:r>
      <w:r w:rsidR="005D03FE">
        <w:rPr>
          <w:rFonts w:ascii="Times New Roman" w:hAnsi="Times New Roman" w:cs="Times New Roman"/>
          <w:sz w:val="24"/>
          <w:szCs w:val="24"/>
        </w:rPr>
        <w:t>a judge cannot interdict first respondent from carrying out</w:t>
      </w:r>
      <w:r w:rsidR="003C4CF6">
        <w:rPr>
          <w:rFonts w:ascii="Times New Roman" w:hAnsi="Times New Roman" w:cs="Times New Roman"/>
          <w:sz w:val="24"/>
          <w:szCs w:val="24"/>
        </w:rPr>
        <w:t xml:space="preserve"> a lawful exercise of powers conferred by statute</w:t>
      </w:r>
      <w:r w:rsidR="005D03FE">
        <w:rPr>
          <w:rFonts w:ascii="Times New Roman" w:hAnsi="Times New Roman" w:cs="Times New Roman"/>
          <w:sz w:val="24"/>
          <w:szCs w:val="24"/>
        </w:rPr>
        <w:t xml:space="preserve">. </w:t>
      </w:r>
      <w:r w:rsidR="005D03FE" w:rsidRPr="003C4CF6">
        <w:rPr>
          <w:rFonts w:ascii="Times New Roman" w:hAnsi="Times New Roman" w:cs="Times New Roman"/>
          <w:i/>
          <w:sz w:val="24"/>
          <w:szCs w:val="24"/>
        </w:rPr>
        <w:t>Mr Sithole</w:t>
      </w:r>
      <w:r w:rsidR="005D03FE">
        <w:rPr>
          <w:rFonts w:ascii="Times New Roman" w:hAnsi="Times New Roman" w:cs="Times New Roman"/>
          <w:sz w:val="24"/>
          <w:szCs w:val="24"/>
        </w:rPr>
        <w:t xml:space="preserve"> </w:t>
      </w:r>
      <w:r w:rsidR="003C4CF6">
        <w:rPr>
          <w:rFonts w:ascii="Times New Roman" w:hAnsi="Times New Roman" w:cs="Times New Roman"/>
          <w:sz w:val="24"/>
          <w:szCs w:val="24"/>
        </w:rPr>
        <w:t xml:space="preserve">cited </w:t>
      </w:r>
      <w:r w:rsidR="005D03FE">
        <w:rPr>
          <w:rFonts w:ascii="Times New Roman" w:hAnsi="Times New Roman" w:cs="Times New Roman"/>
          <w:sz w:val="24"/>
          <w:szCs w:val="24"/>
        </w:rPr>
        <w:t xml:space="preserve">the case of </w:t>
      </w:r>
      <w:r w:rsidR="008446E8" w:rsidRPr="008446E8">
        <w:rPr>
          <w:rFonts w:ascii="Times New Roman" w:hAnsi="Times New Roman" w:cs="Times New Roman"/>
          <w:i/>
          <w:sz w:val="24"/>
          <w:szCs w:val="24"/>
        </w:rPr>
        <w:t xml:space="preserve">Judicial Service Commission </w:t>
      </w:r>
      <w:r w:rsidR="008446E8" w:rsidRPr="0072110A">
        <w:rPr>
          <w:rFonts w:ascii="Times New Roman" w:hAnsi="Times New Roman" w:cs="Times New Roman"/>
          <w:sz w:val="24"/>
          <w:szCs w:val="24"/>
        </w:rPr>
        <w:t>v</w:t>
      </w:r>
      <w:r w:rsidR="008446E8" w:rsidRPr="008446E8">
        <w:rPr>
          <w:rFonts w:ascii="Times New Roman" w:hAnsi="Times New Roman" w:cs="Times New Roman"/>
          <w:i/>
          <w:sz w:val="24"/>
          <w:szCs w:val="24"/>
        </w:rPr>
        <w:t xml:space="preserve"> Zibani</w:t>
      </w:r>
      <w:r w:rsidR="008446E8">
        <w:rPr>
          <w:rStyle w:val="FootnoteReference"/>
          <w:rFonts w:ascii="Times New Roman" w:hAnsi="Times New Roman" w:cs="Times New Roman"/>
          <w:i/>
          <w:sz w:val="24"/>
          <w:szCs w:val="24"/>
        </w:rPr>
        <w:footnoteReference w:id="4"/>
      </w:r>
      <w:r w:rsidR="008446E8">
        <w:rPr>
          <w:rFonts w:ascii="Times New Roman" w:hAnsi="Times New Roman" w:cs="Times New Roman"/>
          <w:i/>
          <w:sz w:val="24"/>
          <w:szCs w:val="24"/>
        </w:rPr>
        <w:t xml:space="preserve">, </w:t>
      </w:r>
      <w:r w:rsidR="008446E8">
        <w:rPr>
          <w:rFonts w:ascii="Times New Roman" w:hAnsi="Times New Roman" w:cs="Times New Roman"/>
          <w:sz w:val="24"/>
          <w:szCs w:val="24"/>
        </w:rPr>
        <w:t xml:space="preserve">as authority for this legal proposition. In that matter, </w:t>
      </w:r>
      <w:r w:rsidR="008446E8" w:rsidRPr="0072110A">
        <w:rPr>
          <w:rFonts w:ascii="Times New Roman" w:hAnsi="Times New Roman" w:cs="Times New Roman"/>
          <w:smallCaps/>
          <w:sz w:val="24"/>
          <w:szCs w:val="24"/>
        </w:rPr>
        <w:t>Patel JA</w:t>
      </w:r>
      <w:r w:rsidR="008446E8">
        <w:rPr>
          <w:rFonts w:ascii="Times New Roman" w:hAnsi="Times New Roman" w:cs="Times New Roman"/>
          <w:sz w:val="24"/>
          <w:szCs w:val="24"/>
        </w:rPr>
        <w:t xml:space="preserve"> enunciated the </w:t>
      </w:r>
      <w:r w:rsidR="003C4CF6">
        <w:rPr>
          <w:rFonts w:ascii="Times New Roman" w:hAnsi="Times New Roman" w:cs="Times New Roman"/>
          <w:sz w:val="24"/>
          <w:szCs w:val="24"/>
        </w:rPr>
        <w:t xml:space="preserve">legal </w:t>
      </w:r>
      <w:r w:rsidR="008446E8">
        <w:rPr>
          <w:rFonts w:ascii="Times New Roman" w:hAnsi="Times New Roman" w:cs="Times New Roman"/>
          <w:sz w:val="24"/>
          <w:szCs w:val="24"/>
        </w:rPr>
        <w:t>position as follows:</w:t>
      </w:r>
    </w:p>
    <w:p w:rsidR="008446E8" w:rsidRPr="0072110A" w:rsidRDefault="008446E8" w:rsidP="0072110A">
      <w:pPr>
        <w:tabs>
          <w:tab w:val="left" w:pos="1170"/>
        </w:tabs>
        <w:spacing w:after="0" w:line="240" w:lineRule="auto"/>
        <w:ind w:left="720"/>
        <w:jc w:val="both"/>
        <w:rPr>
          <w:rFonts w:ascii="Times New Roman" w:eastAsia="Times New Roman" w:hAnsi="Times New Roman" w:cs="Times New Roman"/>
          <w:lang w:val="en-GB"/>
        </w:rPr>
      </w:pPr>
      <w:r w:rsidRPr="0072110A">
        <w:rPr>
          <w:rFonts w:ascii="Times New Roman" w:eastAsia="Times New Roman" w:hAnsi="Times New Roman" w:cs="Times New Roman"/>
          <w:lang w:val="en-GB"/>
        </w:rPr>
        <w:t>“A court of law has no power to stop the lawful and diligent performance of a constitutional process or constitutional obligation imposed upon the appellant on the basis of an alleged intention of the executive to amend the Constitution.</w:t>
      </w:r>
    </w:p>
    <w:p w:rsidR="008446E8" w:rsidRPr="0072110A" w:rsidRDefault="008446E8" w:rsidP="0072110A">
      <w:pPr>
        <w:tabs>
          <w:tab w:val="left" w:pos="1170"/>
        </w:tabs>
        <w:spacing w:after="0" w:line="240" w:lineRule="auto"/>
        <w:ind w:left="720"/>
        <w:jc w:val="both"/>
        <w:rPr>
          <w:rFonts w:ascii="Times New Roman" w:hAnsi="Times New Roman" w:cs="Times New Roman"/>
        </w:rPr>
      </w:pPr>
      <w:r w:rsidRPr="0072110A">
        <w:rPr>
          <w:rFonts w:ascii="Times New Roman" w:eastAsia="Times New Roman" w:hAnsi="Times New Roman" w:cs="Times New Roman"/>
          <w:lang w:val="en-GB"/>
        </w:rPr>
        <w:t xml:space="preserve">Generally speaking, it is not permissible for a court to interdict the lawful exercise of powers conferred by statute. See </w:t>
      </w:r>
      <w:r w:rsidRPr="0072110A">
        <w:rPr>
          <w:rFonts w:ascii="Times New Roman" w:eastAsia="Times New Roman" w:hAnsi="Times New Roman" w:cs="Times New Roman"/>
          <w:i/>
          <w:lang w:val="en-GB"/>
        </w:rPr>
        <w:t>Gool</w:t>
      </w:r>
      <w:r w:rsidRPr="0072110A">
        <w:rPr>
          <w:rFonts w:ascii="Times New Roman" w:eastAsia="Times New Roman" w:hAnsi="Times New Roman" w:cs="Times New Roman"/>
          <w:lang w:val="en-GB"/>
        </w:rPr>
        <w:t xml:space="preserve"> v </w:t>
      </w:r>
      <w:r w:rsidRPr="0072110A">
        <w:rPr>
          <w:rFonts w:ascii="Times New Roman" w:eastAsia="Times New Roman" w:hAnsi="Times New Roman" w:cs="Times New Roman"/>
          <w:i/>
          <w:lang w:val="en-GB"/>
        </w:rPr>
        <w:t>Minister of Justice &amp; Anor</w:t>
      </w:r>
      <w:r w:rsidRPr="0072110A">
        <w:rPr>
          <w:rFonts w:ascii="Times New Roman" w:eastAsia="Times New Roman" w:hAnsi="Times New Roman" w:cs="Times New Roman"/>
          <w:lang w:val="en-GB"/>
        </w:rPr>
        <w:t xml:space="preserve"> 1955 (2) SA 682 (CPD) at 688F-G. This approach applies </w:t>
      </w:r>
      <w:r w:rsidRPr="0072110A">
        <w:rPr>
          <w:rFonts w:ascii="Times New Roman" w:eastAsia="Times New Roman" w:hAnsi="Times New Roman" w:cs="Times New Roman"/>
          <w:i/>
          <w:lang w:val="en-GB"/>
        </w:rPr>
        <w:t>a fortiori</w:t>
      </w:r>
      <w:r w:rsidRPr="0072110A">
        <w:rPr>
          <w:rFonts w:ascii="Times New Roman" w:eastAsia="Times New Roman" w:hAnsi="Times New Roman" w:cs="Times New Roman"/>
          <w:lang w:val="en-GB"/>
        </w:rPr>
        <w:t xml:space="preserve"> where a court is called upon to interdict the lawful and </w:t>
      </w:r>
      <w:r w:rsidRPr="0072110A">
        <w:rPr>
          <w:rFonts w:ascii="Times New Roman" w:eastAsia="Times New Roman" w:hAnsi="Times New Roman" w:cs="Times New Roman"/>
          <w:i/>
          <w:lang w:val="en-GB"/>
        </w:rPr>
        <w:t>bona fide</w:t>
      </w:r>
      <w:r w:rsidRPr="0072110A">
        <w:rPr>
          <w:rFonts w:ascii="Times New Roman" w:eastAsia="Times New Roman" w:hAnsi="Times New Roman" w:cs="Times New Roman"/>
          <w:lang w:val="en-GB"/>
        </w:rPr>
        <w:t xml:space="preserve"> performance of a constitutional duty….”</w:t>
      </w:r>
      <w:r w:rsidR="00C363C0" w:rsidRPr="0072110A">
        <w:rPr>
          <w:rStyle w:val="FootnoteReference"/>
          <w:rFonts w:ascii="Times New Roman" w:eastAsia="Times New Roman" w:hAnsi="Times New Roman" w:cs="Times New Roman"/>
          <w:lang w:val="en-GB"/>
        </w:rPr>
        <w:footnoteReference w:id="5"/>
      </w:r>
    </w:p>
    <w:p w:rsidR="00F93F31" w:rsidRDefault="00F93F31" w:rsidP="00786F3E">
      <w:pPr>
        <w:spacing w:after="0" w:line="360" w:lineRule="auto"/>
        <w:ind w:firstLine="720"/>
        <w:jc w:val="both"/>
        <w:rPr>
          <w:rFonts w:ascii="Times New Roman" w:hAnsi="Times New Roman" w:cs="Times New Roman"/>
          <w:sz w:val="24"/>
          <w:szCs w:val="24"/>
        </w:rPr>
      </w:pPr>
    </w:p>
    <w:p w:rsidR="00F93F31" w:rsidRDefault="00C363C0" w:rsidP="00BA2EEB">
      <w:pPr>
        <w:spacing w:after="0" w:line="360" w:lineRule="auto"/>
        <w:ind w:firstLine="720"/>
        <w:jc w:val="both"/>
        <w:rPr>
          <w:rFonts w:ascii="Times New Roman" w:hAnsi="Times New Roman" w:cs="Times New Roman"/>
          <w:sz w:val="24"/>
          <w:szCs w:val="24"/>
        </w:rPr>
      </w:pPr>
      <w:r w:rsidRPr="003C4CF6">
        <w:rPr>
          <w:rFonts w:ascii="Times New Roman" w:hAnsi="Times New Roman" w:cs="Times New Roman"/>
          <w:i/>
          <w:sz w:val="24"/>
          <w:szCs w:val="24"/>
        </w:rPr>
        <w:t>Ms Mabwe</w:t>
      </w:r>
      <w:r>
        <w:rPr>
          <w:rFonts w:ascii="Times New Roman" w:hAnsi="Times New Roman" w:cs="Times New Roman"/>
          <w:sz w:val="24"/>
          <w:szCs w:val="24"/>
        </w:rPr>
        <w:t xml:space="preserve"> on the other hand argued that the present matter is distinguishable from the Zibani matter </w:t>
      </w:r>
      <w:r w:rsidR="003C4CF6">
        <w:rPr>
          <w:rFonts w:ascii="Times New Roman" w:hAnsi="Times New Roman" w:cs="Times New Roman"/>
          <w:sz w:val="24"/>
          <w:szCs w:val="24"/>
        </w:rPr>
        <w:t xml:space="preserve">which </w:t>
      </w:r>
      <w:r>
        <w:rPr>
          <w:rFonts w:ascii="Times New Roman" w:hAnsi="Times New Roman" w:cs="Times New Roman"/>
          <w:sz w:val="24"/>
          <w:szCs w:val="24"/>
        </w:rPr>
        <w:t xml:space="preserve">was concerned with a lawful constitutional process that the upper court did not find fault with. Similarly, if the first respondent in </w:t>
      </w:r>
      <w:r w:rsidRPr="00C363C0">
        <w:rPr>
          <w:rFonts w:ascii="Times New Roman" w:hAnsi="Times New Roman" w:cs="Times New Roman"/>
          <w:i/>
          <w:sz w:val="24"/>
          <w:szCs w:val="24"/>
        </w:rPr>
        <w:t xml:space="preserve">casu </w:t>
      </w:r>
      <w:r>
        <w:rPr>
          <w:rFonts w:ascii="Times New Roman" w:hAnsi="Times New Roman" w:cs="Times New Roman"/>
          <w:sz w:val="24"/>
          <w:szCs w:val="24"/>
        </w:rPr>
        <w:t xml:space="preserve">was seeking to enforce the provisions </w:t>
      </w:r>
      <w:r w:rsidR="003C4CF6">
        <w:rPr>
          <w:rFonts w:ascii="Times New Roman" w:hAnsi="Times New Roman" w:cs="Times New Roman"/>
          <w:sz w:val="24"/>
          <w:szCs w:val="24"/>
        </w:rPr>
        <w:t>of the Kwekwe Trading By-laws</w:t>
      </w:r>
      <w:r w:rsidR="00BA2EEB">
        <w:rPr>
          <w:rFonts w:ascii="Times New Roman" w:hAnsi="Times New Roman" w:cs="Times New Roman"/>
          <w:sz w:val="24"/>
          <w:szCs w:val="24"/>
        </w:rPr>
        <w:t xml:space="preserve">, then the court would be </w:t>
      </w:r>
      <w:r w:rsidR="003C4CF6">
        <w:rPr>
          <w:rFonts w:ascii="Times New Roman" w:hAnsi="Times New Roman" w:cs="Times New Roman"/>
          <w:sz w:val="24"/>
          <w:szCs w:val="24"/>
        </w:rPr>
        <w:t xml:space="preserve">constrained from interfering </w:t>
      </w:r>
      <w:r w:rsidR="00BA2EEB">
        <w:rPr>
          <w:rFonts w:ascii="Times New Roman" w:hAnsi="Times New Roman" w:cs="Times New Roman"/>
          <w:sz w:val="24"/>
          <w:szCs w:val="24"/>
        </w:rPr>
        <w:t xml:space="preserve">with a lawful process. It was further submitted that the purported resolution that the first respondent seeks to foist on the applicants did not comply with the law. I have already alluded to the legality of the process that gave birth to the new </w:t>
      </w:r>
      <w:r w:rsidR="003C4CF6">
        <w:rPr>
          <w:rFonts w:ascii="Times New Roman" w:hAnsi="Times New Roman" w:cs="Times New Roman"/>
          <w:sz w:val="24"/>
          <w:szCs w:val="24"/>
        </w:rPr>
        <w:t xml:space="preserve">business licence </w:t>
      </w:r>
      <w:r w:rsidR="00BA2EEB">
        <w:rPr>
          <w:rFonts w:ascii="Times New Roman" w:hAnsi="Times New Roman" w:cs="Times New Roman"/>
          <w:sz w:val="24"/>
          <w:szCs w:val="24"/>
        </w:rPr>
        <w:t xml:space="preserve">fee structure when dealing with the preliminary objection on urgency. I am persuaded by the submission that once a finding is made that the first respondent exercised its powers unlawfully, then a court </w:t>
      </w:r>
      <w:r w:rsidR="003C4CF6">
        <w:rPr>
          <w:rFonts w:ascii="Times New Roman" w:hAnsi="Times New Roman" w:cs="Times New Roman"/>
          <w:sz w:val="24"/>
          <w:szCs w:val="24"/>
        </w:rPr>
        <w:t xml:space="preserve">or </w:t>
      </w:r>
      <w:r w:rsidR="00BA2EEB">
        <w:rPr>
          <w:rFonts w:ascii="Times New Roman" w:hAnsi="Times New Roman" w:cs="Times New Roman"/>
          <w:sz w:val="24"/>
          <w:szCs w:val="24"/>
        </w:rPr>
        <w:t xml:space="preserve">a judge can interfere with that process. I find no merit in this objection and it is hereby dismissed.  </w:t>
      </w:r>
    </w:p>
    <w:p w:rsidR="00F93F31" w:rsidRPr="0072110A" w:rsidRDefault="008F3572" w:rsidP="008F3572">
      <w:pPr>
        <w:spacing w:after="0" w:line="360" w:lineRule="auto"/>
        <w:jc w:val="both"/>
        <w:rPr>
          <w:rFonts w:ascii="Times New Roman" w:hAnsi="Times New Roman" w:cs="Times New Roman"/>
          <w:sz w:val="24"/>
          <w:szCs w:val="24"/>
          <w:u w:val="single"/>
        </w:rPr>
      </w:pPr>
      <w:r w:rsidRPr="0072110A">
        <w:rPr>
          <w:rFonts w:ascii="Times New Roman" w:hAnsi="Times New Roman" w:cs="Times New Roman"/>
          <w:sz w:val="24"/>
          <w:szCs w:val="24"/>
          <w:u w:val="single"/>
        </w:rPr>
        <w:t>FAILURE TO EXHAUST DOMESTIC REMEDIES</w:t>
      </w:r>
    </w:p>
    <w:p w:rsidR="00094AC3" w:rsidRDefault="00AF7640" w:rsidP="008F357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was submitted </w:t>
      </w:r>
      <w:r w:rsidR="003C4CF6">
        <w:rPr>
          <w:rFonts w:ascii="Times New Roman" w:hAnsi="Times New Roman" w:cs="Times New Roman"/>
          <w:sz w:val="24"/>
          <w:szCs w:val="24"/>
        </w:rPr>
        <w:t xml:space="preserve">on behalf of </w:t>
      </w:r>
      <w:r>
        <w:rPr>
          <w:rFonts w:ascii="Times New Roman" w:hAnsi="Times New Roman" w:cs="Times New Roman"/>
          <w:sz w:val="24"/>
          <w:szCs w:val="24"/>
        </w:rPr>
        <w:t xml:space="preserve">the first respondent that </w:t>
      </w:r>
      <w:r w:rsidR="00094AC3">
        <w:rPr>
          <w:rFonts w:ascii="Times New Roman" w:hAnsi="Times New Roman" w:cs="Times New Roman"/>
          <w:sz w:val="24"/>
          <w:szCs w:val="24"/>
        </w:rPr>
        <w:t xml:space="preserve">the applicants </w:t>
      </w:r>
      <w:r w:rsidR="003C4CF6">
        <w:rPr>
          <w:rFonts w:ascii="Times New Roman" w:hAnsi="Times New Roman" w:cs="Times New Roman"/>
          <w:sz w:val="24"/>
          <w:szCs w:val="24"/>
        </w:rPr>
        <w:t xml:space="preserve">should have </w:t>
      </w:r>
      <w:r w:rsidR="00094AC3">
        <w:rPr>
          <w:rFonts w:ascii="Times New Roman" w:hAnsi="Times New Roman" w:cs="Times New Roman"/>
          <w:sz w:val="24"/>
          <w:szCs w:val="24"/>
        </w:rPr>
        <w:t xml:space="preserve">utilized the domestic remedies at their disposal before rushing to this court. </w:t>
      </w:r>
      <w:r w:rsidR="00094AC3" w:rsidRPr="003C4CF6">
        <w:rPr>
          <w:rFonts w:ascii="Times New Roman" w:hAnsi="Times New Roman" w:cs="Times New Roman"/>
          <w:i/>
          <w:sz w:val="24"/>
          <w:szCs w:val="24"/>
        </w:rPr>
        <w:t>Mr Sithole</w:t>
      </w:r>
      <w:r w:rsidR="00094AC3">
        <w:rPr>
          <w:rFonts w:ascii="Times New Roman" w:hAnsi="Times New Roman" w:cs="Times New Roman"/>
          <w:sz w:val="24"/>
          <w:szCs w:val="24"/>
        </w:rPr>
        <w:t xml:space="preserve"> argued that the applicants ought to have sought relief from the Minister in terms of section 314 of the Act. Section 314 states that:</w:t>
      </w:r>
    </w:p>
    <w:p w:rsidR="00094AC3" w:rsidRPr="0072110A" w:rsidRDefault="00094AC3" w:rsidP="0072110A">
      <w:pPr>
        <w:autoSpaceDE w:val="0"/>
        <w:autoSpaceDN w:val="0"/>
        <w:adjustRightInd w:val="0"/>
        <w:spacing w:after="0" w:line="240" w:lineRule="auto"/>
        <w:ind w:left="720"/>
        <w:jc w:val="both"/>
        <w:rPr>
          <w:rFonts w:ascii="Arial" w:hAnsi="Arial" w:cs="Arial"/>
          <w:b/>
          <w:bCs/>
          <w:lang w:val="en-ZW"/>
        </w:rPr>
      </w:pPr>
      <w:r w:rsidRPr="00DC365F">
        <w:rPr>
          <w:rFonts w:ascii="Arial" w:hAnsi="Arial" w:cs="Arial"/>
          <w:b/>
          <w:bCs/>
          <w:sz w:val="20"/>
          <w:szCs w:val="20"/>
          <w:lang w:val="en-ZW"/>
        </w:rPr>
        <w:t>“</w:t>
      </w:r>
      <w:r w:rsidRPr="0072110A">
        <w:rPr>
          <w:rFonts w:ascii="Arial" w:hAnsi="Arial" w:cs="Arial"/>
          <w:b/>
          <w:bCs/>
          <w:lang w:val="en-ZW"/>
        </w:rPr>
        <w:t>314 Minister may reverse, suspend, rescind resolutions, decisions, etc. of councils</w:t>
      </w:r>
    </w:p>
    <w:p w:rsidR="00094AC3" w:rsidRPr="0072110A" w:rsidRDefault="00094AC3" w:rsidP="0072110A">
      <w:pPr>
        <w:autoSpaceDE w:val="0"/>
        <w:autoSpaceDN w:val="0"/>
        <w:adjustRightInd w:val="0"/>
        <w:spacing w:after="0" w:line="240" w:lineRule="auto"/>
        <w:ind w:left="720"/>
        <w:jc w:val="both"/>
        <w:rPr>
          <w:rFonts w:ascii="Times New Roman" w:hAnsi="Times New Roman" w:cs="Times New Roman"/>
          <w:lang w:val="en-ZW"/>
        </w:rPr>
      </w:pPr>
      <w:r w:rsidRPr="0072110A">
        <w:rPr>
          <w:rFonts w:ascii="Times New Roman" w:hAnsi="Times New Roman" w:cs="Times New Roman"/>
          <w:lang w:val="en-ZW"/>
        </w:rPr>
        <w:t xml:space="preserve">(1) Where the Minister is of the view that any resolution, decision or action of a council is not in the interests of the inhabitants of the council area concerned or is not in the national or public </w:t>
      </w:r>
      <w:r w:rsidRPr="0072110A">
        <w:rPr>
          <w:rFonts w:ascii="Times New Roman" w:hAnsi="Times New Roman" w:cs="Times New Roman"/>
          <w:lang w:val="en-ZW"/>
        </w:rPr>
        <w:lastRenderedPageBreak/>
        <w:t>interest, the Minister may direct the council to reverse, suspend or rescind such resolution or decision or to reverse or suspend such action.</w:t>
      </w:r>
    </w:p>
    <w:p w:rsidR="00094AC3" w:rsidRPr="0072110A" w:rsidRDefault="00094AC3" w:rsidP="0072110A">
      <w:pPr>
        <w:autoSpaceDE w:val="0"/>
        <w:autoSpaceDN w:val="0"/>
        <w:adjustRightInd w:val="0"/>
        <w:spacing w:after="0" w:line="240" w:lineRule="auto"/>
        <w:ind w:firstLine="720"/>
        <w:jc w:val="both"/>
        <w:rPr>
          <w:rFonts w:ascii="Times New Roman" w:hAnsi="Times New Roman" w:cs="Times New Roman"/>
          <w:lang w:val="en-ZW"/>
        </w:rPr>
      </w:pPr>
      <w:r w:rsidRPr="0072110A">
        <w:rPr>
          <w:rFonts w:ascii="Times New Roman" w:hAnsi="Times New Roman" w:cs="Times New Roman"/>
          <w:lang w:val="en-ZW"/>
        </w:rPr>
        <w:t>(2) Any direction of the Minister in terms of subsection (1) to a council shall be in writing.</w:t>
      </w:r>
    </w:p>
    <w:p w:rsidR="00094AC3" w:rsidRPr="0072110A" w:rsidRDefault="00094AC3" w:rsidP="0072110A">
      <w:pPr>
        <w:autoSpaceDE w:val="0"/>
        <w:autoSpaceDN w:val="0"/>
        <w:adjustRightInd w:val="0"/>
        <w:spacing w:after="0" w:line="240" w:lineRule="auto"/>
        <w:ind w:left="720"/>
        <w:jc w:val="both"/>
        <w:rPr>
          <w:rFonts w:ascii="Times New Roman" w:hAnsi="Times New Roman" w:cs="Times New Roman"/>
        </w:rPr>
      </w:pPr>
      <w:r w:rsidRPr="0072110A">
        <w:rPr>
          <w:rFonts w:ascii="Times New Roman" w:hAnsi="Times New Roman" w:cs="Times New Roman"/>
          <w:lang w:val="en-ZW"/>
        </w:rPr>
        <w:t>(3) The council shall, with all due expedition, comply with any direction given to it in terms of subsection (1)”</w:t>
      </w:r>
    </w:p>
    <w:p w:rsidR="00C0489F" w:rsidRDefault="009A0216" w:rsidP="0072110A">
      <w:pPr>
        <w:spacing w:after="0" w:line="360" w:lineRule="auto"/>
        <w:ind w:firstLine="720"/>
        <w:jc w:val="both"/>
        <w:rPr>
          <w:rFonts w:ascii="Times New Roman" w:eastAsia="Times New Roman" w:hAnsi="Times New Roman" w:cs="Times New Roman"/>
          <w:sz w:val="24"/>
          <w:szCs w:val="24"/>
          <w:lang w:eastAsia="en-ZW"/>
        </w:rPr>
      </w:pPr>
      <w:r>
        <w:rPr>
          <w:rFonts w:ascii="Times New Roman" w:hAnsi="Times New Roman" w:cs="Times New Roman"/>
          <w:sz w:val="24"/>
          <w:szCs w:val="24"/>
        </w:rPr>
        <w:t xml:space="preserve">For the applicants, </w:t>
      </w:r>
      <w:r w:rsidRPr="003C4CF6">
        <w:rPr>
          <w:rFonts w:ascii="Times New Roman" w:hAnsi="Times New Roman" w:cs="Times New Roman"/>
          <w:i/>
          <w:sz w:val="24"/>
          <w:szCs w:val="24"/>
        </w:rPr>
        <w:t>Ms Mabwe</w:t>
      </w:r>
      <w:r>
        <w:rPr>
          <w:rFonts w:ascii="Times New Roman" w:hAnsi="Times New Roman" w:cs="Times New Roman"/>
          <w:sz w:val="24"/>
          <w:szCs w:val="24"/>
        </w:rPr>
        <w:t xml:space="preserve"> argued that section 314 does not </w:t>
      </w:r>
      <w:r w:rsidR="00360A4C">
        <w:rPr>
          <w:rFonts w:ascii="Times New Roman" w:hAnsi="Times New Roman" w:cs="Times New Roman"/>
          <w:sz w:val="24"/>
          <w:szCs w:val="24"/>
        </w:rPr>
        <w:t xml:space="preserve">accord the applicants the right or prerogative to approach the Minister in the first instance. The section gives the Minister the right to act </w:t>
      </w:r>
      <w:r w:rsidR="00360A4C" w:rsidRPr="00360A4C">
        <w:rPr>
          <w:rFonts w:ascii="Times New Roman" w:hAnsi="Times New Roman" w:cs="Times New Roman"/>
          <w:i/>
          <w:sz w:val="24"/>
          <w:szCs w:val="24"/>
        </w:rPr>
        <w:t>mero motu</w:t>
      </w:r>
      <w:r w:rsidR="003C4CF6">
        <w:rPr>
          <w:rFonts w:ascii="Times New Roman" w:hAnsi="Times New Roman" w:cs="Times New Roman"/>
          <w:i/>
          <w:sz w:val="24"/>
          <w:szCs w:val="24"/>
        </w:rPr>
        <w:t xml:space="preserve">, </w:t>
      </w:r>
      <w:r w:rsidR="003C4CF6">
        <w:rPr>
          <w:rFonts w:ascii="Times New Roman" w:hAnsi="Times New Roman" w:cs="Times New Roman"/>
          <w:sz w:val="24"/>
          <w:szCs w:val="24"/>
        </w:rPr>
        <w:t xml:space="preserve">if he formulates a standpoint on a resolution, decision or action taken by council. She further submitted that </w:t>
      </w:r>
      <w:r w:rsidR="006911DA">
        <w:rPr>
          <w:rFonts w:ascii="Times New Roman" w:hAnsi="Times New Roman" w:cs="Times New Roman"/>
          <w:sz w:val="24"/>
          <w:szCs w:val="24"/>
        </w:rPr>
        <w:t xml:space="preserve">this was </w:t>
      </w:r>
      <w:r w:rsidR="003C4CF6">
        <w:rPr>
          <w:rFonts w:ascii="Times New Roman" w:hAnsi="Times New Roman" w:cs="Times New Roman"/>
          <w:sz w:val="24"/>
          <w:szCs w:val="24"/>
        </w:rPr>
        <w:t xml:space="preserve">an issue </w:t>
      </w:r>
      <w:r w:rsidR="006911DA">
        <w:rPr>
          <w:rFonts w:ascii="Times New Roman" w:hAnsi="Times New Roman" w:cs="Times New Roman"/>
          <w:sz w:val="24"/>
          <w:szCs w:val="24"/>
        </w:rPr>
        <w:t xml:space="preserve">to be argued on the return date, or in the main application for a </w:t>
      </w:r>
      <w:r w:rsidR="006911DA" w:rsidRPr="00D831CA">
        <w:rPr>
          <w:rFonts w:ascii="Times New Roman" w:hAnsi="Times New Roman" w:cs="Times New Roman"/>
          <w:i/>
          <w:sz w:val="24"/>
          <w:szCs w:val="24"/>
        </w:rPr>
        <w:t>declaratur</w:t>
      </w:r>
      <w:r w:rsidR="006911DA">
        <w:rPr>
          <w:rFonts w:ascii="Times New Roman" w:hAnsi="Times New Roman" w:cs="Times New Roman"/>
          <w:sz w:val="24"/>
          <w:szCs w:val="24"/>
        </w:rPr>
        <w:t>. I agree with this submission. Section 314 does not in my view directly confer a right on the applicants to approach the Minister with a grievance.</w:t>
      </w:r>
      <w:r w:rsidR="00C0489F">
        <w:rPr>
          <w:rFonts w:ascii="Times New Roman" w:hAnsi="Times New Roman" w:cs="Times New Roman"/>
          <w:sz w:val="24"/>
          <w:szCs w:val="24"/>
        </w:rPr>
        <w:t xml:space="preserve"> Domestic remedies, when available, </w:t>
      </w:r>
      <w:r w:rsidR="00C0489F" w:rsidRPr="003C4CF6">
        <w:rPr>
          <w:rFonts w:ascii="Times New Roman" w:eastAsia="Times New Roman" w:hAnsi="Times New Roman" w:cs="Times New Roman"/>
          <w:sz w:val="24"/>
          <w:szCs w:val="24"/>
          <w:lang w:eastAsia="en-ZW"/>
        </w:rPr>
        <w:t>must be clearly outlined and capable of providing effective redress to the complaint</w:t>
      </w:r>
      <w:r w:rsidR="00C0489F" w:rsidRPr="003C4CF6">
        <w:rPr>
          <w:rStyle w:val="FootnoteReference"/>
          <w:rFonts w:ascii="Times New Roman" w:eastAsia="Times New Roman" w:hAnsi="Times New Roman" w:cs="Times New Roman"/>
          <w:sz w:val="24"/>
          <w:szCs w:val="24"/>
          <w:lang w:eastAsia="en-ZW"/>
        </w:rPr>
        <w:footnoteReference w:id="6"/>
      </w:r>
      <w:r w:rsidR="00C0489F" w:rsidRPr="003C4CF6">
        <w:rPr>
          <w:rFonts w:ascii="Times New Roman" w:eastAsia="Times New Roman" w:hAnsi="Times New Roman" w:cs="Times New Roman"/>
          <w:sz w:val="24"/>
          <w:szCs w:val="24"/>
          <w:lang w:eastAsia="en-ZW"/>
        </w:rPr>
        <w:t>.</w:t>
      </w:r>
      <w:r w:rsidR="003C4CF6">
        <w:rPr>
          <w:rFonts w:ascii="Times New Roman" w:eastAsia="Times New Roman" w:hAnsi="Times New Roman" w:cs="Times New Roman"/>
          <w:sz w:val="24"/>
          <w:szCs w:val="24"/>
          <w:lang w:eastAsia="en-ZW"/>
        </w:rPr>
        <w:t xml:space="preserve"> It must not be left to the court or the parties to try and decipher whether or not they have been provided for.</w:t>
      </w:r>
      <w:r w:rsidR="00C0489F" w:rsidRPr="003C4CF6">
        <w:rPr>
          <w:rFonts w:ascii="Times New Roman" w:eastAsia="Times New Roman" w:hAnsi="Times New Roman" w:cs="Times New Roman"/>
          <w:sz w:val="24"/>
          <w:szCs w:val="24"/>
          <w:lang w:eastAsia="en-ZW"/>
        </w:rPr>
        <w:t xml:space="preserve"> </w:t>
      </w:r>
      <w:r w:rsidR="0082508C" w:rsidRPr="003C4CF6">
        <w:rPr>
          <w:rFonts w:ascii="Times New Roman" w:eastAsia="Times New Roman" w:hAnsi="Times New Roman" w:cs="Times New Roman"/>
          <w:sz w:val="24"/>
          <w:szCs w:val="24"/>
          <w:lang w:eastAsia="en-ZW"/>
        </w:rPr>
        <w:t>I find no merit</w:t>
      </w:r>
      <w:r w:rsidR="0082508C">
        <w:rPr>
          <w:rFonts w:ascii="Times New Roman" w:eastAsia="Times New Roman" w:hAnsi="Times New Roman" w:cs="Times New Roman"/>
          <w:sz w:val="24"/>
          <w:szCs w:val="24"/>
          <w:lang w:eastAsia="en-ZW"/>
        </w:rPr>
        <w:t xml:space="preserve"> in this objection and it is hereby dismissed. </w:t>
      </w:r>
    </w:p>
    <w:p w:rsidR="0072110A" w:rsidRDefault="000C50D1" w:rsidP="0072110A">
      <w:pPr>
        <w:spacing w:after="0" w:line="360" w:lineRule="auto"/>
        <w:jc w:val="both"/>
        <w:rPr>
          <w:rFonts w:ascii="Times New Roman" w:eastAsia="Times New Roman" w:hAnsi="Times New Roman" w:cs="Times New Roman"/>
          <w:sz w:val="24"/>
          <w:szCs w:val="24"/>
          <w:u w:val="single"/>
          <w:lang w:eastAsia="en-ZW"/>
        </w:rPr>
      </w:pPr>
      <w:r w:rsidRPr="0072110A">
        <w:rPr>
          <w:rFonts w:ascii="Times New Roman" w:eastAsia="Times New Roman" w:hAnsi="Times New Roman" w:cs="Times New Roman"/>
          <w:sz w:val="24"/>
          <w:szCs w:val="24"/>
          <w:u w:val="single"/>
          <w:lang w:eastAsia="en-ZW"/>
        </w:rPr>
        <w:t xml:space="preserve">RELIEF SOUGHT FATALLY DEFECTIVE </w:t>
      </w:r>
    </w:p>
    <w:p w:rsidR="0072110A" w:rsidRDefault="0072110A" w:rsidP="0072110A">
      <w:pPr>
        <w:spacing w:after="0" w:line="360" w:lineRule="auto"/>
        <w:jc w:val="both"/>
        <w:rPr>
          <w:rFonts w:ascii="Times New Roman" w:eastAsia="Times New Roman" w:hAnsi="Times New Roman" w:cs="Times New Roman"/>
          <w:sz w:val="24"/>
          <w:szCs w:val="24"/>
          <w:lang w:eastAsia="en-ZW"/>
        </w:rPr>
      </w:pPr>
      <w:r w:rsidRPr="0072110A">
        <w:rPr>
          <w:rFonts w:ascii="Times New Roman" w:eastAsia="Times New Roman" w:hAnsi="Times New Roman" w:cs="Times New Roman"/>
          <w:sz w:val="24"/>
          <w:szCs w:val="24"/>
          <w:lang w:eastAsia="en-ZW"/>
        </w:rPr>
        <w:tab/>
      </w:r>
      <w:r w:rsidR="009803AC" w:rsidRPr="009803AC">
        <w:rPr>
          <w:rFonts w:ascii="Times New Roman" w:eastAsia="Times New Roman" w:hAnsi="Times New Roman" w:cs="Times New Roman"/>
          <w:i/>
          <w:sz w:val="24"/>
          <w:szCs w:val="24"/>
          <w:lang w:eastAsia="en-ZW"/>
        </w:rPr>
        <w:t xml:space="preserve">Mr Sithole </w:t>
      </w:r>
      <w:r w:rsidR="009803AC">
        <w:rPr>
          <w:rFonts w:ascii="Times New Roman" w:eastAsia="Times New Roman" w:hAnsi="Times New Roman" w:cs="Times New Roman"/>
          <w:sz w:val="24"/>
          <w:szCs w:val="24"/>
          <w:lang w:eastAsia="en-ZW"/>
        </w:rPr>
        <w:t>submitted that the relief sought is fatally defective as</w:t>
      </w:r>
      <w:r w:rsidR="0077616D">
        <w:rPr>
          <w:rFonts w:ascii="Times New Roman" w:eastAsia="Times New Roman" w:hAnsi="Times New Roman" w:cs="Times New Roman"/>
          <w:sz w:val="24"/>
          <w:szCs w:val="24"/>
          <w:lang w:eastAsia="en-ZW"/>
        </w:rPr>
        <w:t xml:space="preserve"> the terms of the interim and the final relief sought are similar. </w:t>
      </w:r>
      <w:r w:rsidR="00637E4D">
        <w:rPr>
          <w:rFonts w:ascii="Times New Roman" w:eastAsia="Times New Roman" w:hAnsi="Times New Roman" w:cs="Times New Roman"/>
          <w:sz w:val="24"/>
          <w:szCs w:val="24"/>
          <w:lang w:eastAsia="en-ZW"/>
        </w:rPr>
        <w:t>The offending paragraphs are 1 and 2 of both the interim and the final relief sought. Counsel further submitted that paragraph 2 was too broad to be granted in its present form assuming the court w</w:t>
      </w:r>
      <w:r w:rsidR="0077616D">
        <w:rPr>
          <w:rFonts w:ascii="Times New Roman" w:eastAsia="Times New Roman" w:hAnsi="Times New Roman" w:cs="Times New Roman"/>
          <w:sz w:val="24"/>
          <w:szCs w:val="24"/>
          <w:lang w:eastAsia="en-ZW"/>
        </w:rPr>
        <w:t xml:space="preserve">as </w:t>
      </w:r>
      <w:r w:rsidR="00637E4D">
        <w:rPr>
          <w:rFonts w:ascii="Times New Roman" w:eastAsia="Times New Roman" w:hAnsi="Times New Roman" w:cs="Times New Roman"/>
          <w:sz w:val="24"/>
          <w:szCs w:val="24"/>
          <w:lang w:eastAsia="en-ZW"/>
        </w:rPr>
        <w:t xml:space="preserve">so inclined to grant the order. </w:t>
      </w:r>
      <w:r w:rsidR="00637E4D" w:rsidRPr="0077616D">
        <w:rPr>
          <w:rFonts w:ascii="Times New Roman" w:eastAsia="Times New Roman" w:hAnsi="Times New Roman" w:cs="Times New Roman"/>
          <w:i/>
          <w:sz w:val="24"/>
          <w:szCs w:val="24"/>
          <w:lang w:eastAsia="en-ZW"/>
        </w:rPr>
        <w:t>Ms Mabwe</w:t>
      </w:r>
      <w:r w:rsidR="00637E4D">
        <w:rPr>
          <w:rFonts w:ascii="Times New Roman" w:eastAsia="Times New Roman" w:hAnsi="Times New Roman" w:cs="Times New Roman"/>
          <w:sz w:val="24"/>
          <w:szCs w:val="24"/>
          <w:lang w:eastAsia="en-ZW"/>
        </w:rPr>
        <w:t xml:space="preserve"> argued that the court has discretion to grant the order sought with necessary modifications.</w:t>
      </w:r>
      <w:r w:rsidR="00AA32B1">
        <w:rPr>
          <w:rFonts w:ascii="Times New Roman" w:eastAsia="Times New Roman" w:hAnsi="Times New Roman" w:cs="Times New Roman"/>
          <w:sz w:val="24"/>
          <w:szCs w:val="24"/>
          <w:lang w:eastAsia="en-ZW"/>
        </w:rPr>
        <w:t xml:space="preserve"> She referred to rule 240 of the High Court rules.</w:t>
      </w:r>
      <w:r w:rsidR="00637E4D">
        <w:rPr>
          <w:rFonts w:ascii="Times New Roman" w:eastAsia="Times New Roman" w:hAnsi="Times New Roman" w:cs="Times New Roman"/>
          <w:sz w:val="24"/>
          <w:szCs w:val="24"/>
          <w:lang w:eastAsia="en-ZW"/>
        </w:rPr>
        <w:t xml:space="preserve"> </w:t>
      </w:r>
    </w:p>
    <w:p w:rsidR="0072110A" w:rsidRDefault="0072110A" w:rsidP="0072110A">
      <w:pPr>
        <w:spacing w:after="0" w:line="360" w:lineRule="auto"/>
        <w:jc w:val="both"/>
        <w:rPr>
          <w:rFonts w:ascii="Times New Roman" w:eastAsia="Times New Roman" w:hAnsi="Times New Roman" w:cs="Times New Roman"/>
          <w:sz w:val="24"/>
          <w:szCs w:val="24"/>
          <w:lang w:eastAsia="en-ZW"/>
        </w:rPr>
      </w:pPr>
      <w:r>
        <w:rPr>
          <w:rFonts w:ascii="Times New Roman" w:eastAsia="Times New Roman" w:hAnsi="Times New Roman" w:cs="Times New Roman"/>
          <w:sz w:val="24"/>
          <w:szCs w:val="24"/>
          <w:lang w:eastAsia="en-ZW"/>
        </w:rPr>
        <w:tab/>
      </w:r>
      <w:r w:rsidR="00637E4D">
        <w:rPr>
          <w:rFonts w:ascii="Times New Roman" w:eastAsia="Times New Roman" w:hAnsi="Times New Roman" w:cs="Times New Roman"/>
          <w:sz w:val="24"/>
          <w:szCs w:val="24"/>
          <w:lang w:eastAsia="en-ZW"/>
        </w:rPr>
        <w:t>Rule 24</w:t>
      </w:r>
      <w:r w:rsidR="00AA32B1">
        <w:rPr>
          <w:rFonts w:ascii="Times New Roman" w:eastAsia="Times New Roman" w:hAnsi="Times New Roman" w:cs="Times New Roman"/>
          <w:sz w:val="24"/>
          <w:szCs w:val="24"/>
          <w:lang w:eastAsia="en-ZW"/>
        </w:rPr>
        <w:t>0</w:t>
      </w:r>
      <w:r w:rsidR="00637E4D">
        <w:rPr>
          <w:rFonts w:ascii="Times New Roman" w:eastAsia="Times New Roman" w:hAnsi="Times New Roman" w:cs="Times New Roman"/>
          <w:sz w:val="24"/>
          <w:szCs w:val="24"/>
          <w:lang w:eastAsia="en-ZW"/>
        </w:rPr>
        <w:t xml:space="preserve"> </w:t>
      </w:r>
      <w:r w:rsidR="00AA32B1">
        <w:rPr>
          <w:rFonts w:ascii="Times New Roman" w:eastAsia="Times New Roman" w:hAnsi="Times New Roman" w:cs="Times New Roman"/>
          <w:sz w:val="24"/>
          <w:szCs w:val="24"/>
          <w:lang w:eastAsia="en-ZW"/>
        </w:rPr>
        <w:t>(1)</w:t>
      </w:r>
      <w:r w:rsidR="00DC365F">
        <w:rPr>
          <w:rFonts w:ascii="Times New Roman" w:eastAsia="Times New Roman" w:hAnsi="Times New Roman" w:cs="Times New Roman"/>
          <w:sz w:val="24"/>
          <w:szCs w:val="24"/>
          <w:lang w:eastAsia="en-ZW"/>
        </w:rPr>
        <w:t xml:space="preserve"> </w:t>
      </w:r>
      <w:r w:rsidR="00637E4D">
        <w:rPr>
          <w:rFonts w:ascii="Times New Roman" w:eastAsia="Times New Roman" w:hAnsi="Times New Roman" w:cs="Times New Roman"/>
          <w:sz w:val="24"/>
          <w:szCs w:val="24"/>
          <w:lang w:eastAsia="en-ZW"/>
        </w:rPr>
        <w:t>provides that</w:t>
      </w:r>
      <w:r w:rsidR="00AA32B1">
        <w:rPr>
          <w:rFonts w:ascii="Times New Roman" w:eastAsia="Times New Roman" w:hAnsi="Times New Roman" w:cs="Times New Roman"/>
          <w:sz w:val="24"/>
          <w:szCs w:val="24"/>
          <w:lang w:eastAsia="en-ZW"/>
        </w:rPr>
        <w:t>:</w:t>
      </w:r>
    </w:p>
    <w:p w:rsidR="00637E4D" w:rsidRPr="0072110A" w:rsidRDefault="0072110A" w:rsidP="0072110A">
      <w:pPr>
        <w:spacing w:after="0" w:line="240" w:lineRule="auto"/>
        <w:jc w:val="both"/>
        <w:rPr>
          <w:rFonts w:ascii="Times New Roman" w:eastAsia="Times New Roman" w:hAnsi="Times New Roman" w:cs="Times New Roman"/>
          <w:lang w:eastAsia="en-ZW"/>
        </w:rPr>
      </w:pPr>
      <w:r>
        <w:rPr>
          <w:rFonts w:ascii="Times New Roman" w:eastAsia="Times New Roman" w:hAnsi="Times New Roman" w:cs="Times New Roman"/>
          <w:sz w:val="24"/>
          <w:szCs w:val="24"/>
          <w:lang w:eastAsia="en-ZW"/>
        </w:rPr>
        <w:tab/>
      </w:r>
      <w:r w:rsidR="00637E4D" w:rsidRPr="0072110A">
        <w:rPr>
          <w:rFonts w:ascii="Times New Roman" w:eastAsia="Times New Roman" w:hAnsi="Times New Roman" w:cs="Times New Roman"/>
          <w:lang w:eastAsia="en-ZW"/>
        </w:rPr>
        <w:t>“</w:t>
      </w:r>
      <w:r w:rsidR="00AA32B1" w:rsidRPr="0072110A">
        <w:rPr>
          <w:rFonts w:ascii="Times New Roman" w:eastAsia="Times New Roman" w:hAnsi="Times New Roman" w:cs="Times New Roman"/>
          <w:lang w:eastAsia="en-ZW"/>
        </w:rPr>
        <w:t xml:space="preserve">At the conclusion of the hearing or thereafter, the court may refuse the application or may grant </w:t>
      </w:r>
      <w:r>
        <w:rPr>
          <w:rFonts w:ascii="Times New Roman" w:eastAsia="Times New Roman" w:hAnsi="Times New Roman" w:cs="Times New Roman"/>
          <w:lang w:eastAsia="en-ZW"/>
        </w:rPr>
        <w:tab/>
      </w:r>
      <w:r w:rsidR="00AA32B1" w:rsidRPr="0072110A">
        <w:rPr>
          <w:rFonts w:ascii="Times New Roman" w:eastAsia="Times New Roman" w:hAnsi="Times New Roman" w:cs="Times New Roman"/>
          <w:lang w:eastAsia="en-ZW"/>
        </w:rPr>
        <w:t xml:space="preserve">the order applied for, including a provisional order, or any variation of such order or provisional </w:t>
      </w:r>
      <w:r>
        <w:rPr>
          <w:rFonts w:ascii="Times New Roman" w:eastAsia="Times New Roman" w:hAnsi="Times New Roman" w:cs="Times New Roman"/>
          <w:lang w:eastAsia="en-ZW"/>
        </w:rPr>
        <w:tab/>
      </w:r>
      <w:r w:rsidR="00AA32B1" w:rsidRPr="0072110A">
        <w:rPr>
          <w:rFonts w:ascii="Times New Roman" w:eastAsia="Times New Roman" w:hAnsi="Times New Roman" w:cs="Times New Roman"/>
          <w:lang w:eastAsia="en-ZW"/>
        </w:rPr>
        <w:t xml:space="preserve">order, whether or not general or other relief has been asked for, and may make such order as to </w:t>
      </w:r>
      <w:r>
        <w:rPr>
          <w:rFonts w:ascii="Times New Roman" w:eastAsia="Times New Roman" w:hAnsi="Times New Roman" w:cs="Times New Roman"/>
          <w:lang w:eastAsia="en-ZW"/>
        </w:rPr>
        <w:tab/>
      </w:r>
      <w:r w:rsidR="00AA32B1" w:rsidRPr="0072110A">
        <w:rPr>
          <w:rFonts w:ascii="Times New Roman" w:eastAsia="Times New Roman" w:hAnsi="Times New Roman" w:cs="Times New Roman"/>
          <w:lang w:eastAsia="en-ZW"/>
        </w:rPr>
        <w:t xml:space="preserve">costs as it thinks fit” </w:t>
      </w:r>
    </w:p>
    <w:p w:rsidR="00AA32B1" w:rsidRPr="00DD395B" w:rsidRDefault="00AA32B1" w:rsidP="009803AC">
      <w:pPr>
        <w:spacing w:before="100" w:beforeAutospacing="1" w:after="100" w:afterAutospacing="1"/>
        <w:ind w:firstLine="720"/>
        <w:jc w:val="both"/>
        <w:rPr>
          <w:rFonts w:ascii="Times New Roman" w:eastAsia="Times New Roman" w:hAnsi="Times New Roman" w:cs="Times New Roman"/>
          <w:sz w:val="24"/>
          <w:szCs w:val="24"/>
          <w:lang w:eastAsia="en-ZW"/>
        </w:rPr>
      </w:pPr>
      <w:r>
        <w:rPr>
          <w:rFonts w:ascii="Times New Roman" w:eastAsia="Times New Roman" w:hAnsi="Times New Roman" w:cs="Times New Roman"/>
          <w:sz w:val="24"/>
          <w:szCs w:val="24"/>
          <w:lang w:eastAsia="en-ZW"/>
        </w:rPr>
        <w:t xml:space="preserve">In </w:t>
      </w:r>
      <w:r w:rsidRPr="00AA32B1">
        <w:rPr>
          <w:rFonts w:ascii="Times New Roman" w:eastAsia="Times New Roman" w:hAnsi="Times New Roman" w:cs="Times New Roman"/>
          <w:i/>
          <w:sz w:val="24"/>
          <w:szCs w:val="24"/>
          <w:lang w:eastAsia="en-ZW"/>
        </w:rPr>
        <w:t xml:space="preserve">Qingsham Investments (Pvt) Ltd </w:t>
      </w:r>
      <w:r w:rsidRPr="0072110A">
        <w:rPr>
          <w:rFonts w:ascii="Times New Roman" w:eastAsia="Times New Roman" w:hAnsi="Times New Roman" w:cs="Times New Roman"/>
          <w:sz w:val="24"/>
          <w:szCs w:val="24"/>
          <w:lang w:eastAsia="en-ZW"/>
        </w:rPr>
        <w:t>v</w:t>
      </w:r>
      <w:r w:rsidRPr="00AA32B1">
        <w:rPr>
          <w:rFonts w:ascii="Times New Roman" w:eastAsia="Times New Roman" w:hAnsi="Times New Roman" w:cs="Times New Roman"/>
          <w:i/>
          <w:sz w:val="24"/>
          <w:szCs w:val="24"/>
          <w:lang w:eastAsia="en-ZW"/>
        </w:rPr>
        <w:t xml:space="preserve"> ZIMRA</w:t>
      </w:r>
      <w:r>
        <w:rPr>
          <w:rStyle w:val="FootnoteReference"/>
          <w:rFonts w:ascii="Times New Roman" w:eastAsia="Times New Roman" w:hAnsi="Times New Roman" w:cs="Times New Roman"/>
          <w:sz w:val="24"/>
          <w:szCs w:val="24"/>
          <w:lang w:eastAsia="en-ZW"/>
        </w:rPr>
        <w:footnoteReference w:id="7"/>
      </w:r>
      <w:r w:rsidR="00DD395B">
        <w:rPr>
          <w:rFonts w:ascii="Times New Roman" w:eastAsia="Times New Roman" w:hAnsi="Times New Roman" w:cs="Times New Roman"/>
          <w:i/>
          <w:sz w:val="24"/>
          <w:szCs w:val="24"/>
          <w:lang w:eastAsia="en-ZW"/>
        </w:rPr>
        <w:t xml:space="preserve">, </w:t>
      </w:r>
      <w:r w:rsidR="00DD395B" w:rsidRPr="0072110A">
        <w:rPr>
          <w:rFonts w:ascii="Times New Roman" w:eastAsia="Times New Roman" w:hAnsi="Times New Roman" w:cs="Times New Roman"/>
          <w:smallCaps/>
          <w:sz w:val="24"/>
          <w:szCs w:val="24"/>
          <w:lang w:eastAsia="en-ZW"/>
        </w:rPr>
        <w:t>Chigumba J</w:t>
      </w:r>
      <w:r w:rsidR="00DD395B">
        <w:rPr>
          <w:rFonts w:ascii="Times New Roman" w:eastAsia="Times New Roman" w:hAnsi="Times New Roman" w:cs="Times New Roman"/>
          <w:sz w:val="24"/>
          <w:szCs w:val="24"/>
          <w:lang w:eastAsia="en-ZW"/>
        </w:rPr>
        <w:t xml:space="preserve"> said of rule 240:</w:t>
      </w:r>
    </w:p>
    <w:p w:rsidR="00AA32B1" w:rsidRPr="00DC365F" w:rsidRDefault="00DD395B" w:rsidP="0072110A">
      <w:pPr>
        <w:spacing w:after="0"/>
        <w:ind w:left="720"/>
        <w:jc w:val="both"/>
        <w:rPr>
          <w:rFonts w:ascii="Times New Roman" w:hAnsi="Times New Roman"/>
          <w:sz w:val="20"/>
          <w:szCs w:val="20"/>
        </w:rPr>
      </w:pPr>
      <w:r w:rsidRPr="00DC365F">
        <w:rPr>
          <w:rFonts w:ascii="Times New Roman" w:hAnsi="Times New Roman"/>
          <w:sz w:val="20"/>
          <w:szCs w:val="20"/>
        </w:rPr>
        <w:t>“</w:t>
      </w:r>
      <w:r w:rsidR="00AA32B1" w:rsidRPr="00DC365F">
        <w:rPr>
          <w:rFonts w:ascii="Times New Roman" w:hAnsi="Times New Roman"/>
          <w:sz w:val="20"/>
          <w:szCs w:val="20"/>
        </w:rPr>
        <w:t>We accept that we have the discretion conferred in terms of r 240 of the rules of this court to change the terms of the relief sought so this preliminary point, although it is upheld, i</w:t>
      </w:r>
      <w:r w:rsidRPr="00DC365F">
        <w:rPr>
          <w:rFonts w:ascii="Times New Roman" w:hAnsi="Times New Roman"/>
          <w:sz w:val="20"/>
          <w:szCs w:val="20"/>
        </w:rPr>
        <w:t>s</w:t>
      </w:r>
      <w:r w:rsidR="00AA32B1" w:rsidRPr="00DC365F">
        <w:rPr>
          <w:rFonts w:ascii="Times New Roman" w:hAnsi="Times New Roman"/>
          <w:sz w:val="20"/>
          <w:szCs w:val="20"/>
        </w:rPr>
        <w:t xml:space="preserve"> not necessarily fatal to the application before us. It goes to the question of urgency, and not to the merits of the application</w:t>
      </w:r>
      <w:r w:rsidR="00AA32B1" w:rsidRPr="00DC365F">
        <w:rPr>
          <w:rStyle w:val="FootnoteReference"/>
          <w:rFonts w:ascii="Times New Roman" w:hAnsi="Times New Roman"/>
          <w:sz w:val="20"/>
          <w:szCs w:val="20"/>
        </w:rPr>
        <w:footnoteReference w:id="8"/>
      </w:r>
      <w:r w:rsidR="00AA32B1" w:rsidRPr="00DC365F">
        <w:rPr>
          <w:rFonts w:ascii="Times New Roman" w:hAnsi="Times New Roman"/>
          <w:sz w:val="20"/>
          <w:szCs w:val="20"/>
        </w:rPr>
        <w:t>.</w:t>
      </w:r>
    </w:p>
    <w:p w:rsidR="00AA32B1" w:rsidRDefault="00AA32B1" w:rsidP="0072110A">
      <w:pPr>
        <w:spacing w:after="0" w:line="360" w:lineRule="auto"/>
        <w:ind w:firstLine="720"/>
        <w:jc w:val="both"/>
        <w:rPr>
          <w:rFonts w:ascii="Times New Roman" w:eastAsia="Times New Roman" w:hAnsi="Times New Roman" w:cs="Times New Roman"/>
          <w:sz w:val="24"/>
          <w:szCs w:val="24"/>
          <w:lang w:eastAsia="en-ZW"/>
        </w:rPr>
      </w:pPr>
      <w:r>
        <w:rPr>
          <w:rFonts w:ascii="Times New Roman" w:eastAsia="Times New Roman" w:hAnsi="Times New Roman" w:cs="Times New Roman"/>
          <w:sz w:val="24"/>
          <w:szCs w:val="24"/>
          <w:lang w:eastAsia="en-ZW"/>
        </w:rPr>
        <w:lastRenderedPageBreak/>
        <w:t>I agree that it is entirely within the discretion of the judge to grant an order with appropriate modifications should that be necessary</w:t>
      </w:r>
      <w:r w:rsidR="00932E6F">
        <w:rPr>
          <w:rStyle w:val="FootnoteReference"/>
          <w:rFonts w:ascii="Times New Roman" w:eastAsia="Times New Roman" w:hAnsi="Times New Roman" w:cs="Times New Roman"/>
          <w:sz w:val="24"/>
          <w:szCs w:val="24"/>
          <w:lang w:eastAsia="en-ZW"/>
        </w:rPr>
        <w:footnoteReference w:id="9"/>
      </w:r>
      <w:r>
        <w:rPr>
          <w:rFonts w:ascii="Times New Roman" w:eastAsia="Times New Roman" w:hAnsi="Times New Roman" w:cs="Times New Roman"/>
          <w:sz w:val="24"/>
          <w:szCs w:val="24"/>
          <w:lang w:eastAsia="en-ZW"/>
        </w:rPr>
        <w:t>.</w:t>
      </w:r>
      <w:r w:rsidR="00D52794">
        <w:rPr>
          <w:rFonts w:ascii="Times New Roman" w:eastAsia="Times New Roman" w:hAnsi="Times New Roman" w:cs="Times New Roman"/>
          <w:sz w:val="24"/>
          <w:szCs w:val="24"/>
          <w:lang w:eastAsia="en-ZW"/>
        </w:rPr>
        <w:t xml:space="preserve"> The preliminary objection is accordingly dismissed. </w:t>
      </w:r>
    </w:p>
    <w:p w:rsidR="00637E4D" w:rsidRDefault="00D52794" w:rsidP="0072110A">
      <w:pPr>
        <w:spacing w:after="0" w:line="360" w:lineRule="auto"/>
        <w:ind w:firstLine="720"/>
        <w:jc w:val="both"/>
        <w:rPr>
          <w:rFonts w:ascii="Times New Roman" w:eastAsia="Times New Roman" w:hAnsi="Times New Roman" w:cs="Times New Roman"/>
          <w:sz w:val="24"/>
          <w:szCs w:val="24"/>
          <w:lang w:eastAsia="en-ZW"/>
        </w:rPr>
      </w:pPr>
      <w:r>
        <w:rPr>
          <w:rFonts w:ascii="Times New Roman" w:eastAsia="Times New Roman" w:hAnsi="Times New Roman" w:cs="Times New Roman"/>
          <w:sz w:val="24"/>
          <w:szCs w:val="24"/>
          <w:lang w:eastAsia="en-ZW"/>
        </w:rPr>
        <w:t xml:space="preserve">I find that there is no merit in all the preliminary objections raised and the matter should proceed to be argued on the merits. </w:t>
      </w:r>
      <w:r w:rsidR="00637E4D">
        <w:rPr>
          <w:rFonts w:ascii="Times New Roman" w:eastAsia="Times New Roman" w:hAnsi="Times New Roman" w:cs="Times New Roman"/>
          <w:sz w:val="24"/>
          <w:szCs w:val="24"/>
          <w:lang w:eastAsia="en-ZW"/>
        </w:rPr>
        <w:tab/>
      </w:r>
    </w:p>
    <w:p w:rsidR="008222F8" w:rsidRDefault="008222F8" w:rsidP="0072110A">
      <w:pPr>
        <w:spacing w:after="0" w:line="360" w:lineRule="auto"/>
        <w:ind w:firstLine="720"/>
        <w:jc w:val="both"/>
        <w:rPr>
          <w:rFonts w:ascii="Times New Roman" w:eastAsia="Times New Roman" w:hAnsi="Times New Roman" w:cs="Times New Roman"/>
          <w:sz w:val="24"/>
          <w:szCs w:val="24"/>
          <w:lang w:eastAsia="en-ZW"/>
        </w:rPr>
      </w:pPr>
    </w:p>
    <w:p w:rsidR="008222F8" w:rsidRDefault="008222F8" w:rsidP="0072110A">
      <w:pPr>
        <w:spacing w:after="0" w:line="360" w:lineRule="auto"/>
        <w:ind w:firstLine="720"/>
        <w:jc w:val="both"/>
        <w:rPr>
          <w:rFonts w:ascii="Times New Roman" w:eastAsia="Times New Roman" w:hAnsi="Times New Roman" w:cs="Times New Roman"/>
          <w:sz w:val="24"/>
          <w:szCs w:val="24"/>
          <w:lang w:eastAsia="en-ZW"/>
        </w:rPr>
      </w:pPr>
    </w:p>
    <w:p w:rsidR="008222F8" w:rsidRPr="009803AC" w:rsidRDefault="008222F8" w:rsidP="0072110A">
      <w:pPr>
        <w:spacing w:after="0" w:line="360" w:lineRule="auto"/>
        <w:ind w:firstLine="720"/>
        <w:jc w:val="both"/>
        <w:rPr>
          <w:rFonts w:ascii="Times New Roman" w:eastAsia="Times New Roman" w:hAnsi="Times New Roman" w:cs="Times New Roman"/>
          <w:sz w:val="24"/>
          <w:szCs w:val="24"/>
          <w:lang w:eastAsia="en-ZW"/>
        </w:rPr>
      </w:pPr>
    </w:p>
    <w:p w:rsidR="00B10942" w:rsidRDefault="00D52794" w:rsidP="008222F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Farai &amp; Associates</w:t>
      </w:r>
      <w:r w:rsidR="00B10942">
        <w:rPr>
          <w:rFonts w:ascii="Times New Roman" w:hAnsi="Times New Roman" w:cs="Times New Roman"/>
          <w:sz w:val="24"/>
          <w:szCs w:val="24"/>
        </w:rPr>
        <w:t>, applicant’s legal practitioners</w:t>
      </w:r>
    </w:p>
    <w:p w:rsidR="00B10942" w:rsidRDefault="00B10942" w:rsidP="008222F8">
      <w:pPr>
        <w:pStyle w:val="ListParagraph"/>
        <w:spacing w:after="0" w:line="240" w:lineRule="auto"/>
        <w:ind w:left="0"/>
        <w:jc w:val="both"/>
        <w:rPr>
          <w:rFonts w:ascii="Times New Roman" w:hAnsi="Times New Roman" w:cs="Times New Roman"/>
          <w:sz w:val="24"/>
          <w:szCs w:val="24"/>
        </w:rPr>
      </w:pPr>
      <w:r w:rsidRPr="00B10942">
        <w:rPr>
          <w:rFonts w:ascii="Times New Roman" w:hAnsi="Times New Roman" w:cs="Times New Roman"/>
          <w:i/>
          <w:sz w:val="24"/>
          <w:szCs w:val="24"/>
        </w:rPr>
        <w:t>Mu</w:t>
      </w:r>
      <w:r w:rsidR="00D52794">
        <w:rPr>
          <w:rFonts w:ascii="Times New Roman" w:hAnsi="Times New Roman" w:cs="Times New Roman"/>
          <w:i/>
          <w:sz w:val="24"/>
          <w:szCs w:val="24"/>
        </w:rPr>
        <w:t xml:space="preserve">tatu </w:t>
      </w:r>
      <w:r w:rsidRPr="00B10942">
        <w:rPr>
          <w:rFonts w:ascii="Times New Roman" w:hAnsi="Times New Roman" w:cs="Times New Roman"/>
          <w:i/>
          <w:sz w:val="24"/>
          <w:szCs w:val="24"/>
        </w:rPr>
        <w:t>&amp;</w:t>
      </w:r>
      <w:r w:rsidR="00D52794">
        <w:rPr>
          <w:rFonts w:ascii="Times New Roman" w:hAnsi="Times New Roman" w:cs="Times New Roman"/>
          <w:i/>
          <w:sz w:val="24"/>
          <w:szCs w:val="24"/>
        </w:rPr>
        <w:t xml:space="preserve"> Partners, 1</w:t>
      </w:r>
      <w:r w:rsidR="00D52794" w:rsidRPr="00D52794">
        <w:rPr>
          <w:rFonts w:ascii="Times New Roman" w:hAnsi="Times New Roman" w:cs="Times New Roman"/>
          <w:i/>
          <w:sz w:val="24"/>
          <w:szCs w:val="24"/>
          <w:vertAlign w:val="superscript"/>
        </w:rPr>
        <w:t>st</w:t>
      </w:r>
      <w:r w:rsidR="00D52794">
        <w:rPr>
          <w:rFonts w:ascii="Times New Roman" w:hAnsi="Times New Roman" w:cs="Times New Roman"/>
          <w:i/>
          <w:sz w:val="24"/>
          <w:szCs w:val="24"/>
        </w:rPr>
        <w:t xml:space="preserve"> </w:t>
      </w:r>
      <w:r>
        <w:rPr>
          <w:rFonts w:ascii="Times New Roman" w:hAnsi="Times New Roman" w:cs="Times New Roman"/>
          <w:sz w:val="24"/>
          <w:szCs w:val="24"/>
        </w:rPr>
        <w:t>respondent’s legal practitioners</w:t>
      </w:r>
    </w:p>
    <w:p w:rsidR="009F57AD" w:rsidRPr="0000054D" w:rsidRDefault="00D52794" w:rsidP="008222F8">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i/>
          <w:sz w:val="24"/>
          <w:szCs w:val="24"/>
        </w:rPr>
        <w:t>Scanlen &amp; Holderness</w:t>
      </w:r>
      <w:r w:rsidR="00B10942">
        <w:rPr>
          <w:rFonts w:ascii="Times New Roman" w:hAnsi="Times New Roman" w:cs="Times New Roman"/>
          <w:sz w:val="24"/>
          <w:szCs w:val="24"/>
        </w:rPr>
        <w:t xml:space="preserve">, </w:t>
      </w:r>
      <w:r>
        <w:rPr>
          <w:rFonts w:ascii="Times New Roman" w:hAnsi="Times New Roman" w:cs="Times New Roman"/>
          <w:sz w:val="24"/>
          <w:szCs w:val="24"/>
        </w:rPr>
        <w:t>3</w:t>
      </w:r>
      <w:r w:rsidRPr="00D52794">
        <w:rPr>
          <w:rFonts w:ascii="Times New Roman" w:hAnsi="Times New Roman" w:cs="Times New Roman"/>
          <w:sz w:val="24"/>
          <w:szCs w:val="24"/>
          <w:vertAlign w:val="superscript"/>
        </w:rPr>
        <w:t>rd</w:t>
      </w:r>
      <w:r>
        <w:rPr>
          <w:rFonts w:ascii="Times New Roman" w:hAnsi="Times New Roman" w:cs="Times New Roman"/>
          <w:sz w:val="24"/>
          <w:szCs w:val="24"/>
        </w:rPr>
        <w:t xml:space="preserve"> &amp; </w:t>
      </w:r>
      <w:r w:rsidR="00B10942">
        <w:rPr>
          <w:rFonts w:ascii="Times New Roman" w:hAnsi="Times New Roman" w:cs="Times New Roman"/>
          <w:sz w:val="24"/>
          <w:szCs w:val="24"/>
        </w:rPr>
        <w:t>4</w:t>
      </w:r>
      <w:r w:rsidR="00B10942" w:rsidRPr="00B10942">
        <w:rPr>
          <w:rFonts w:ascii="Times New Roman" w:hAnsi="Times New Roman" w:cs="Times New Roman"/>
          <w:sz w:val="24"/>
          <w:szCs w:val="24"/>
          <w:vertAlign w:val="superscript"/>
        </w:rPr>
        <w:t>th</w:t>
      </w:r>
      <w:r w:rsidR="00B10942">
        <w:rPr>
          <w:rFonts w:ascii="Times New Roman" w:hAnsi="Times New Roman" w:cs="Times New Roman"/>
          <w:sz w:val="24"/>
          <w:szCs w:val="24"/>
        </w:rPr>
        <w:t xml:space="preserve"> respondent</w:t>
      </w:r>
      <w:r>
        <w:rPr>
          <w:rFonts w:ascii="Times New Roman" w:hAnsi="Times New Roman" w:cs="Times New Roman"/>
          <w:sz w:val="24"/>
          <w:szCs w:val="24"/>
        </w:rPr>
        <w:t>s</w:t>
      </w:r>
      <w:r w:rsidR="00B10942">
        <w:rPr>
          <w:rFonts w:ascii="Times New Roman" w:hAnsi="Times New Roman" w:cs="Times New Roman"/>
          <w:sz w:val="24"/>
          <w:szCs w:val="24"/>
        </w:rPr>
        <w:t>’</w:t>
      </w:r>
      <w:r>
        <w:rPr>
          <w:rFonts w:ascii="Times New Roman" w:hAnsi="Times New Roman" w:cs="Times New Roman"/>
          <w:sz w:val="24"/>
          <w:szCs w:val="24"/>
        </w:rPr>
        <w:t xml:space="preserve"> </w:t>
      </w:r>
      <w:r w:rsidR="00B10942">
        <w:rPr>
          <w:rFonts w:ascii="Times New Roman" w:hAnsi="Times New Roman" w:cs="Times New Roman"/>
          <w:sz w:val="24"/>
          <w:szCs w:val="24"/>
        </w:rPr>
        <w:t xml:space="preserve">legal practitioners </w:t>
      </w:r>
    </w:p>
    <w:sectPr w:rsidR="009F57AD" w:rsidRPr="0000054D" w:rsidSect="007E08E5">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E4D" w:rsidRDefault="00F60E4D" w:rsidP="0000054D">
      <w:pPr>
        <w:spacing w:after="0" w:line="240" w:lineRule="auto"/>
      </w:pPr>
      <w:r>
        <w:separator/>
      </w:r>
    </w:p>
  </w:endnote>
  <w:endnote w:type="continuationSeparator" w:id="0">
    <w:p w:rsidR="00F60E4D" w:rsidRDefault="00F60E4D" w:rsidP="00000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E4D" w:rsidRDefault="00F60E4D" w:rsidP="0000054D">
      <w:pPr>
        <w:spacing w:after="0" w:line="240" w:lineRule="auto"/>
      </w:pPr>
      <w:r>
        <w:separator/>
      </w:r>
    </w:p>
  </w:footnote>
  <w:footnote w:type="continuationSeparator" w:id="0">
    <w:p w:rsidR="00F60E4D" w:rsidRDefault="00F60E4D" w:rsidP="0000054D">
      <w:pPr>
        <w:spacing w:after="0" w:line="240" w:lineRule="auto"/>
      </w:pPr>
      <w:r>
        <w:continuationSeparator/>
      </w:r>
    </w:p>
  </w:footnote>
  <w:footnote w:id="1">
    <w:p w:rsidR="003C516F" w:rsidRPr="006F55B6" w:rsidRDefault="003C516F">
      <w:pPr>
        <w:pStyle w:val="FootnoteText"/>
        <w:rPr>
          <w:lang w:val="en-ZW"/>
        </w:rPr>
      </w:pPr>
      <w:r>
        <w:rPr>
          <w:rStyle w:val="FootnoteReference"/>
        </w:rPr>
        <w:footnoteRef/>
      </w:r>
      <w:r>
        <w:t xml:space="preserve"> </w:t>
      </w:r>
      <w:r>
        <w:rPr>
          <w:lang w:val="en-ZW"/>
        </w:rPr>
        <w:t>[</w:t>
      </w:r>
      <w:r w:rsidRPr="006F55B6">
        <w:rPr>
          <w:i/>
          <w:lang w:val="en-ZW"/>
        </w:rPr>
        <w:t>Chapter 29:15</w:t>
      </w:r>
      <w:r>
        <w:rPr>
          <w:lang w:val="en-ZW"/>
        </w:rPr>
        <w:t>]</w:t>
      </w:r>
    </w:p>
  </w:footnote>
  <w:footnote w:id="2">
    <w:p w:rsidR="003C516F" w:rsidRPr="00AB3ABB" w:rsidRDefault="003C516F">
      <w:pPr>
        <w:pStyle w:val="FootnoteText"/>
        <w:rPr>
          <w:lang w:val="en-ZW"/>
        </w:rPr>
      </w:pPr>
      <w:r>
        <w:rPr>
          <w:rStyle w:val="FootnoteReference"/>
        </w:rPr>
        <w:footnoteRef/>
      </w:r>
      <w:r>
        <w:t xml:space="preserve"> SC-43/13 at page 14 of the judgment.</w:t>
      </w:r>
    </w:p>
  </w:footnote>
  <w:footnote w:id="3">
    <w:p w:rsidR="003C516F" w:rsidRPr="00F93F31" w:rsidRDefault="003C516F">
      <w:pPr>
        <w:pStyle w:val="FootnoteText"/>
        <w:rPr>
          <w:lang w:val="en-ZW"/>
        </w:rPr>
      </w:pPr>
      <w:r>
        <w:rPr>
          <w:rStyle w:val="FootnoteReference"/>
        </w:rPr>
        <w:footnoteRef/>
      </w:r>
      <w:r>
        <w:t xml:space="preserve"> </w:t>
      </w:r>
      <w:r>
        <w:rPr>
          <w:lang w:val="en-ZW"/>
        </w:rPr>
        <w:t>Statutory Instrument 101 of 2005.</w:t>
      </w:r>
    </w:p>
  </w:footnote>
  <w:footnote w:id="4">
    <w:p w:rsidR="008446E8" w:rsidRPr="008446E8" w:rsidRDefault="008446E8">
      <w:pPr>
        <w:pStyle w:val="FootnoteText"/>
        <w:rPr>
          <w:lang w:val="en-ZW"/>
        </w:rPr>
      </w:pPr>
      <w:r>
        <w:rPr>
          <w:rStyle w:val="FootnoteReference"/>
        </w:rPr>
        <w:footnoteRef/>
      </w:r>
      <w:r>
        <w:t xml:space="preserve"> </w:t>
      </w:r>
      <w:r>
        <w:rPr>
          <w:lang w:val="en-ZW"/>
        </w:rPr>
        <w:t>SC-68/17</w:t>
      </w:r>
    </w:p>
  </w:footnote>
  <w:footnote w:id="5">
    <w:p w:rsidR="00C363C0" w:rsidRPr="00C363C0" w:rsidRDefault="00C363C0">
      <w:pPr>
        <w:pStyle w:val="FootnoteText"/>
        <w:rPr>
          <w:lang w:val="en-ZW"/>
        </w:rPr>
      </w:pPr>
      <w:r>
        <w:rPr>
          <w:rStyle w:val="FootnoteReference"/>
        </w:rPr>
        <w:footnoteRef/>
      </w:r>
      <w:r>
        <w:t xml:space="preserve"> </w:t>
      </w:r>
      <w:r>
        <w:rPr>
          <w:lang w:val="en-ZW"/>
        </w:rPr>
        <w:t xml:space="preserve">Page 13 of the judgment </w:t>
      </w:r>
    </w:p>
  </w:footnote>
  <w:footnote w:id="6">
    <w:p w:rsidR="00C0489F" w:rsidRPr="00C0489F" w:rsidRDefault="00C0489F">
      <w:pPr>
        <w:pStyle w:val="FootnoteText"/>
        <w:rPr>
          <w:lang w:val="en-ZW"/>
        </w:rPr>
      </w:pPr>
      <w:r>
        <w:rPr>
          <w:rStyle w:val="FootnoteReference"/>
        </w:rPr>
        <w:footnoteRef/>
      </w:r>
      <w:r>
        <w:t xml:space="preserve"> </w:t>
      </w:r>
      <w:r>
        <w:rPr>
          <w:lang w:val="en-ZW"/>
        </w:rPr>
        <w:t>Makarudze &amp; Ano v Bungu &amp; Ors 2015 (1) ZLR 15 (H)</w:t>
      </w:r>
    </w:p>
  </w:footnote>
  <w:footnote w:id="7">
    <w:p w:rsidR="00AA32B1" w:rsidRPr="00AA32B1" w:rsidRDefault="00AA32B1">
      <w:pPr>
        <w:pStyle w:val="FootnoteText"/>
        <w:rPr>
          <w:lang w:val="en-ZW"/>
        </w:rPr>
      </w:pPr>
      <w:r>
        <w:rPr>
          <w:rStyle w:val="FootnoteReference"/>
        </w:rPr>
        <w:footnoteRef/>
      </w:r>
      <w:r>
        <w:t xml:space="preserve"> </w:t>
      </w:r>
      <w:r>
        <w:rPr>
          <w:lang w:val="en-ZW"/>
        </w:rPr>
        <w:t>HH-207/17</w:t>
      </w:r>
    </w:p>
  </w:footnote>
  <w:footnote w:id="8">
    <w:p w:rsidR="00AA32B1" w:rsidRPr="00AA32B1" w:rsidRDefault="00AA32B1">
      <w:pPr>
        <w:pStyle w:val="FootnoteText"/>
        <w:rPr>
          <w:lang w:val="en-ZW"/>
        </w:rPr>
      </w:pPr>
      <w:r>
        <w:rPr>
          <w:rStyle w:val="FootnoteReference"/>
        </w:rPr>
        <w:footnoteRef/>
      </w:r>
      <w:r>
        <w:t xml:space="preserve"> </w:t>
      </w:r>
      <w:r>
        <w:rPr>
          <w:lang w:val="en-ZW"/>
        </w:rPr>
        <w:t>At page 5 of the judgment.</w:t>
      </w:r>
    </w:p>
  </w:footnote>
  <w:footnote w:id="9">
    <w:p w:rsidR="00932E6F" w:rsidRPr="00932E6F" w:rsidRDefault="00932E6F">
      <w:pPr>
        <w:pStyle w:val="FootnoteText"/>
        <w:rPr>
          <w:lang w:val="en-ZW"/>
        </w:rPr>
      </w:pPr>
      <w:r>
        <w:rPr>
          <w:rStyle w:val="FootnoteReference"/>
        </w:rPr>
        <w:footnoteRef/>
      </w:r>
      <w:r>
        <w:t xml:space="preserve"> </w:t>
      </w:r>
      <w:r>
        <w:rPr>
          <w:lang w:val="en-ZW"/>
        </w:rPr>
        <w:t>See also Econet Wireless (Pvt) Ltd v Trustco Mobile (Proprietary) Ltd &amp; Another SC-43/13 at page 16.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6397205"/>
      <w:docPartObj>
        <w:docPartGallery w:val="Page Numbers (Top of Page)"/>
        <w:docPartUnique/>
      </w:docPartObj>
    </w:sdtPr>
    <w:sdtEndPr>
      <w:rPr>
        <w:rFonts w:ascii="Times New Roman" w:hAnsi="Times New Roman" w:cs="Times New Roman"/>
        <w:noProof/>
        <w:sz w:val="24"/>
        <w:szCs w:val="24"/>
      </w:rPr>
    </w:sdtEndPr>
    <w:sdtContent>
      <w:p w:rsidR="003C516F" w:rsidRPr="0000054D" w:rsidRDefault="003C516F">
        <w:pPr>
          <w:pStyle w:val="Header"/>
          <w:jc w:val="right"/>
          <w:rPr>
            <w:rFonts w:ascii="Times New Roman" w:hAnsi="Times New Roman" w:cs="Times New Roman"/>
            <w:noProof/>
            <w:sz w:val="24"/>
            <w:szCs w:val="24"/>
          </w:rPr>
        </w:pPr>
        <w:r w:rsidRPr="0000054D">
          <w:rPr>
            <w:rFonts w:ascii="Times New Roman" w:hAnsi="Times New Roman" w:cs="Times New Roman"/>
            <w:sz w:val="24"/>
            <w:szCs w:val="24"/>
          </w:rPr>
          <w:fldChar w:fldCharType="begin"/>
        </w:r>
        <w:r w:rsidRPr="0000054D">
          <w:rPr>
            <w:rFonts w:ascii="Times New Roman" w:hAnsi="Times New Roman" w:cs="Times New Roman"/>
            <w:sz w:val="24"/>
            <w:szCs w:val="24"/>
          </w:rPr>
          <w:instrText xml:space="preserve"> PAGE   \* MERGEFORMAT </w:instrText>
        </w:r>
        <w:r w:rsidRPr="0000054D">
          <w:rPr>
            <w:rFonts w:ascii="Times New Roman" w:hAnsi="Times New Roman" w:cs="Times New Roman"/>
            <w:sz w:val="24"/>
            <w:szCs w:val="24"/>
          </w:rPr>
          <w:fldChar w:fldCharType="separate"/>
        </w:r>
        <w:r w:rsidR="00A37767">
          <w:rPr>
            <w:rFonts w:ascii="Times New Roman" w:hAnsi="Times New Roman" w:cs="Times New Roman"/>
            <w:noProof/>
            <w:sz w:val="24"/>
            <w:szCs w:val="24"/>
          </w:rPr>
          <w:t>2</w:t>
        </w:r>
        <w:r w:rsidRPr="0000054D">
          <w:rPr>
            <w:rFonts w:ascii="Times New Roman" w:hAnsi="Times New Roman" w:cs="Times New Roman"/>
            <w:noProof/>
            <w:sz w:val="24"/>
            <w:szCs w:val="24"/>
          </w:rPr>
          <w:fldChar w:fldCharType="end"/>
        </w:r>
      </w:p>
      <w:p w:rsidR="003C516F" w:rsidRPr="0000054D" w:rsidRDefault="003C516F">
        <w:pPr>
          <w:pStyle w:val="Header"/>
          <w:jc w:val="right"/>
          <w:rPr>
            <w:rFonts w:ascii="Times New Roman" w:hAnsi="Times New Roman" w:cs="Times New Roman"/>
            <w:noProof/>
            <w:sz w:val="24"/>
            <w:szCs w:val="24"/>
          </w:rPr>
        </w:pPr>
        <w:r w:rsidRPr="0000054D">
          <w:rPr>
            <w:rFonts w:ascii="Times New Roman" w:hAnsi="Times New Roman" w:cs="Times New Roman"/>
            <w:noProof/>
            <w:sz w:val="24"/>
            <w:szCs w:val="24"/>
          </w:rPr>
          <w:t>HH</w:t>
        </w:r>
        <w:r w:rsidR="00834347">
          <w:rPr>
            <w:rFonts w:ascii="Times New Roman" w:hAnsi="Times New Roman" w:cs="Times New Roman"/>
            <w:noProof/>
            <w:sz w:val="24"/>
            <w:szCs w:val="24"/>
          </w:rPr>
          <w:t xml:space="preserve"> 36-20</w:t>
        </w:r>
      </w:p>
      <w:p w:rsidR="003C516F" w:rsidRPr="0000054D" w:rsidRDefault="003C516F">
        <w:pPr>
          <w:pStyle w:val="Header"/>
          <w:jc w:val="right"/>
          <w:rPr>
            <w:rFonts w:ascii="Times New Roman" w:hAnsi="Times New Roman" w:cs="Times New Roman"/>
            <w:sz w:val="24"/>
            <w:szCs w:val="24"/>
          </w:rPr>
        </w:pPr>
        <w:r w:rsidRPr="0000054D">
          <w:rPr>
            <w:rFonts w:ascii="Times New Roman" w:hAnsi="Times New Roman" w:cs="Times New Roman"/>
            <w:noProof/>
            <w:sz w:val="24"/>
            <w:szCs w:val="24"/>
          </w:rPr>
          <w:t>HC 1</w:t>
        </w:r>
        <w:r>
          <w:rPr>
            <w:rFonts w:ascii="Times New Roman" w:hAnsi="Times New Roman" w:cs="Times New Roman"/>
            <w:noProof/>
            <w:sz w:val="24"/>
            <w:szCs w:val="24"/>
          </w:rPr>
          <w:t>0374</w:t>
        </w:r>
        <w:r w:rsidRPr="0000054D">
          <w:rPr>
            <w:rFonts w:ascii="Times New Roman" w:hAnsi="Times New Roman" w:cs="Times New Roman"/>
            <w:noProof/>
            <w:sz w:val="24"/>
            <w:szCs w:val="24"/>
          </w:rPr>
          <w:t>/1</w:t>
        </w:r>
        <w:r>
          <w:rPr>
            <w:rFonts w:ascii="Times New Roman" w:hAnsi="Times New Roman" w:cs="Times New Roman"/>
            <w:noProof/>
            <w:sz w:val="24"/>
            <w:szCs w:val="24"/>
          </w:rPr>
          <w:t>9</w:t>
        </w:r>
      </w:p>
    </w:sdtContent>
  </w:sdt>
  <w:p w:rsidR="003C516F" w:rsidRDefault="003C516F" w:rsidP="0000054D">
    <w:pPr>
      <w:pStyle w:val="Header"/>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732A5"/>
    <w:multiLevelType w:val="hybridMultilevel"/>
    <w:tmpl w:val="6C14B708"/>
    <w:lvl w:ilvl="0" w:tplc="43F2147C">
      <w:start w:val="1"/>
      <w:numFmt w:val="lowerRoman"/>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096269"/>
    <w:multiLevelType w:val="hybridMultilevel"/>
    <w:tmpl w:val="75EC7A8A"/>
    <w:lvl w:ilvl="0" w:tplc="28BC1614">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73F37A7D"/>
    <w:multiLevelType w:val="hybridMultilevel"/>
    <w:tmpl w:val="F35A7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223728"/>
    <w:multiLevelType w:val="hybridMultilevel"/>
    <w:tmpl w:val="682E1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54D"/>
    <w:rsid w:val="0000054D"/>
    <w:rsid w:val="0001570C"/>
    <w:rsid w:val="00027BFD"/>
    <w:rsid w:val="0003549B"/>
    <w:rsid w:val="0003558C"/>
    <w:rsid w:val="000652A4"/>
    <w:rsid w:val="00090D46"/>
    <w:rsid w:val="00094AC3"/>
    <w:rsid w:val="000A0D81"/>
    <w:rsid w:val="000A289D"/>
    <w:rsid w:val="000A74E3"/>
    <w:rsid w:val="000B3FE5"/>
    <w:rsid w:val="000C297E"/>
    <w:rsid w:val="000C3843"/>
    <w:rsid w:val="000C50D1"/>
    <w:rsid w:val="00127892"/>
    <w:rsid w:val="001420E9"/>
    <w:rsid w:val="00145764"/>
    <w:rsid w:val="00164780"/>
    <w:rsid w:val="00257C62"/>
    <w:rsid w:val="002712C6"/>
    <w:rsid w:val="00276B36"/>
    <w:rsid w:val="002824F6"/>
    <w:rsid w:val="00283F43"/>
    <w:rsid w:val="002A4723"/>
    <w:rsid w:val="002B6160"/>
    <w:rsid w:val="002D6688"/>
    <w:rsid w:val="003002AE"/>
    <w:rsid w:val="0033379E"/>
    <w:rsid w:val="00342E9B"/>
    <w:rsid w:val="003435A7"/>
    <w:rsid w:val="00360A4C"/>
    <w:rsid w:val="003665DD"/>
    <w:rsid w:val="003923DE"/>
    <w:rsid w:val="003C4CF6"/>
    <w:rsid w:val="003C516F"/>
    <w:rsid w:val="00412CD3"/>
    <w:rsid w:val="00415265"/>
    <w:rsid w:val="00427D93"/>
    <w:rsid w:val="00434061"/>
    <w:rsid w:val="00441C59"/>
    <w:rsid w:val="00473957"/>
    <w:rsid w:val="00480946"/>
    <w:rsid w:val="00497B15"/>
    <w:rsid w:val="004B7A0C"/>
    <w:rsid w:val="004C5DA4"/>
    <w:rsid w:val="00560B87"/>
    <w:rsid w:val="00595C10"/>
    <w:rsid w:val="005B1604"/>
    <w:rsid w:val="005D03FE"/>
    <w:rsid w:val="005D046D"/>
    <w:rsid w:val="005E09DD"/>
    <w:rsid w:val="0060607A"/>
    <w:rsid w:val="00607365"/>
    <w:rsid w:val="00637E4D"/>
    <w:rsid w:val="006911DA"/>
    <w:rsid w:val="006F1E5E"/>
    <w:rsid w:val="006F55B6"/>
    <w:rsid w:val="0072110A"/>
    <w:rsid w:val="0074061E"/>
    <w:rsid w:val="0077616D"/>
    <w:rsid w:val="00786F3E"/>
    <w:rsid w:val="00793E2D"/>
    <w:rsid w:val="007B290A"/>
    <w:rsid w:val="007E08E5"/>
    <w:rsid w:val="007E5891"/>
    <w:rsid w:val="007F5C6C"/>
    <w:rsid w:val="008222F8"/>
    <w:rsid w:val="0082391F"/>
    <w:rsid w:val="0082508C"/>
    <w:rsid w:val="008303E3"/>
    <w:rsid w:val="008308B0"/>
    <w:rsid w:val="00834347"/>
    <w:rsid w:val="00837AA0"/>
    <w:rsid w:val="008446E8"/>
    <w:rsid w:val="00876FAA"/>
    <w:rsid w:val="008D6105"/>
    <w:rsid w:val="008E7948"/>
    <w:rsid w:val="008F323D"/>
    <w:rsid w:val="008F3572"/>
    <w:rsid w:val="00932E6F"/>
    <w:rsid w:val="00955BB1"/>
    <w:rsid w:val="009803AC"/>
    <w:rsid w:val="009A0216"/>
    <w:rsid w:val="009A0AA1"/>
    <w:rsid w:val="009C0A5E"/>
    <w:rsid w:val="009C480E"/>
    <w:rsid w:val="009E0397"/>
    <w:rsid w:val="009E3A23"/>
    <w:rsid w:val="009E42EB"/>
    <w:rsid w:val="009F57AD"/>
    <w:rsid w:val="00A01289"/>
    <w:rsid w:val="00A15094"/>
    <w:rsid w:val="00A34A12"/>
    <w:rsid w:val="00A37767"/>
    <w:rsid w:val="00A405BB"/>
    <w:rsid w:val="00A941C0"/>
    <w:rsid w:val="00AA32B1"/>
    <w:rsid w:val="00AB3ABB"/>
    <w:rsid w:val="00AC7B38"/>
    <w:rsid w:val="00AD033C"/>
    <w:rsid w:val="00AE5E9F"/>
    <w:rsid w:val="00AE620C"/>
    <w:rsid w:val="00AF7640"/>
    <w:rsid w:val="00B01181"/>
    <w:rsid w:val="00B04E76"/>
    <w:rsid w:val="00B10942"/>
    <w:rsid w:val="00B47E03"/>
    <w:rsid w:val="00B6167D"/>
    <w:rsid w:val="00B65978"/>
    <w:rsid w:val="00BA2EEB"/>
    <w:rsid w:val="00BC67FB"/>
    <w:rsid w:val="00C0489F"/>
    <w:rsid w:val="00C357F6"/>
    <w:rsid w:val="00C363C0"/>
    <w:rsid w:val="00C66769"/>
    <w:rsid w:val="00C77C77"/>
    <w:rsid w:val="00CC6961"/>
    <w:rsid w:val="00CD6B9E"/>
    <w:rsid w:val="00CE3C74"/>
    <w:rsid w:val="00CE60E5"/>
    <w:rsid w:val="00CE65EF"/>
    <w:rsid w:val="00CF7A6C"/>
    <w:rsid w:val="00D05A9F"/>
    <w:rsid w:val="00D26A4D"/>
    <w:rsid w:val="00D34DEF"/>
    <w:rsid w:val="00D52794"/>
    <w:rsid w:val="00D57093"/>
    <w:rsid w:val="00D70375"/>
    <w:rsid w:val="00D80706"/>
    <w:rsid w:val="00D8319C"/>
    <w:rsid w:val="00D831CA"/>
    <w:rsid w:val="00D911E3"/>
    <w:rsid w:val="00D93ADC"/>
    <w:rsid w:val="00D97F79"/>
    <w:rsid w:val="00DA36F6"/>
    <w:rsid w:val="00DC365F"/>
    <w:rsid w:val="00DD0CAF"/>
    <w:rsid w:val="00DD395B"/>
    <w:rsid w:val="00DD6028"/>
    <w:rsid w:val="00DE410B"/>
    <w:rsid w:val="00DF17D3"/>
    <w:rsid w:val="00E15F9B"/>
    <w:rsid w:val="00E24460"/>
    <w:rsid w:val="00E2629A"/>
    <w:rsid w:val="00E458D3"/>
    <w:rsid w:val="00E53628"/>
    <w:rsid w:val="00E6012E"/>
    <w:rsid w:val="00EA47BE"/>
    <w:rsid w:val="00F10775"/>
    <w:rsid w:val="00F51D0E"/>
    <w:rsid w:val="00F60E4D"/>
    <w:rsid w:val="00F77ABC"/>
    <w:rsid w:val="00F93F31"/>
    <w:rsid w:val="00FA4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D724A3-B3C3-4955-87E7-F89F77217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5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54D"/>
  </w:style>
  <w:style w:type="paragraph" w:styleId="Footer">
    <w:name w:val="footer"/>
    <w:basedOn w:val="Normal"/>
    <w:link w:val="FooterChar"/>
    <w:uiPriority w:val="99"/>
    <w:unhideWhenUsed/>
    <w:rsid w:val="00000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54D"/>
  </w:style>
  <w:style w:type="paragraph" w:styleId="ListParagraph">
    <w:name w:val="List Paragraph"/>
    <w:basedOn w:val="Normal"/>
    <w:uiPriority w:val="34"/>
    <w:qFormat/>
    <w:rsid w:val="000B3FE5"/>
    <w:pPr>
      <w:ind w:left="720"/>
      <w:contextualSpacing/>
    </w:pPr>
  </w:style>
  <w:style w:type="paragraph" w:styleId="BalloonText">
    <w:name w:val="Balloon Text"/>
    <w:basedOn w:val="Normal"/>
    <w:link w:val="BalloonTextChar"/>
    <w:uiPriority w:val="99"/>
    <w:semiHidden/>
    <w:unhideWhenUsed/>
    <w:rsid w:val="00366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5DD"/>
    <w:rPr>
      <w:rFonts w:ascii="Tahoma" w:hAnsi="Tahoma" w:cs="Tahoma"/>
      <w:sz w:val="16"/>
      <w:szCs w:val="16"/>
    </w:rPr>
  </w:style>
  <w:style w:type="paragraph" w:styleId="FootnoteText">
    <w:name w:val="footnote text"/>
    <w:basedOn w:val="Normal"/>
    <w:link w:val="FootnoteTextChar"/>
    <w:uiPriority w:val="99"/>
    <w:semiHidden/>
    <w:unhideWhenUsed/>
    <w:rsid w:val="006F55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55B6"/>
    <w:rPr>
      <w:sz w:val="20"/>
      <w:szCs w:val="20"/>
    </w:rPr>
  </w:style>
  <w:style w:type="character" w:styleId="FootnoteReference">
    <w:name w:val="footnote reference"/>
    <w:basedOn w:val="DefaultParagraphFont"/>
    <w:uiPriority w:val="99"/>
    <w:semiHidden/>
    <w:unhideWhenUsed/>
    <w:rsid w:val="006F55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9E664-EF6C-4A93-85C2-453E9E1C3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3632</Words>
  <Characters>20707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jsc-Mujuru</dc:creator>
  <cp:lastModifiedBy>JSC</cp:lastModifiedBy>
  <cp:revision>2</cp:revision>
  <cp:lastPrinted>2020-01-10T00:08:00Z</cp:lastPrinted>
  <dcterms:created xsi:type="dcterms:W3CDTF">2020-01-16T12:14:00Z</dcterms:created>
  <dcterms:modified xsi:type="dcterms:W3CDTF">2020-01-16T12:14:00Z</dcterms:modified>
</cp:coreProperties>
</file>