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7C" w:rsidRDefault="00E8257C" w:rsidP="006C6B0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w:t>
      </w:r>
      <w:r w:rsidR="00F575A1">
        <w:rPr>
          <w:rFonts w:ascii="Times New Roman" w:hAnsi="Times New Roman" w:cs="Times New Roman"/>
          <w:sz w:val="24"/>
          <w:szCs w:val="24"/>
        </w:rPr>
        <w:t>IVINE AID</w:t>
      </w:r>
      <w:r w:rsidR="002019AC">
        <w:rPr>
          <w:rFonts w:ascii="Times New Roman" w:hAnsi="Times New Roman" w:cs="Times New Roman"/>
          <w:sz w:val="24"/>
          <w:szCs w:val="24"/>
        </w:rPr>
        <w:t xml:space="preserve"> </w:t>
      </w:r>
      <w:r w:rsidR="006370CC">
        <w:rPr>
          <w:rFonts w:ascii="Times New Roman" w:hAnsi="Times New Roman" w:cs="Times New Roman"/>
          <w:sz w:val="24"/>
          <w:szCs w:val="24"/>
        </w:rPr>
        <w:t>TRUST COMPANY</w:t>
      </w:r>
      <w:r w:rsidR="002019AC">
        <w:rPr>
          <w:rFonts w:ascii="Times New Roman" w:hAnsi="Times New Roman" w:cs="Times New Roman"/>
          <w:sz w:val="24"/>
          <w:szCs w:val="24"/>
        </w:rPr>
        <w:t xml:space="preserve"> </w:t>
      </w:r>
      <w:r w:rsidR="001D56CD">
        <w:rPr>
          <w:rFonts w:ascii="Times New Roman" w:hAnsi="Times New Roman" w:cs="Times New Roman"/>
          <w:sz w:val="24"/>
          <w:szCs w:val="24"/>
        </w:rPr>
        <w:t>(PVT) LTD</w:t>
      </w:r>
    </w:p>
    <w:p w:rsidR="00E8257C" w:rsidRDefault="006C6B0C"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8257C">
        <w:rPr>
          <w:rFonts w:ascii="Times New Roman" w:hAnsi="Times New Roman" w:cs="Times New Roman"/>
          <w:sz w:val="24"/>
          <w:szCs w:val="24"/>
        </w:rPr>
        <w:t>nd</w:t>
      </w:r>
    </w:p>
    <w:p w:rsidR="00E8257C" w:rsidRDefault="002019AC"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MISHECK KAENDEZA</w:t>
      </w:r>
    </w:p>
    <w:p w:rsidR="00E8257C" w:rsidRDefault="002019AC"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8257C" w:rsidRDefault="002019AC"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LUNA ESTATES (PVT) LTD</w:t>
      </w:r>
    </w:p>
    <w:p w:rsidR="006C6B0C" w:rsidRDefault="006C6B0C" w:rsidP="002019AC">
      <w:pPr>
        <w:spacing w:line="360" w:lineRule="auto"/>
        <w:jc w:val="both"/>
        <w:rPr>
          <w:rFonts w:ascii="Times New Roman" w:hAnsi="Times New Roman" w:cs="Times New Roman"/>
          <w:sz w:val="24"/>
          <w:szCs w:val="24"/>
        </w:rPr>
      </w:pPr>
    </w:p>
    <w:p w:rsidR="00C21BE3" w:rsidRDefault="00C21BE3"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21BE3" w:rsidRDefault="00C21BE3"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MUZOFA J </w:t>
      </w:r>
    </w:p>
    <w:p w:rsidR="00C21BE3" w:rsidRDefault="00983B90" w:rsidP="006C6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10,11 &amp; 22</w:t>
      </w:r>
      <w:r w:rsidR="00C21BE3">
        <w:rPr>
          <w:rFonts w:ascii="Times New Roman" w:hAnsi="Times New Roman" w:cs="Times New Roman"/>
          <w:sz w:val="24"/>
          <w:szCs w:val="24"/>
        </w:rPr>
        <w:t xml:space="preserve"> June 2020</w:t>
      </w:r>
    </w:p>
    <w:p w:rsidR="00C21BE3" w:rsidRDefault="00C21BE3" w:rsidP="002019AC">
      <w:pPr>
        <w:spacing w:line="360" w:lineRule="auto"/>
        <w:jc w:val="both"/>
        <w:rPr>
          <w:rFonts w:ascii="Times New Roman" w:hAnsi="Times New Roman" w:cs="Times New Roman"/>
          <w:sz w:val="24"/>
          <w:szCs w:val="24"/>
        </w:rPr>
      </w:pPr>
    </w:p>
    <w:p w:rsidR="00C21BE3" w:rsidRDefault="00C21BE3" w:rsidP="002019AC">
      <w:pPr>
        <w:spacing w:line="360" w:lineRule="auto"/>
        <w:jc w:val="both"/>
        <w:rPr>
          <w:rFonts w:ascii="Times New Roman" w:hAnsi="Times New Roman" w:cs="Times New Roman"/>
          <w:b/>
          <w:sz w:val="24"/>
          <w:szCs w:val="24"/>
        </w:rPr>
      </w:pPr>
      <w:r w:rsidRPr="00C21BE3">
        <w:rPr>
          <w:rFonts w:ascii="Times New Roman" w:hAnsi="Times New Roman" w:cs="Times New Roman"/>
          <w:b/>
          <w:sz w:val="24"/>
          <w:szCs w:val="24"/>
        </w:rPr>
        <w:t>Urgent Chamber Application</w:t>
      </w:r>
    </w:p>
    <w:p w:rsidR="006C6B0C" w:rsidRDefault="006C6B0C" w:rsidP="002019AC">
      <w:pPr>
        <w:spacing w:line="360" w:lineRule="auto"/>
        <w:jc w:val="both"/>
        <w:rPr>
          <w:rFonts w:ascii="Times New Roman" w:hAnsi="Times New Roman" w:cs="Times New Roman"/>
          <w:b/>
          <w:sz w:val="24"/>
          <w:szCs w:val="24"/>
        </w:rPr>
      </w:pPr>
    </w:p>
    <w:p w:rsidR="006C6B0C" w:rsidRPr="006C6B0C" w:rsidRDefault="000F1C85" w:rsidP="000F1C85">
      <w:pPr>
        <w:spacing w:after="0" w:line="240" w:lineRule="auto"/>
        <w:jc w:val="both"/>
        <w:rPr>
          <w:rFonts w:ascii="Times New Roman" w:hAnsi="Times New Roman" w:cs="Times New Roman"/>
          <w:sz w:val="24"/>
          <w:szCs w:val="24"/>
        </w:rPr>
      </w:pPr>
      <w:r w:rsidRPr="00A73479">
        <w:rPr>
          <w:rFonts w:ascii="Times New Roman" w:hAnsi="Times New Roman" w:cs="Times New Roman"/>
          <w:i/>
          <w:sz w:val="24"/>
          <w:szCs w:val="24"/>
        </w:rPr>
        <w:t>Mswelanto with TP Jonasi</w:t>
      </w:r>
      <w:r w:rsidRPr="006C6B0C">
        <w:rPr>
          <w:rFonts w:ascii="Times New Roman" w:hAnsi="Times New Roman" w:cs="Times New Roman"/>
          <w:sz w:val="24"/>
          <w:szCs w:val="24"/>
        </w:rPr>
        <w:t>, for</w:t>
      </w:r>
      <w:r w:rsidR="006C6B0C" w:rsidRPr="006C6B0C">
        <w:rPr>
          <w:rFonts w:ascii="Times New Roman" w:hAnsi="Times New Roman" w:cs="Times New Roman"/>
          <w:sz w:val="24"/>
          <w:szCs w:val="24"/>
        </w:rPr>
        <w:t xml:space="preserve"> the applicant</w:t>
      </w:r>
    </w:p>
    <w:p w:rsidR="006C6B0C" w:rsidRPr="006C6B0C" w:rsidRDefault="000F1C85" w:rsidP="006C6B0C">
      <w:pPr>
        <w:spacing w:after="0" w:line="240" w:lineRule="auto"/>
        <w:jc w:val="both"/>
        <w:rPr>
          <w:rFonts w:ascii="Times New Roman" w:hAnsi="Times New Roman" w:cs="Times New Roman"/>
          <w:sz w:val="24"/>
          <w:szCs w:val="24"/>
        </w:rPr>
      </w:pPr>
      <w:r w:rsidRPr="00A73479">
        <w:rPr>
          <w:rFonts w:ascii="Times New Roman" w:hAnsi="Times New Roman" w:cs="Times New Roman"/>
          <w:i/>
          <w:sz w:val="24"/>
          <w:szCs w:val="24"/>
        </w:rPr>
        <w:t>GR Sithole</w:t>
      </w:r>
      <w:r w:rsidRPr="006C6B0C">
        <w:rPr>
          <w:rFonts w:ascii="Times New Roman" w:hAnsi="Times New Roman" w:cs="Times New Roman"/>
          <w:sz w:val="24"/>
          <w:szCs w:val="24"/>
        </w:rPr>
        <w:t>, for</w:t>
      </w:r>
      <w:r w:rsidR="006C6B0C" w:rsidRPr="006C6B0C">
        <w:rPr>
          <w:rFonts w:ascii="Times New Roman" w:hAnsi="Times New Roman" w:cs="Times New Roman"/>
          <w:sz w:val="24"/>
          <w:szCs w:val="24"/>
        </w:rPr>
        <w:t xml:space="preserve"> the respondent</w:t>
      </w:r>
    </w:p>
    <w:p w:rsidR="006C6B0C" w:rsidRPr="00C21BE3" w:rsidRDefault="006C6B0C" w:rsidP="006C6B0C">
      <w:pPr>
        <w:spacing w:after="0" w:line="240" w:lineRule="auto"/>
        <w:jc w:val="both"/>
        <w:rPr>
          <w:rFonts w:ascii="Times New Roman" w:hAnsi="Times New Roman" w:cs="Times New Roman"/>
          <w:b/>
          <w:sz w:val="24"/>
          <w:szCs w:val="24"/>
        </w:rPr>
      </w:pPr>
    </w:p>
    <w:p w:rsidR="00E8257C" w:rsidRDefault="006C6B0C" w:rsidP="006C6B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MUZOFA J:</w:t>
      </w:r>
      <w:r w:rsidR="00C21BE3">
        <w:rPr>
          <w:rFonts w:ascii="Times New Roman" w:hAnsi="Times New Roman" w:cs="Times New Roman"/>
          <w:sz w:val="24"/>
          <w:szCs w:val="24"/>
        </w:rPr>
        <w:t xml:space="preserve"> </w:t>
      </w:r>
      <w:r w:rsidR="00E8257C">
        <w:rPr>
          <w:rFonts w:ascii="Times New Roman" w:hAnsi="Times New Roman" w:cs="Times New Roman"/>
          <w:sz w:val="24"/>
          <w:szCs w:val="24"/>
        </w:rPr>
        <w:t>In this urgent chamber application, the applicants seek a provisional order in the following terms:</w:t>
      </w:r>
    </w:p>
    <w:p w:rsidR="00E8257C" w:rsidRPr="00250619" w:rsidRDefault="00250619" w:rsidP="006C6B0C">
      <w:pPr>
        <w:spacing w:line="240" w:lineRule="auto"/>
        <w:ind w:firstLine="720"/>
        <w:jc w:val="both"/>
        <w:rPr>
          <w:rFonts w:ascii="Times New Roman" w:hAnsi="Times New Roman" w:cs="Times New Roman"/>
          <w:b/>
          <w:sz w:val="28"/>
          <w:szCs w:val="24"/>
        </w:rPr>
      </w:pPr>
      <w:r>
        <w:rPr>
          <w:rFonts w:ascii="Times New Roman" w:hAnsi="Times New Roman" w:cs="Times New Roman"/>
          <w:b/>
          <w:sz w:val="28"/>
          <w:szCs w:val="24"/>
          <w:u w:val="single"/>
        </w:rPr>
        <w:t>‘</w:t>
      </w:r>
      <w:r w:rsidRPr="00250619">
        <w:rPr>
          <w:rFonts w:ascii="Times New Roman" w:hAnsi="Times New Roman" w:cs="Times New Roman"/>
          <w:sz w:val="28"/>
          <w:szCs w:val="24"/>
          <w:u w:val="single"/>
        </w:rPr>
        <w:t>TERMS OF FINAL ORDER SOUGHT</w:t>
      </w:r>
      <w:r w:rsidR="00E8257C" w:rsidRPr="00250619">
        <w:rPr>
          <w:rFonts w:ascii="Times New Roman" w:hAnsi="Times New Roman" w:cs="Times New Roman"/>
          <w:b/>
          <w:sz w:val="28"/>
          <w:szCs w:val="24"/>
        </w:rPr>
        <w:t>:</w:t>
      </w:r>
    </w:p>
    <w:p w:rsidR="0090242B" w:rsidRDefault="0090242B" w:rsidP="006C6B0C">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on the following terms,</w:t>
      </w:r>
    </w:p>
    <w:p w:rsidR="0090242B" w:rsidRPr="0090242B" w:rsidRDefault="0090242B" w:rsidP="006C6B0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Respondent and all those claiming occupation through it be and are hereby interdicted from unlawfully occupying and/or interfering with operations at </w:t>
      </w:r>
      <w:r>
        <w:rPr>
          <w:rFonts w:ascii="Times New Roman" w:hAnsi="Times New Roman" w:cs="Times New Roman"/>
          <w:b/>
          <w:sz w:val="24"/>
          <w:szCs w:val="24"/>
        </w:rPr>
        <w:t xml:space="preserve">LOT 5 of Paarl measuring 2,0711 hectares, LOT 7 of Paarl measuring 1,7604 hectares, LOT 9 of Paarl measuring 1,7878 hectares, LOT 19 of Paarl measuring 1,8503 hectares, and LOT 20 of Paarl measuring 1,6960 hectares. </w:t>
      </w:r>
    </w:p>
    <w:p w:rsidR="0090242B" w:rsidRDefault="0090242B" w:rsidP="006C6B0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Respondent and all those claiming occupation through it be and are hereby interdicted from unlawfully occupying and/or interfering with operations at </w:t>
      </w:r>
      <w:r>
        <w:rPr>
          <w:rFonts w:ascii="Times New Roman" w:hAnsi="Times New Roman" w:cs="Times New Roman"/>
          <w:b/>
          <w:sz w:val="24"/>
          <w:szCs w:val="24"/>
        </w:rPr>
        <w:t>LOT 11 of Paarl measuring 1,6188 hectares.</w:t>
      </w:r>
    </w:p>
    <w:p w:rsidR="0090242B" w:rsidRPr="0090242B" w:rsidRDefault="0090242B" w:rsidP="006C6B0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Respondent pay costs of this application on an attorney-client scale. </w:t>
      </w:r>
    </w:p>
    <w:p w:rsidR="00E8257C" w:rsidRPr="00250619" w:rsidRDefault="00250619" w:rsidP="006C6B0C">
      <w:pPr>
        <w:spacing w:line="240" w:lineRule="auto"/>
        <w:ind w:firstLine="360"/>
        <w:jc w:val="both"/>
        <w:rPr>
          <w:rFonts w:ascii="Times New Roman" w:hAnsi="Times New Roman" w:cs="Times New Roman"/>
          <w:sz w:val="28"/>
          <w:szCs w:val="24"/>
          <w:u w:val="single"/>
        </w:rPr>
      </w:pPr>
      <w:r w:rsidRPr="00250619">
        <w:rPr>
          <w:rFonts w:ascii="Times New Roman" w:hAnsi="Times New Roman" w:cs="Times New Roman"/>
          <w:sz w:val="28"/>
          <w:szCs w:val="24"/>
          <w:u w:val="single"/>
        </w:rPr>
        <w:t>INTERIM RELIEF GRANTED</w:t>
      </w:r>
    </w:p>
    <w:p w:rsidR="00536693" w:rsidRDefault="00536693" w:rsidP="006C6B0C">
      <w:pPr>
        <w:spacing w:line="240" w:lineRule="auto"/>
        <w:ind w:firstLine="360"/>
        <w:jc w:val="both"/>
        <w:rPr>
          <w:rFonts w:ascii="Times New Roman" w:hAnsi="Times New Roman" w:cs="Times New Roman"/>
          <w:sz w:val="24"/>
          <w:szCs w:val="24"/>
        </w:rPr>
      </w:pPr>
      <w:r w:rsidRPr="00536693">
        <w:rPr>
          <w:rFonts w:ascii="Times New Roman" w:hAnsi="Times New Roman" w:cs="Times New Roman"/>
          <w:sz w:val="24"/>
          <w:szCs w:val="24"/>
        </w:rPr>
        <w:t xml:space="preserve">Pending the determination of this matter, the Applicants </w:t>
      </w:r>
      <w:r>
        <w:rPr>
          <w:rFonts w:ascii="Times New Roman" w:hAnsi="Times New Roman" w:cs="Times New Roman"/>
          <w:sz w:val="24"/>
          <w:szCs w:val="24"/>
        </w:rPr>
        <w:t>are granted the following relief;</w:t>
      </w:r>
    </w:p>
    <w:p w:rsidR="00536693" w:rsidRPr="00536693" w:rsidRDefault="00536693" w:rsidP="006C6B0C">
      <w:pPr>
        <w:pStyle w:val="ListParagraph"/>
        <w:numPr>
          <w:ilvl w:val="0"/>
          <w:numId w:val="5"/>
        </w:numPr>
        <w:spacing w:line="240" w:lineRule="auto"/>
        <w:jc w:val="both"/>
        <w:rPr>
          <w:rFonts w:ascii="Times New Roman" w:hAnsi="Times New Roman" w:cs="Times New Roman"/>
          <w:sz w:val="24"/>
          <w:szCs w:val="24"/>
        </w:rPr>
      </w:pPr>
      <w:r w:rsidRPr="00536693">
        <w:rPr>
          <w:rFonts w:ascii="Times New Roman" w:hAnsi="Times New Roman" w:cs="Times New Roman"/>
          <w:sz w:val="24"/>
          <w:szCs w:val="24"/>
        </w:rPr>
        <w:t xml:space="preserve">Respondent be and is hereby ordered to give access, and restore possession of </w:t>
      </w:r>
      <w:r w:rsidRPr="00536693">
        <w:rPr>
          <w:rFonts w:ascii="Times New Roman" w:hAnsi="Times New Roman" w:cs="Times New Roman"/>
          <w:b/>
          <w:sz w:val="24"/>
          <w:szCs w:val="24"/>
        </w:rPr>
        <w:t>LOT 5 of Paarl measuring 2,0711 hectares, LOT 7 of Paarl measuring 1,7604 hectares, LOT 9 of Paarl measuring 1,7878 hectares, LOT 19 of Paarl measuring 1,8503 hectares, and LOT 20 of Paarl</w:t>
      </w:r>
      <w:r>
        <w:rPr>
          <w:rFonts w:ascii="Times New Roman" w:hAnsi="Times New Roman" w:cs="Times New Roman"/>
          <w:b/>
          <w:sz w:val="24"/>
          <w:szCs w:val="24"/>
        </w:rPr>
        <w:t xml:space="preserve"> measuring 1,6960 hectares </w:t>
      </w:r>
      <w:r>
        <w:rPr>
          <w:rFonts w:ascii="Times New Roman" w:hAnsi="Times New Roman" w:cs="Times New Roman"/>
          <w:sz w:val="24"/>
          <w:szCs w:val="24"/>
        </w:rPr>
        <w:t>to the 1</w:t>
      </w:r>
      <w:r w:rsidRPr="00536693">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w:t>
      </w:r>
    </w:p>
    <w:p w:rsidR="00536693" w:rsidRPr="002F2B59" w:rsidRDefault="002F2B59" w:rsidP="006C6B0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 be and is hereby ordered to give access, and restore possession of </w:t>
      </w:r>
      <w:r w:rsidRPr="002F2B59">
        <w:rPr>
          <w:rFonts w:ascii="Times New Roman" w:hAnsi="Times New Roman" w:cs="Times New Roman"/>
          <w:b/>
          <w:sz w:val="24"/>
          <w:szCs w:val="24"/>
        </w:rPr>
        <w:t>LOT 11 of Paarl measuring 1,6188 hectares</w:t>
      </w:r>
      <w:r>
        <w:rPr>
          <w:rFonts w:ascii="Times New Roman" w:hAnsi="Times New Roman" w:cs="Times New Roman"/>
          <w:sz w:val="24"/>
          <w:szCs w:val="24"/>
        </w:rPr>
        <w:t xml:space="preserve"> to the 2</w:t>
      </w:r>
      <w:r w:rsidRPr="002F2B59">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w:t>
      </w:r>
      <w:r w:rsidR="006C6B0C">
        <w:rPr>
          <w:rFonts w:ascii="Times New Roman" w:hAnsi="Times New Roman" w:cs="Times New Roman"/>
          <w:sz w:val="24"/>
          <w:szCs w:val="24"/>
        </w:rPr>
        <w:t>”</w:t>
      </w:r>
    </w:p>
    <w:p w:rsidR="0090242B" w:rsidRDefault="0090242B" w:rsidP="002019AC">
      <w:pPr>
        <w:spacing w:line="360" w:lineRule="auto"/>
        <w:jc w:val="both"/>
        <w:rPr>
          <w:rFonts w:ascii="Times New Roman" w:hAnsi="Times New Roman" w:cs="Times New Roman"/>
          <w:sz w:val="24"/>
          <w:szCs w:val="24"/>
        </w:rPr>
      </w:pPr>
    </w:p>
    <w:p w:rsidR="00E8257C" w:rsidRDefault="00E8257C" w:rsidP="00F43F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application </w:t>
      </w:r>
      <w:r w:rsidR="00C21BE3">
        <w:rPr>
          <w:rFonts w:ascii="Times New Roman" w:hAnsi="Times New Roman" w:cs="Times New Roman"/>
          <w:sz w:val="24"/>
          <w:szCs w:val="24"/>
        </w:rPr>
        <w:t>is</w:t>
      </w:r>
      <w:r>
        <w:rPr>
          <w:rFonts w:ascii="Times New Roman" w:hAnsi="Times New Roman" w:cs="Times New Roman"/>
          <w:sz w:val="24"/>
          <w:szCs w:val="24"/>
        </w:rPr>
        <w:t xml:space="preserve"> opposed. Both parties raised preliminary points. I directed parties to make submissions on both the preliminary points and on the merits for convenience in the disposal of the matter.</w:t>
      </w:r>
    </w:p>
    <w:p w:rsidR="008B79FF" w:rsidRDefault="00E8257C" w:rsidP="00F43F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point </w:t>
      </w:r>
      <w:r w:rsidRPr="0039546C">
        <w:rPr>
          <w:rFonts w:ascii="Times New Roman" w:hAnsi="Times New Roman" w:cs="Times New Roman"/>
          <w:i/>
          <w:sz w:val="24"/>
          <w:szCs w:val="24"/>
        </w:rPr>
        <w:t>in limine</w:t>
      </w:r>
      <w:r>
        <w:rPr>
          <w:rFonts w:ascii="Times New Roman" w:hAnsi="Times New Roman" w:cs="Times New Roman"/>
          <w:sz w:val="24"/>
          <w:szCs w:val="24"/>
        </w:rPr>
        <w:t xml:space="preserve"> was taken for the applicants that there is</w:t>
      </w:r>
      <w:r w:rsidR="00897685">
        <w:rPr>
          <w:rFonts w:ascii="Times New Roman" w:hAnsi="Times New Roman" w:cs="Times New Roman"/>
          <w:sz w:val="24"/>
          <w:szCs w:val="24"/>
        </w:rPr>
        <w:t xml:space="preserve"> no opposition before the c</w:t>
      </w:r>
      <w:r w:rsidR="008C11BD">
        <w:rPr>
          <w:rFonts w:ascii="Times New Roman" w:hAnsi="Times New Roman" w:cs="Times New Roman"/>
          <w:sz w:val="24"/>
          <w:szCs w:val="24"/>
        </w:rPr>
        <w:t>ourt since the deponent to the respondent’s notice of opposition did not attach the board resolution authorizing him to represent the company. Reference was made to relevant authorities in this regard</w:t>
      </w:r>
      <w:r w:rsidR="008C11B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response </w:t>
      </w:r>
      <w:r w:rsidRPr="00F43FC5">
        <w:rPr>
          <w:rFonts w:ascii="Times New Roman" w:hAnsi="Times New Roman" w:cs="Times New Roman"/>
          <w:sz w:val="24"/>
          <w:szCs w:val="24"/>
        </w:rPr>
        <w:t>Mr</w:t>
      </w:r>
      <w:r w:rsidRPr="008B79FF">
        <w:rPr>
          <w:rFonts w:ascii="Times New Roman" w:hAnsi="Times New Roman" w:cs="Times New Roman"/>
          <w:i/>
          <w:sz w:val="24"/>
          <w:szCs w:val="24"/>
        </w:rPr>
        <w:t xml:space="preserve"> Sithole</w:t>
      </w:r>
      <w:r>
        <w:rPr>
          <w:rFonts w:ascii="Times New Roman" w:hAnsi="Times New Roman" w:cs="Times New Roman"/>
          <w:sz w:val="24"/>
          <w:szCs w:val="24"/>
        </w:rPr>
        <w:t xml:space="preserve"> </w:t>
      </w:r>
      <w:r w:rsidR="00897685">
        <w:rPr>
          <w:rFonts w:ascii="Times New Roman" w:hAnsi="Times New Roman" w:cs="Times New Roman"/>
          <w:sz w:val="24"/>
          <w:szCs w:val="24"/>
        </w:rPr>
        <w:t>submitted that the c</w:t>
      </w:r>
      <w:r>
        <w:rPr>
          <w:rFonts w:ascii="Times New Roman" w:hAnsi="Times New Roman" w:cs="Times New Roman"/>
          <w:sz w:val="24"/>
          <w:szCs w:val="24"/>
        </w:rPr>
        <w:t>ourt has to satisfy itself whether it is the company that is litigating. Where there is evidence that parties have litigated before and the deponent represented the company, the Court</w:t>
      </w:r>
      <w:r w:rsidR="008B79FF">
        <w:rPr>
          <w:rFonts w:ascii="Times New Roman" w:hAnsi="Times New Roman" w:cs="Times New Roman"/>
          <w:sz w:val="24"/>
          <w:szCs w:val="24"/>
        </w:rPr>
        <w:t xml:space="preserve"> should accept that it</w:t>
      </w:r>
      <w:r>
        <w:rPr>
          <w:rFonts w:ascii="Times New Roman" w:hAnsi="Times New Roman" w:cs="Times New Roman"/>
          <w:sz w:val="24"/>
          <w:szCs w:val="24"/>
        </w:rPr>
        <w:t xml:space="preserve"> is the company</w:t>
      </w:r>
      <w:r w:rsidR="008B79FF">
        <w:rPr>
          <w:rFonts w:ascii="Times New Roman" w:hAnsi="Times New Roman" w:cs="Times New Roman"/>
          <w:sz w:val="24"/>
          <w:szCs w:val="24"/>
        </w:rPr>
        <w:t xml:space="preserve"> that is litigating. He relied extensively on the judgment by retired Justice </w:t>
      </w:r>
      <w:r w:rsidR="00F43FC5" w:rsidRPr="00F43FC5">
        <w:rPr>
          <w:rFonts w:ascii="Times New Roman" w:hAnsi="Times New Roman" w:cs="Times New Roman"/>
          <w:smallCaps/>
          <w:sz w:val="24"/>
          <w:szCs w:val="24"/>
        </w:rPr>
        <w:t>chinhengo</w:t>
      </w:r>
      <w:r w:rsidR="008B79FF">
        <w:rPr>
          <w:rFonts w:ascii="Times New Roman" w:hAnsi="Times New Roman" w:cs="Times New Roman"/>
          <w:sz w:val="24"/>
          <w:szCs w:val="24"/>
        </w:rPr>
        <w:t xml:space="preserve"> in this regard</w:t>
      </w:r>
      <w:r w:rsidR="008B79F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8B79FF">
        <w:rPr>
          <w:rFonts w:ascii="Times New Roman" w:hAnsi="Times New Roman" w:cs="Times New Roman"/>
          <w:sz w:val="24"/>
          <w:szCs w:val="24"/>
        </w:rPr>
        <w:t>. In this case, it was further submitted</w:t>
      </w:r>
      <w:r w:rsidR="00897685">
        <w:rPr>
          <w:rFonts w:ascii="Times New Roman" w:hAnsi="Times New Roman" w:cs="Times New Roman"/>
          <w:sz w:val="24"/>
          <w:szCs w:val="24"/>
        </w:rPr>
        <w:t xml:space="preserve"> that</w:t>
      </w:r>
      <w:r w:rsidR="008B79FF">
        <w:rPr>
          <w:rFonts w:ascii="Times New Roman" w:hAnsi="Times New Roman" w:cs="Times New Roman"/>
          <w:sz w:val="24"/>
          <w:szCs w:val="24"/>
        </w:rPr>
        <w:t xml:space="preserve"> the parties entered into an agreement of sale and the deponent to the opposing affidavit represented the respondent and they have been to court and the deponent has represented the company. That evidence should be enough to show that the deponent is acting on behalf of the respondent.</w:t>
      </w:r>
    </w:p>
    <w:p w:rsidR="00033144" w:rsidRDefault="00E8257C" w:rsidP="00F43F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a company can only litigate through a representative appointed by way </w:t>
      </w:r>
      <w:r w:rsidR="0050312C">
        <w:rPr>
          <w:rFonts w:ascii="Times New Roman" w:hAnsi="Times New Roman" w:cs="Times New Roman"/>
          <w:sz w:val="24"/>
          <w:szCs w:val="24"/>
        </w:rPr>
        <w:t>of a</w:t>
      </w:r>
      <w:r>
        <w:rPr>
          <w:rFonts w:ascii="Times New Roman" w:hAnsi="Times New Roman" w:cs="Times New Roman"/>
          <w:sz w:val="24"/>
          <w:szCs w:val="24"/>
        </w:rPr>
        <w:t xml:space="preserve"> board resolution as indicated in the </w:t>
      </w:r>
      <w:r w:rsidRPr="0050312C">
        <w:rPr>
          <w:rFonts w:ascii="Times New Roman" w:hAnsi="Times New Roman" w:cs="Times New Roman"/>
          <w:i/>
          <w:sz w:val="24"/>
          <w:szCs w:val="24"/>
        </w:rPr>
        <w:t>Zvarivadz</w:t>
      </w:r>
      <w:r w:rsidR="0050312C">
        <w:rPr>
          <w:rFonts w:ascii="Times New Roman" w:hAnsi="Times New Roman" w:cs="Times New Roman"/>
          <w:sz w:val="24"/>
          <w:szCs w:val="24"/>
        </w:rPr>
        <w:t>a case (</w:t>
      </w:r>
      <w:r w:rsidR="0050312C" w:rsidRPr="00F43FC5">
        <w:rPr>
          <w:rFonts w:ascii="Times New Roman" w:hAnsi="Times New Roman" w:cs="Times New Roman"/>
          <w:i/>
          <w:sz w:val="24"/>
          <w:szCs w:val="24"/>
        </w:rPr>
        <w:t>supra</w:t>
      </w:r>
      <w:r w:rsidR="0050312C">
        <w:rPr>
          <w:rFonts w:ascii="Times New Roman" w:hAnsi="Times New Roman" w:cs="Times New Roman"/>
          <w:sz w:val="24"/>
          <w:szCs w:val="24"/>
        </w:rPr>
        <w:t xml:space="preserve">).It would seem our courts have accepted that this is a matter of evidence which is the thrust in the </w:t>
      </w:r>
      <w:r w:rsidR="0050312C" w:rsidRPr="0050312C">
        <w:rPr>
          <w:rFonts w:ascii="Times New Roman" w:hAnsi="Times New Roman" w:cs="Times New Roman"/>
          <w:i/>
          <w:sz w:val="24"/>
          <w:szCs w:val="24"/>
        </w:rPr>
        <w:t>Air Zimbabwe Corporation</w:t>
      </w:r>
      <w:r w:rsidR="0050312C">
        <w:rPr>
          <w:rFonts w:ascii="Times New Roman" w:hAnsi="Times New Roman" w:cs="Times New Roman"/>
          <w:sz w:val="24"/>
          <w:szCs w:val="24"/>
        </w:rPr>
        <w:t xml:space="preserve"> case.</w:t>
      </w:r>
      <w:r>
        <w:rPr>
          <w:rFonts w:ascii="Times New Roman" w:hAnsi="Times New Roman" w:cs="Times New Roman"/>
          <w:sz w:val="24"/>
          <w:szCs w:val="24"/>
        </w:rPr>
        <w:t xml:space="preserve"> This gives credence to the approaches taken </w:t>
      </w:r>
      <w:r w:rsidR="0050312C">
        <w:rPr>
          <w:rFonts w:ascii="Times New Roman" w:hAnsi="Times New Roman" w:cs="Times New Roman"/>
          <w:sz w:val="24"/>
          <w:szCs w:val="24"/>
        </w:rPr>
        <w:t xml:space="preserve">in the cases relied upon by the respondent. In any event in the </w:t>
      </w:r>
      <w:r w:rsidR="0050312C" w:rsidRPr="0050312C">
        <w:rPr>
          <w:rFonts w:ascii="Times New Roman" w:hAnsi="Times New Roman" w:cs="Times New Roman"/>
          <w:i/>
          <w:sz w:val="24"/>
          <w:szCs w:val="24"/>
        </w:rPr>
        <w:t>Zvarivadza</w:t>
      </w:r>
      <w:r w:rsidR="0050312C">
        <w:rPr>
          <w:rFonts w:ascii="Times New Roman" w:hAnsi="Times New Roman" w:cs="Times New Roman"/>
          <w:sz w:val="24"/>
          <w:szCs w:val="24"/>
        </w:rPr>
        <w:t xml:space="preserve"> case the court </w:t>
      </w:r>
      <w:r w:rsidR="00A73479">
        <w:rPr>
          <w:rFonts w:ascii="Times New Roman" w:hAnsi="Times New Roman" w:cs="Times New Roman"/>
          <w:sz w:val="24"/>
          <w:szCs w:val="24"/>
        </w:rPr>
        <w:t xml:space="preserve">did not make a determination on </w:t>
      </w:r>
      <w:r w:rsidR="0050312C">
        <w:rPr>
          <w:rFonts w:ascii="Times New Roman" w:hAnsi="Times New Roman" w:cs="Times New Roman"/>
          <w:sz w:val="24"/>
          <w:szCs w:val="24"/>
        </w:rPr>
        <w:t xml:space="preserve"> whether evidence </w:t>
      </w:r>
      <w:r w:rsidR="0050312C" w:rsidRPr="0050312C">
        <w:rPr>
          <w:rFonts w:ascii="Times New Roman" w:hAnsi="Times New Roman" w:cs="Times New Roman"/>
          <w:i/>
          <w:sz w:val="24"/>
          <w:szCs w:val="24"/>
        </w:rPr>
        <w:t>aliunde</w:t>
      </w:r>
      <w:r w:rsidR="0050312C">
        <w:rPr>
          <w:rFonts w:ascii="Times New Roman" w:hAnsi="Times New Roman" w:cs="Times New Roman"/>
          <w:sz w:val="24"/>
          <w:szCs w:val="24"/>
        </w:rPr>
        <w:t xml:space="preserve"> can be considered in this regard. The proposition that there is no opposition before the court is untenable for the sole reason that in an urgent application the respondent can oppose the matter and make oral submissions. In this case the respondent’s legal pract</w:t>
      </w:r>
      <w:r w:rsidR="00897685">
        <w:rPr>
          <w:rFonts w:ascii="Times New Roman" w:hAnsi="Times New Roman" w:cs="Times New Roman"/>
          <w:sz w:val="24"/>
          <w:szCs w:val="24"/>
        </w:rPr>
        <w:t>it</w:t>
      </w:r>
      <w:r w:rsidR="0050312C">
        <w:rPr>
          <w:rFonts w:ascii="Times New Roman" w:hAnsi="Times New Roman" w:cs="Times New Roman"/>
          <w:sz w:val="24"/>
          <w:szCs w:val="24"/>
        </w:rPr>
        <w:t>ioner appeared before the court and made the requisite submis</w:t>
      </w:r>
      <w:r w:rsidR="00897685">
        <w:rPr>
          <w:rFonts w:ascii="Times New Roman" w:hAnsi="Times New Roman" w:cs="Times New Roman"/>
          <w:sz w:val="24"/>
          <w:szCs w:val="24"/>
        </w:rPr>
        <w:t>sions. To that extent there is valid</w:t>
      </w:r>
      <w:r w:rsidR="0050312C">
        <w:rPr>
          <w:rFonts w:ascii="Times New Roman" w:hAnsi="Times New Roman" w:cs="Times New Roman"/>
          <w:sz w:val="24"/>
          <w:szCs w:val="24"/>
        </w:rPr>
        <w:t xml:space="preserve"> opposition and l am prepared to </w:t>
      </w:r>
      <w:r w:rsidR="00033144">
        <w:rPr>
          <w:rFonts w:ascii="Times New Roman" w:hAnsi="Times New Roman" w:cs="Times New Roman"/>
          <w:sz w:val="24"/>
          <w:szCs w:val="24"/>
        </w:rPr>
        <w:t xml:space="preserve">accept the opposition affidavit for the reason that parties have litigated before and the deponent </w:t>
      </w:r>
      <w:r w:rsidR="00033144">
        <w:rPr>
          <w:rFonts w:ascii="Times New Roman" w:hAnsi="Times New Roman" w:cs="Times New Roman"/>
          <w:sz w:val="24"/>
          <w:szCs w:val="24"/>
        </w:rPr>
        <w:lastRenderedPageBreak/>
        <w:t>to the respondent’s opposing affidavit represented the respondent.</w:t>
      </w:r>
      <w:r w:rsidR="00033144" w:rsidRPr="00033144">
        <w:rPr>
          <w:rFonts w:ascii="Times New Roman" w:hAnsi="Times New Roman" w:cs="Times New Roman"/>
          <w:sz w:val="24"/>
          <w:szCs w:val="24"/>
        </w:rPr>
        <w:t xml:space="preserve"> </w:t>
      </w:r>
      <w:r w:rsidR="00033144">
        <w:rPr>
          <w:rFonts w:ascii="Times New Roman" w:hAnsi="Times New Roman" w:cs="Times New Roman"/>
          <w:sz w:val="24"/>
          <w:szCs w:val="24"/>
        </w:rPr>
        <w:t xml:space="preserve">A reading of the </w:t>
      </w:r>
      <w:r w:rsidR="00033144" w:rsidRPr="0050312C">
        <w:rPr>
          <w:rFonts w:ascii="Times New Roman" w:hAnsi="Times New Roman" w:cs="Times New Roman"/>
          <w:i/>
          <w:sz w:val="24"/>
          <w:szCs w:val="24"/>
        </w:rPr>
        <w:t>Zvarivadza c</w:t>
      </w:r>
      <w:r w:rsidR="00033144">
        <w:rPr>
          <w:rFonts w:ascii="Times New Roman" w:hAnsi="Times New Roman" w:cs="Times New Roman"/>
          <w:sz w:val="24"/>
          <w:szCs w:val="24"/>
        </w:rPr>
        <w:t>ase shows that the remedy is not to dismiss the matter but to order that the deponent produce the board resolution. The preliminary point has no merit and</w:t>
      </w:r>
      <w:r w:rsidR="00897685">
        <w:rPr>
          <w:rFonts w:ascii="Times New Roman" w:hAnsi="Times New Roman" w:cs="Times New Roman"/>
          <w:sz w:val="24"/>
          <w:szCs w:val="24"/>
        </w:rPr>
        <w:t xml:space="preserve"> it</w:t>
      </w:r>
      <w:r w:rsidR="00033144">
        <w:rPr>
          <w:rFonts w:ascii="Times New Roman" w:hAnsi="Times New Roman" w:cs="Times New Roman"/>
          <w:sz w:val="24"/>
          <w:szCs w:val="24"/>
        </w:rPr>
        <w:t xml:space="preserve"> is dismissed. </w:t>
      </w:r>
    </w:p>
    <w:p w:rsidR="004A1A4F" w:rsidRDefault="00033144" w:rsidP="00F43FC5">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respondent’s preliminary point is that the matter is not urgent.</w:t>
      </w:r>
      <w:r w:rsidR="00D219FD">
        <w:rPr>
          <w:rFonts w:ascii="Times New Roman" w:hAnsi="Times New Roman" w:cs="Times New Roman"/>
          <w:sz w:val="24"/>
          <w:szCs w:val="24"/>
          <w:lang w:val="en-ZW"/>
        </w:rPr>
        <w:t xml:space="preserve"> It avers that both the </w:t>
      </w:r>
      <w:r>
        <w:rPr>
          <w:rFonts w:ascii="Times New Roman" w:hAnsi="Times New Roman" w:cs="Times New Roman"/>
          <w:sz w:val="24"/>
          <w:szCs w:val="24"/>
          <w:lang w:val="en-ZW"/>
        </w:rPr>
        <w:t>legal practitioner</w:t>
      </w:r>
      <w:r w:rsidR="00D219FD">
        <w:rPr>
          <w:rFonts w:ascii="Times New Roman" w:hAnsi="Times New Roman" w:cs="Times New Roman"/>
          <w:sz w:val="24"/>
          <w:szCs w:val="24"/>
          <w:lang w:val="en-ZW"/>
        </w:rPr>
        <w:t xml:space="preserve"> who prepared the certificate of urgency and the applicants do no</w:t>
      </w:r>
      <w:r>
        <w:rPr>
          <w:rFonts w:ascii="Times New Roman" w:hAnsi="Times New Roman" w:cs="Times New Roman"/>
          <w:sz w:val="24"/>
          <w:szCs w:val="24"/>
          <w:lang w:val="en-ZW"/>
        </w:rPr>
        <w:t xml:space="preserve">t address the issue of urgency and emphasized the point that there </w:t>
      </w:r>
      <w:r w:rsidR="00D219FD">
        <w:rPr>
          <w:rFonts w:ascii="Times New Roman" w:hAnsi="Times New Roman" w:cs="Times New Roman"/>
          <w:sz w:val="24"/>
          <w:szCs w:val="24"/>
          <w:lang w:val="en-ZW"/>
        </w:rPr>
        <w:t>is no indication of when the h</w:t>
      </w:r>
      <w:r>
        <w:rPr>
          <w:rFonts w:ascii="Times New Roman" w:hAnsi="Times New Roman" w:cs="Times New Roman"/>
          <w:sz w:val="24"/>
          <w:szCs w:val="24"/>
          <w:lang w:val="en-ZW"/>
        </w:rPr>
        <w:t>arm is alleged to have occurred and how it occurred. It also indicates that the applicants became aware of the interference in December 2019 but did not do anyt</w:t>
      </w:r>
      <w:r w:rsidR="00897685">
        <w:rPr>
          <w:rFonts w:ascii="Times New Roman" w:hAnsi="Times New Roman" w:cs="Times New Roman"/>
          <w:sz w:val="24"/>
          <w:szCs w:val="24"/>
          <w:lang w:val="en-ZW"/>
        </w:rPr>
        <w:t xml:space="preserve">hing about it. In February </w:t>
      </w:r>
      <w:r>
        <w:rPr>
          <w:rFonts w:ascii="Times New Roman" w:hAnsi="Times New Roman" w:cs="Times New Roman"/>
          <w:sz w:val="24"/>
          <w:szCs w:val="24"/>
          <w:lang w:val="en-ZW"/>
        </w:rPr>
        <w:t>and March 2020</w:t>
      </w:r>
      <w:r w:rsidR="00897685">
        <w:rPr>
          <w:rFonts w:ascii="Times New Roman" w:hAnsi="Times New Roman" w:cs="Times New Roman"/>
          <w:sz w:val="24"/>
          <w:szCs w:val="24"/>
          <w:lang w:val="en-ZW"/>
        </w:rPr>
        <w:t xml:space="preserve"> respectively</w:t>
      </w:r>
      <w:r>
        <w:rPr>
          <w:rFonts w:ascii="Times New Roman" w:hAnsi="Times New Roman" w:cs="Times New Roman"/>
          <w:sz w:val="24"/>
          <w:szCs w:val="24"/>
          <w:lang w:val="en-ZW"/>
        </w:rPr>
        <w:t xml:space="preserve"> there was communication between the parties</w:t>
      </w:r>
      <w:r w:rsidR="00897685">
        <w:rPr>
          <w:rFonts w:ascii="Times New Roman" w:hAnsi="Times New Roman" w:cs="Times New Roman"/>
          <w:sz w:val="24"/>
          <w:szCs w:val="24"/>
          <w:lang w:val="en-ZW"/>
        </w:rPr>
        <w:t xml:space="preserve"> on the interference</w:t>
      </w:r>
      <w:r>
        <w:rPr>
          <w:rFonts w:ascii="Times New Roman" w:hAnsi="Times New Roman" w:cs="Times New Roman"/>
          <w:sz w:val="24"/>
          <w:szCs w:val="24"/>
          <w:lang w:val="en-ZW"/>
        </w:rPr>
        <w:t xml:space="preserve"> but the applicants did not take any action to protect its rights if it had </w:t>
      </w:r>
      <w:r w:rsidR="004A1A4F">
        <w:rPr>
          <w:rFonts w:ascii="Times New Roman" w:hAnsi="Times New Roman" w:cs="Times New Roman"/>
          <w:sz w:val="24"/>
          <w:szCs w:val="24"/>
          <w:lang w:val="en-ZW"/>
        </w:rPr>
        <w:t>any.</w:t>
      </w:r>
      <w:r w:rsidR="00897685" w:rsidRPr="00897685">
        <w:rPr>
          <w:rFonts w:ascii="Times New Roman" w:hAnsi="Times New Roman" w:cs="Times New Roman"/>
          <w:i/>
          <w:sz w:val="24"/>
          <w:szCs w:val="24"/>
          <w:lang w:val="en-ZW"/>
        </w:rPr>
        <w:t xml:space="preserve"> </w:t>
      </w:r>
      <w:r w:rsidR="00897685" w:rsidRPr="004A1A4F">
        <w:rPr>
          <w:rFonts w:ascii="Times New Roman" w:hAnsi="Times New Roman" w:cs="Times New Roman"/>
          <w:i/>
          <w:sz w:val="24"/>
          <w:szCs w:val="24"/>
          <w:lang w:val="en-ZW"/>
        </w:rPr>
        <w:t>Mr Sithole</w:t>
      </w:r>
      <w:r w:rsidR="00897685">
        <w:rPr>
          <w:rFonts w:ascii="Times New Roman" w:hAnsi="Times New Roman" w:cs="Times New Roman"/>
          <w:sz w:val="24"/>
          <w:szCs w:val="24"/>
          <w:lang w:val="en-ZW"/>
        </w:rPr>
        <w:t xml:space="preserve"> for the respondent argued that even if the interference took place on 22 May 2020 there was an unexplained delay from 22 May to 8 June 2020 when the application was filed. I</w:t>
      </w:r>
      <w:r w:rsidR="00A73479">
        <w:rPr>
          <w:rFonts w:ascii="Times New Roman" w:hAnsi="Times New Roman" w:cs="Times New Roman"/>
          <w:sz w:val="24"/>
          <w:szCs w:val="24"/>
          <w:lang w:val="en-ZW"/>
        </w:rPr>
        <w:t xml:space="preserve">n my view the delay alluded to is not long enough to lead to an </w:t>
      </w:r>
      <w:r w:rsidR="00897685">
        <w:rPr>
          <w:rFonts w:ascii="Times New Roman" w:hAnsi="Times New Roman" w:cs="Times New Roman"/>
          <w:sz w:val="24"/>
          <w:szCs w:val="24"/>
          <w:lang w:val="en-ZW"/>
        </w:rPr>
        <w:t>adverse inference of inaction considering the circumstances of this case.</w:t>
      </w:r>
    </w:p>
    <w:p w:rsidR="00D219FD" w:rsidRDefault="004A1A4F" w:rsidP="00F43FC5">
      <w:pPr>
        <w:spacing w:after="0" w:line="360" w:lineRule="auto"/>
        <w:ind w:firstLine="720"/>
        <w:jc w:val="both"/>
        <w:rPr>
          <w:rFonts w:ascii="Times New Roman" w:hAnsi="Times New Roman" w:cs="Times New Roman"/>
          <w:sz w:val="24"/>
          <w:szCs w:val="24"/>
          <w:lang w:val="en-ZW"/>
        </w:rPr>
      </w:pPr>
      <w:r w:rsidRPr="004A1A4F">
        <w:rPr>
          <w:rFonts w:ascii="Times New Roman" w:hAnsi="Times New Roman" w:cs="Times New Roman"/>
          <w:i/>
          <w:sz w:val="24"/>
          <w:szCs w:val="24"/>
          <w:lang w:val="en-ZW"/>
        </w:rPr>
        <w:t>Mr Mswelanto</w:t>
      </w:r>
      <w:r>
        <w:rPr>
          <w:rFonts w:ascii="Times New Roman" w:hAnsi="Times New Roman" w:cs="Times New Roman"/>
          <w:sz w:val="24"/>
          <w:szCs w:val="24"/>
          <w:lang w:val="en-ZW"/>
        </w:rPr>
        <w:t xml:space="preserve"> was at pains to </w:t>
      </w:r>
      <w:r w:rsidR="00897685">
        <w:rPr>
          <w:rFonts w:ascii="Times New Roman" w:hAnsi="Times New Roman" w:cs="Times New Roman"/>
          <w:sz w:val="24"/>
          <w:szCs w:val="24"/>
          <w:lang w:val="en-ZW"/>
        </w:rPr>
        <w:t>demonstrate</w:t>
      </w:r>
      <w:r>
        <w:rPr>
          <w:rFonts w:ascii="Times New Roman" w:hAnsi="Times New Roman" w:cs="Times New Roman"/>
          <w:sz w:val="24"/>
          <w:szCs w:val="24"/>
          <w:lang w:val="en-ZW"/>
        </w:rPr>
        <w:t xml:space="preserve"> to the court when the first applicant’s rights were interfered with and how they were interfered. He emphasised that the applicants’ rights were interfered with on 22 May 2020 and they immediately took action. The first applicant’s founding affidavit is set out in very general terms</w:t>
      </w:r>
      <w:r w:rsidR="00897685">
        <w:rPr>
          <w:rFonts w:ascii="Times New Roman" w:hAnsi="Times New Roman" w:cs="Times New Roman"/>
          <w:sz w:val="24"/>
          <w:szCs w:val="24"/>
          <w:lang w:val="en-ZW"/>
        </w:rPr>
        <w:t xml:space="preserve"> except in the case of the second applicant.</w:t>
      </w:r>
      <w:r w:rsidR="00033144">
        <w:rPr>
          <w:rFonts w:ascii="Times New Roman" w:hAnsi="Times New Roman" w:cs="Times New Roman"/>
          <w:sz w:val="24"/>
          <w:szCs w:val="24"/>
          <w:lang w:val="en-ZW"/>
        </w:rPr>
        <w:t xml:space="preserve">  </w:t>
      </w:r>
    </w:p>
    <w:p w:rsidR="007C63ED" w:rsidRDefault="00D219FD" w:rsidP="00F43FC5">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 certificate of urgency is meant to direct the Registrar to refer the matter to a judge in chambers</w:t>
      </w:r>
      <w:r w:rsidR="00897685">
        <w:rPr>
          <w:rFonts w:ascii="Times New Roman" w:hAnsi="Times New Roman" w:cs="Times New Roman"/>
          <w:sz w:val="24"/>
          <w:szCs w:val="24"/>
          <w:lang w:val="en-ZW"/>
        </w:rPr>
        <w:t xml:space="preserve"> as a matter of urgency</w:t>
      </w:r>
      <w:r>
        <w:rPr>
          <w:rFonts w:ascii="Times New Roman" w:hAnsi="Times New Roman" w:cs="Times New Roman"/>
          <w:sz w:val="24"/>
          <w:szCs w:val="24"/>
          <w:lang w:val="en-ZW"/>
        </w:rPr>
        <w:t>. In considering the application the judge is at large to</w:t>
      </w:r>
      <w:r w:rsidR="009F21D0">
        <w:rPr>
          <w:rFonts w:ascii="Times New Roman" w:hAnsi="Times New Roman" w:cs="Times New Roman"/>
          <w:sz w:val="24"/>
          <w:szCs w:val="24"/>
          <w:lang w:val="en-ZW"/>
        </w:rPr>
        <w:t xml:space="preserve"> consider the certificate of urgency together with the founding affidavit. In </w:t>
      </w:r>
      <w:r w:rsidR="009F21D0" w:rsidRPr="004A1A4F">
        <w:rPr>
          <w:rFonts w:ascii="Times New Roman" w:hAnsi="Times New Roman" w:cs="Times New Roman"/>
          <w:i/>
          <w:sz w:val="24"/>
          <w:szCs w:val="24"/>
          <w:lang w:val="en-ZW"/>
        </w:rPr>
        <w:t>casu, Mr Mswelanto</w:t>
      </w:r>
      <w:r w:rsidR="009F21D0">
        <w:rPr>
          <w:rFonts w:ascii="Times New Roman" w:hAnsi="Times New Roman" w:cs="Times New Roman"/>
          <w:sz w:val="24"/>
          <w:szCs w:val="24"/>
          <w:lang w:val="en-ZW"/>
        </w:rPr>
        <w:t xml:space="preserve"> who prepared the certificate of urgency set out the reasons why he believed the matter to be urgent. Whether the belief is correct or not is not the issue. The certificate of urgency is silent on the dates when the</w:t>
      </w:r>
      <w:r w:rsidR="00C21133">
        <w:rPr>
          <w:rFonts w:ascii="Times New Roman" w:hAnsi="Times New Roman" w:cs="Times New Roman"/>
          <w:sz w:val="24"/>
          <w:szCs w:val="24"/>
          <w:lang w:val="en-ZW"/>
        </w:rPr>
        <w:t xml:space="preserve"> first</w:t>
      </w:r>
      <w:r w:rsidR="009F21D0">
        <w:rPr>
          <w:rFonts w:ascii="Times New Roman" w:hAnsi="Times New Roman" w:cs="Times New Roman"/>
          <w:sz w:val="24"/>
          <w:szCs w:val="24"/>
          <w:lang w:val="en-ZW"/>
        </w:rPr>
        <w:t xml:space="preserve"> applicants’ r</w:t>
      </w:r>
      <w:r w:rsidR="001D56CD">
        <w:rPr>
          <w:rFonts w:ascii="Times New Roman" w:hAnsi="Times New Roman" w:cs="Times New Roman"/>
          <w:sz w:val="24"/>
          <w:szCs w:val="24"/>
          <w:lang w:val="en-ZW"/>
        </w:rPr>
        <w:t>ights were interfered with</w:t>
      </w:r>
      <w:r w:rsidR="00C21133">
        <w:rPr>
          <w:rFonts w:ascii="Times New Roman" w:hAnsi="Times New Roman" w:cs="Times New Roman"/>
          <w:sz w:val="24"/>
          <w:szCs w:val="24"/>
          <w:lang w:val="en-ZW"/>
        </w:rPr>
        <w:t>. Similarly the first applicant’s founding affidavit is mum on the dates.</w:t>
      </w:r>
      <w:r w:rsidR="009F21D0">
        <w:rPr>
          <w:rFonts w:ascii="Times New Roman" w:hAnsi="Times New Roman" w:cs="Times New Roman"/>
          <w:sz w:val="24"/>
          <w:szCs w:val="24"/>
          <w:lang w:val="en-ZW"/>
        </w:rPr>
        <w:t xml:space="preserve"> The respondent </w:t>
      </w:r>
      <w:r w:rsidR="00DF00A5">
        <w:rPr>
          <w:rFonts w:ascii="Times New Roman" w:hAnsi="Times New Roman" w:cs="Times New Roman"/>
          <w:sz w:val="24"/>
          <w:szCs w:val="24"/>
          <w:lang w:val="en-ZW"/>
        </w:rPr>
        <w:t>referred</w:t>
      </w:r>
      <w:r w:rsidR="009F21D0">
        <w:rPr>
          <w:rFonts w:ascii="Times New Roman" w:hAnsi="Times New Roman" w:cs="Times New Roman"/>
          <w:sz w:val="24"/>
          <w:szCs w:val="24"/>
          <w:lang w:val="en-ZW"/>
        </w:rPr>
        <w:t xml:space="preserve"> to the s</w:t>
      </w:r>
      <w:r w:rsidR="004A1A4F">
        <w:rPr>
          <w:rFonts w:ascii="Times New Roman" w:hAnsi="Times New Roman" w:cs="Times New Roman"/>
          <w:sz w:val="24"/>
          <w:szCs w:val="24"/>
          <w:lang w:val="en-ZW"/>
        </w:rPr>
        <w:t>ome</w:t>
      </w:r>
      <w:r w:rsidR="009F21D0">
        <w:rPr>
          <w:rFonts w:ascii="Times New Roman" w:hAnsi="Times New Roman" w:cs="Times New Roman"/>
          <w:sz w:val="24"/>
          <w:szCs w:val="24"/>
          <w:lang w:val="en-ZW"/>
        </w:rPr>
        <w:t xml:space="preserve"> incidents in December 2019 and correspondence between the parties in February and March 2020 but all this was not substantiated. The only correspondences in the record are dated after 22 May 2020. Had there been any telephonic communications, I am certain these could have been referred to</w:t>
      </w:r>
      <w:r w:rsidR="007C63ED">
        <w:rPr>
          <w:rFonts w:ascii="Times New Roman" w:hAnsi="Times New Roman" w:cs="Times New Roman"/>
          <w:sz w:val="24"/>
          <w:szCs w:val="24"/>
          <w:lang w:val="en-ZW"/>
        </w:rPr>
        <w:t xml:space="preserve"> in the written correspondences.</w:t>
      </w:r>
    </w:p>
    <w:p w:rsidR="007C63ED" w:rsidRDefault="007C63ED" w:rsidP="00F43FC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difficult for this court to agree with submissions made for the first applicant. The certificate of urgency just refers to some several attempts to repossess, disturb and evict the </w:t>
      </w:r>
      <w:r>
        <w:rPr>
          <w:rFonts w:ascii="Times New Roman" w:hAnsi="Times New Roman" w:cs="Times New Roman"/>
          <w:sz w:val="24"/>
          <w:szCs w:val="24"/>
          <w:lang w:val="en-ZW"/>
        </w:rPr>
        <w:lastRenderedPageBreak/>
        <w:t>applicants from the plots. There is no indication when these attempts were made on the individual plots and how the attempts to repossess the plots</w:t>
      </w:r>
      <w:r w:rsidR="00C21133">
        <w:rPr>
          <w:rFonts w:ascii="Times New Roman" w:hAnsi="Times New Roman" w:cs="Times New Roman"/>
          <w:sz w:val="24"/>
          <w:szCs w:val="24"/>
          <w:lang w:val="en-ZW"/>
        </w:rPr>
        <w:t xml:space="preserve"> were</w:t>
      </w:r>
      <w:r>
        <w:rPr>
          <w:rFonts w:ascii="Times New Roman" w:hAnsi="Times New Roman" w:cs="Times New Roman"/>
          <w:sz w:val="24"/>
          <w:szCs w:val="24"/>
          <w:lang w:val="en-ZW"/>
        </w:rPr>
        <w:t xml:space="preserve"> done. </w:t>
      </w:r>
      <w:r w:rsidRPr="00C21133">
        <w:rPr>
          <w:rFonts w:ascii="Times New Roman" w:hAnsi="Times New Roman" w:cs="Times New Roman"/>
          <w:i/>
          <w:sz w:val="24"/>
          <w:szCs w:val="24"/>
          <w:lang w:val="en-ZW"/>
        </w:rPr>
        <w:t>Mr Mswelanto</w:t>
      </w:r>
      <w:r>
        <w:rPr>
          <w:rFonts w:ascii="Times New Roman" w:hAnsi="Times New Roman" w:cs="Times New Roman"/>
          <w:sz w:val="24"/>
          <w:szCs w:val="24"/>
          <w:lang w:val="en-ZW"/>
        </w:rPr>
        <w:t xml:space="preserve"> referred the co</w:t>
      </w:r>
      <w:r w:rsidR="00993AA5">
        <w:rPr>
          <w:rFonts w:ascii="Times New Roman" w:hAnsi="Times New Roman" w:cs="Times New Roman"/>
          <w:sz w:val="24"/>
          <w:szCs w:val="24"/>
          <w:lang w:val="en-ZW"/>
        </w:rPr>
        <w:t>urt to paragraph 7 of the first</w:t>
      </w:r>
      <w:r>
        <w:rPr>
          <w:rFonts w:ascii="Times New Roman" w:hAnsi="Times New Roman" w:cs="Times New Roman"/>
          <w:sz w:val="24"/>
          <w:szCs w:val="24"/>
          <w:lang w:val="en-ZW"/>
        </w:rPr>
        <w:t xml:space="preserve"> </w:t>
      </w:r>
      <w:r w:rsidR="00C21133">
        <w:rPr>
          <w:rFonts w:ascii="Times New Roman" w:hAnsi="Times New Roman" w:cs="Times New Roman"/>
          <w:sz w:val="24"/>
          <w:szCs w:val="24"/>
          <w:lang w:val="en-ZW"/>
        </w:rPr>
        <w:t>applicant’s</w:t>
      </w:r>
      <w:r>
        <w:rPr>
          <w:rFonts w:ascii="Times New Roman" w:hAnsi="Times New Roman" w:cs="Times New Roman"/>
          <w:sz w:val="24"/>
          <w:szCs w:val="24"/>
          <w:lang w:val="en-ZW"/>
        </w:rPr>
        <w:t xml:space="preserve"> founding affidavit as the basis of the urgency. I reproduce it hereunder to demonstrate the point l make,</w:t>
      </w:r>
    </w:p>
    <w:p w:rsidR="00D30920" w:rsidRPr="00F43FC5" w:rsidRDefault="00D30920" w:rsidP="00F43FC5">
      <w:pPr>
        <w:spacing w:line="240" w:lineRule="auto"/>
        <w:ind w:firstLine="720"/>
        <w:jc w:val="both"/>
        <w:rPr>
          <w:rFonts w:ascii="Times New Roman" w:hAnsi="Times New Roman" w:cs="Times New Roman"/>
          <w:b/>
          <w:u w:val="single"/>
          <w:lang w:val="en-ZW"/>
        </w:rPr>
      </w:pPr>
      <w:r w:rsidRPr="00F43FC5">
        <w:rPr>
          <w:rFonts w:ascii="Times New Roman" w:hAnsi="Times New Roman" w:cs="Times New Roman"/>
          <w:b/>
          <w:u w:val="single"/>
          <w:lang w:val="en-ZW"/>
        </w:rPr>
        <w:t>‘</w:t>
      </w:r>
      <w:r w:rsidR="007C63ED" w:rsidRPr="00F43FC5">
        <w:rPr>
          <w:rFonts w:ascii="Times New Roman" w:hAnsi="Times New Roman" w:cs="Times New Roman"/>
          <w:b/>
          <w:u w:val="single"/>
          <w:lang w:val="en-ZW"/>
        </w:rPr>
        <w:t>Grievance</w:t>
      </w:r>
    </w:p>
    <w:p w:rsidR="00D30920" w:rsidRPr="00F43FC5" w:rsidRDefault="00D30920" w:rsidP="00F43FC5">
      <w:pPr>
        <w:spacing w:line="240" w:lineRule="auto"/>
        <w:ind w:left="720"/>
        <w:jc w:val="both"/>
        <w:rPr>
          <w:rFonts w:ascii="Times New Roman" w:hAnsi="Times New Roman" w:cs="Times New Roman"/>
          <w:lang w:val="en-ZW"/>
        </w:rPr>
      </w:pPr>
      <w:r w:rsidRPr="00F43FC5">
        <w:rPr>
          <w:rFonts w:ascii="Times New Roman" w:hAnsi="Times New Roman" w:cs="Times New Roman"/>
          <w:lang w:val="en-ZW"/>
        </w:rPr>
        <w:t>7.1 The respondent has been making several attempts to repossess and evict the applicants from the above mentioned plots without any notice to cancel the agreements of sale or any court order.</w:t>
      </w:r>
      <w:r w:rsidR="007C63ED" w:rsidRPr="00F43FC5">
        <w:rPr>
          <w:rFonts w:ascii="Times New Roman" w:hAnsi="Times New Roman" w:cs="Times New Roman"/>
          <w:lang w:val="en-ZW"/>
        </w:rPr>
        <w:t xml:space="preserve"> </w:t>
      </w:r>
    </w:p>
    <w:p w:rsidR="00D30920" w:rsidRPr="00F43FC5" w:rsidRDefault="00D30920" w:rsidP="00F43FC5">
      <w:pPr>
        <w:spacing w:line="240" w:lineRule="auto"/>
        <w:ind w:left="720"/>
        <w:jc w:val="both"/>
        <w:rPr>
          <w:rFonts w:ascii="Times New Roman" w:hAnsi="Times New Roman" w:cs="Times New Roman"/>
          <w:lang w:val="en-ZW"/>
        </w:rPr>
      </w:pPr>
      <w:r w:rsidRPr="00F43FC5">
        <w:rPr>
          <w:rFonts w:ascii="Times New Roman" w:hAnsi="Times New Roman" w:cs="Times New Roman"/>
          <w:lang w:val="en-ZW"/>
        </w:rPr>
        <w:t>7.2 The respondent without a legal basis through its employees has been harassing the applicants and denying them peaceful enjoyment of their pieces of land without legal justification.’</w:t>
      </w:r>
    </w:p>
    <w:p w:rsidR="00296FEB" w:rsidRDefault="00D30920" w:rsidP="00F43FC5">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 reading of those </w:t>
      </w:r>
      <w:r w:rsidR="00C21133">
        <w:rPr>
          <w:rFonts w:ascii="Times New Roman" w:hAnsi="Times New Roman" w:cs="Times New Roman"/>
          <w:sz w:val="24"/>
          <w:szCs w:val="24"/>
          <w:lang w:val="en-ZW"/>
        </w:rPr>
        <w:t>paragraphs shows that the violations</w:t>
      </w:r>
      <w:r>
        <w:rPr>
          <w:rFonts w:ascii="Times New Roman" w:hAnsi="Times New Roman" w:cs="Times New Roman"/>
          <w:sz w:val="24"/>
          <w:szCs w:val="24"/>
          <w:lang w:val="en-ZW"/>
        </w:rPr>
        <w:t xml:space="preserve"> of the rights is not specifically outlined in respect of each plot. The first applicant seeks to protect its rights in five plots but it does not state how they were </w:t>
      </w:r>
      <w:r w:rsidR="009A125C">
        <w:rPr>
          <w:rFonts w:ascii="Times New Roman" w:hAnsi="Times New Roman" w:cs="Times New Roman"/>
          <w:sz w:val="24"/>
          <w:szCs w:val="24"/>
          <w:lang w:val="en-ZW"/>
        </w:rPr>
        <w:t>harassed.</w:t>
      </w:r>
      <w:r w:rsidR="00740D34">
        <w:rPr>
          <w:rFonts w:ascii="Times New Roman" w:hAnsi="Times New Roman" w:cs="Times New Roman"/>
          <w:sz w:val="24"/>
          <w:szCs w:val="24"/>
          <w:lang w:val="en-ZW"/>
        </w:rPr>
        <w:t xml:space="preserve"> However it seems the respondent does not deny that it has taken occupation of the plots as it alleges that the plots have been sold to third parties that have built on the plots. Thus it alleges that the second applicant was denied access in December 2019. I am satisfied that there was some interference at the plots but it is unclear when this took place. Time lines as to when this happened assists the court to make a determination on </w:t>
      </w:r>
      <w:r w:rsidR="00840D5F">
        <w:rPr>
          <w:rFonts w:ascii="Times New Roman" w:hAnsi="Times New Roman" w:cs="Times New Roman"/>
          <w:sz w:val="24"/>
          <w:szCs w:val="24"/>
          <w:lang w:val="en-ZW"/>
        </w:rPr>
        <w:t>urgency. Since the</w:t>
      </w:r>
      <w:r w:rsidR="00C21133">
        <w:rPr>
          <w:rFonts w:ascii="Times New Roman" w:hAnsi="Times New Roman" w:cs="Times New Roman"/>
          <w:sz w:val="24"/>
          <w:szCs w:val="24"/>
          <w:lang w:val="en-ZW"/>
        </w:rPr>
        <w:t xml:space="preserve"> first</w:t>
      </w:r>
      <w:r w:rsidR="00840D5F">
        <w:rPr>
          <w:rFonts w:ascii="Times New Roman" w:hAnsi="Times New Roman" w:cs="Times New Roman"/>
          <w:sz w:val="24"/>
          <w:szCs w:val="24"/>
          <w:lang w:val="en-ZW"/>
        </w:rPr>
        <w:t xml:space="preserve"> applicant did not state when the respondent interfered with its rights in the five plots I am unable to make a finding that the matter is urgent. It is only the second applicant that has shown that his rights were interfered with on 22 May 2020 and this date cannot be stretched to apply to all the applicants.</w:t>
      </w:r>
    </w:p>
    <w:p w:rsidR="00840D5F" w:rsidRPr="00764633" w:rsidRDefault="00764633" w:rsidP="00F43FC5">
      <w:pPr>
        <w:spacing w:after="0" w:line="360" w:lineRule="auto"/>
        <w:ind w:firstLine="720"/>
        <w:jc w:val="both"/>
        <w:rPr>
          <w:rFonts w:ascii="Times New Roman" w:hAnsi="Times New Roman" w:cs="Times New Roman"/>
          <w:sz w:val="24"/>
          <w:szCs w:val="24"/>
        </w:rPr>
      </w:pPr>
      <w:r w:rsidRPr="00F43FC5">
        <w:rPr>
          <w:rFonts w:ascii="Times New Roman" w:hAnsi="Times New Roman" w:cs="Times New Roman"/>
          <w:sz w:val="24"/>
          <w:szCs w:val="24"/>
        </w:rPr>
        <w:t>Mr</w:t>
      </w:r>
      <w:r w:rsidRPr="00764633">
        <w:rPr>
          <w:rFonts w:ascii="Times New Roman" w:hAnsi="Times New Roman" w:cs="Times New Roman"/>
          <w:i/>
          <w:sz w:val="24"/>
          <w:szCs w:val="24"/>
        </w:rPr>
        <w:t xml:space="preserve"> </w:t>
      </w:r>
      <w:r w:rsidR="00C21133" w:rsidRPr="00764633">
        <w:rPr>
          <w:rFonts w:ascii="Times New Roman" w:hAnsi="Times New Roman" w:cs="Times New Roman"/>
          <w:i/>
          <w:sz w:val="24"/>
          <w:szCs w:val="24"/>
        </w:rPr>
        <w:t>Sithole</w:t>
      </w:r>
      <w:r w:rsidR="00C21133">
        <w:rPr>
          <w:rFonts w:ascii="Times New Roman" w:hAnsi="Times New Roman" w:cs="Times New Roman"/>
          <w:i/>
          <w:sz w:val="24"/>
          <w:szCs w:val="24"/>
        </w:rPr>
        <w:t xml:space="preserve"> </w:t>
      </w:r>
      <w:r w:rsidR="00C21133">
        <w:rPr>
          <w:rFonts w:ascii="Times New Roman" w:hAnsi="Times New Roman" w:cs="Times New Roman"/>
          <w:sz w:val="24"/>
          <w:szCs w:val="24"/>
        </w:rPr>
        <w:t>also vehemently opposed</w:t>
      </w:r>
      <w:r>
        <w:rPr>
          <w:rFonts w:ascii="Times New Roman" w:hAnsi="Times New Roman" w:cs="Times New Roman"/>
          <w:sz w:val="24"/>
          <w:szCs w:val="24"/>
        </w:rPr>
        <w:t xml:space="preserve"> the granting of the order on the basis that it is fatally defective in that the interim interdict sought is more of an order for spoliation. I do not find any defect in the interim order, the applicant is seeking a mandatory interdict to compel the respondent to give the applicants access to his plot. It must be borne in mind that the purpose of a mandatory interdict is to remedy the effects of unlawful action already taken</w:t>
      </w:r>
      <w:r w:rsidR="00296FEB">
        <w:rPr>
          <w:rStyle w:val="FootnoteReference"/>
          <w:rFonts w:ascii="Times New Roman" w:hAnsi="Times New Roman" w:cs="Times New Roman"/>
          <w:sz w:val="24"/>
          <w:szCs w:val="24"/>
          <w:lang w:val="en-ZW"/>
        </w:rPr>
        <w:footnoteReference w:id="3"/>
      </w:r>
      <w:r w:rsidR="00296FEB">
        <w:rPr>
          <w:rFonts w:ascii="Times New Roman" w:hAnsi="Times New Roman" w:cs="Times New Roman"/>
          <w:sz w:val="24"/>
          <w:szCs w:val="24"/>
          <w:lang w:val="en-ZW"/>
        </w:rPr>
        <w:t>.</w:t>
      </w:r>
      <w:r>
        <w:rPr>
          <w:rFonts w:ascii="Times New Roman" w:hAnsi="Times New Roman" w:cs="Times New Roman"/>
          <w:sz w:val="24"/>
          <w:szCs w:val="24"/>
          <w:lang w:val="en-ZW"/>
        </w:rPr>
        <w:t xml:space="preserve"> </w:t>
      </w:r>
      <w:r w:rsidR="00296FEB">
        <w:rPr>
          <w:rFonts w:ascii="Times New Roman" w:hAnsi="Times New Roman" w:cs="Times New Roman"/>
          <w:sz w:val="24"/>
          <w:szCs w:val="24"/>
          <w:lang w:val="en-ZW"/>
        </w:rPr>
        <w:t xml:space="preserve"> </w:t>
      </w:r>
      <w:r w:rsidRPr="00F43FC5">
        <w:rPr>
          <w:rFonts w:ascii="Times New Roman" w:hAnsi="Times New Roman" w:cs="Times New Roman"/>
          <w:sz w:val="24"/>
          <w:szCs w:val="24"/>
        </w:rPr>
        <w:t>Mr</w:t>
      </w:r>
      <w:r w:rsidRPr="00764633">
        <w:rPr>
          <w:rFonts w:ascii="Times New Roman" w:hAnsi="Times New Roman" w:cs="Times New Roman"/>
          <w:i/>
          <w:sz w:val="24"/>
          <w:szCs w:val="24"/>
        </w:rPr>
        <w:t xml:space="preserve"> Sithole</w:t>
      </w:r>
      <w:r>
        <w:rPr>
          <w:rFonts w:ascii="Times New Roman" w:hAnsi="Times New Roman" w:cs="Times New Roman"/>
          <w:sz w:val="24"/>
          <w:szCs w:val="24"/>
        </w:rPr>
        <w:t xml:space="preserve"> based his argument on the use of “restore possession” to my mind that should not defeat this application </w:t>
      </w:r>
      <w:r w:rsidR="00C21133">
        <w:rPr>
          <w:rFonts w:ascii="Times New Roman" w:hAnsi="Times New Roman" w:cs="Times New Roman"/>
          <w:sz w:val="24"/>
          <w:szCs w:val="24"/>
        </w:rPr>
        <w:t xml:space="preserve">.I comment in passing </w:t>
      </w:r>
      <w:r>
        <w:rPr>
          <w:rFonts w:ascii="Times New Roman" w:hAnsi="Times New Roman" w:cs="Times New Roman"/>
          <w:sz w:val="24"/>
          <w:szCs w:val="24"/>
        </w:rPr>
        <w:t xml:space="preserve"> that </w:t>
      </w:r>
      <w:r w:rsidR="00C21133">
        <w:rPr>
          <w:rFonts w:ascii="Times New Roman" w:hAnsi="Times New Roman" w:cs="Times New Roman"/>
          <w:sz w:val="24"/>
          <w:szCs w:val="24"/>
        </w:rPr>
        <w:t xml:space="preserve"> the </w:t>
      </w:r>
      <w:r>
        <w:rPr>
          <w:rFonts w:ascii="Times New Roman" w:hAnsi="Times New Roman" w:cs="Times New Roman"/>
          <w:sz w:val="24"/>
          <w:szCs w:val="24"/>
        </w:rPr>
        <w:t xml:space="preserve">interim order could have been </w:t>
      </w:r>
      <w:r w:rsidR="000638B3">
        <w:rPr>
          <w:rFonts w:ascii="Times New Roman" w:hAnsi="Times New Roman" w:cs="Times New Roman"/>
          <w:sz w:val="24"/>
          <w:szCs w:val="24"/>
          <w:lang w:val="en-ZW"/>
        </w:rPr>
        <w:t xml:space="preserve"> couched in better </w:t>
      </w:r>
      <w:r>
        <w:rPr>
          <w:rFonts w:ascii="Times New Roman" w:hAnsi="Times New Roman" w:cs="Times New Roman"/>
          <w:sz w:val="24"/>
          <w:szCs w:val="24"/>
          <w:lang w:val="en-ZW"/>
        </w:rPr>
        <w:t>terms. It</w:t>
      </w:r>
      <w:r w:rsidR="000638B3">
        <w:rPr>
          <w:rFonts w:ascii="Times New Roman" w:hAnsi="Times New Roman" w:cs="Times New Roman"/>
          <w:sz w:val="24"/>
          <w:szCs w:val="24"/>
          <w:lang w:val="en-ZW"/>
        </w:rPr>
        <w:t xml:space="preserve"> was also raised that the second applicant has no rights to pr</w:t>
      </w:r>
      <w:r w:rsidR="00993AA5">
        <w:rPr>
          <w:rFonts w:ascii="Times New Roman" w:hAnsi="Times New Roman" w:cs="Times New Roman"/>
          <w:sz w:val="24"/>
          <w:szCs w:val="24"/>
          <w:lang w:val="en-ZW"/>
        </w:rPr>
        <w:t>otect since the first applicant</w:t>
      </w:r>
      <w:r w:rsidR="000638B3">
        <w:rPr>
          <w:rFonts w:ascii="Times New Roman" w:hAnsi="Times New Roman" w:cs="Times New Roman"/>
          <w:sz w:val="24"/>
          <w:szCs w:val="24"/>
          <w:lang w:val="en-ZW"/>
        </w:rPr>
        <w:t xml:space="preserve"> acquired personal rights from the respondent it cannot sell tho</w:t>
      </w:r>
      <w:r w:rsidR="00993AA5">
        <w:rPr>
          <w:rFonts w:ascii="Times New Roman" w:hAnsi="Times New Roman" w:cs="Times New Roman"/>
          <w:sz w:val="24"/>
          <w:szCs w:val="24"/>
          <w:lang w:val="en-ZW"/>
        </w:rPr>
        <w:t>se rights. The second applicant</w:t>
      </w:r>
      <w:r w:rsidR="000638B3">
        <w:rPr>
          <w:rFonts w:ascii="Times New Roman" w:hAnsi="Times New Roman" w:cs="Times New Roman"/>
          <w:sz w:val="24"/>
          <w:szCs w:val="24"/>
          <w:lang w:val="en-ZW"/>
        </w:rPr>
        <w:t xml:space="preserve"> therefore did not acquire any rights. </w:t>
      </w:r>
      <w:r w:rsidR="000638B3">
        <w:rPr>
          <w:rFonts w:ascii="Times New Roman" w:hAnsi="Times New Roman" w:cs="Times New Roman"/>
          <w:sz w:val="24"/>
          <w:szCs w:val="24"/>
          <w:lang w:val="en-ZW"/>
        </w:rPr>
        <w:lastRenderedPageBreak/>
        <w:t xml:space="preserve">This submission is not relevant at this stage of the application. It is trite that an interim order is meant to preserve the </w:t>
      </w:r>
      <w:r w:rsidR="000638B3" w:rsidRPr="00C21133">
        <w:rPr>
          <w:rFonts w:ascii="Times New Roman" w:hAnsi="Times New Roman" w:cs="Times New Roman"/>
          <w:i/>
          <w:sz w:val="24"/>
          <w:szCs w:val="24"/>
          <w:lang w:val="en-ZW"/>
        </w:rPr>
        <w:t>status quo ante</w:t>
      </w:r>
      <w:r w:rsidR="000638B3">
        <w:rPr>
          <w:rFonts w:ascii="Times New Roman" w:hAnsi="Times New Roman" w:cs="Times New Roman"/>
          <w:sz w:val="24"/>
          <w:szCs w:val="24"/>
          <w:lang w:val="en-ZW"/>
        </w:rPr>
        <w:t xml:space="preserve"> pending the determination of the parties’ rights on the return date. I am satisfied that the first applicant bought the plots from the respondent as evidenced by the agreements of sale attached to the application. I am also satisfied that the second applicant bought Plot 11 from the first applicant as evidenced by the agreement of sale attached to the application.</w:t>
      </w:r>
      <w:r w:rsidR="00840D5F">
        <w:rPr>
          <w:rFonts w:ascii="Times New Roman" w:hAnsi="Times New Roman" w:cs="Times New Roman"/>
          <w:sz w:val="24"/>
          <w:szCs w:val="24"/>
          <w:lang w:val="en-ZW"/>
        </w:rPr>
        <w:t xml:space="preserve"> </w:t>
      </w:r>
    </w:p>
    <w:p w:rsidR="000C0D00" w:rsidRPr="008A2010" w:rsidRDefault="000638B3" w:rsidP="00F43FC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disposing of the preliminary points l deal with the merits of the case only in respect of the second applicant. The requirements </w:t>
      </w:r>
      <w:r w:rsidR="00381932" w:rsidRPr="008A2010">
        <w:rPr>
          <w:rFonts w:ascii="Times New Roman" w:hAnsi="Times New Roman" w:cs="Times New Roman"/>
          <w:sz w:val="24"/>
          <w:szCs w:val="24"/>
        </w:rPr>
        <w:t xml:space="preserve">of an interim interdict are trite. The </w:t>
      </w:r>
      <w:r w:rsidR="003B17A0">
        <w:rPr>
          <w:rFonts w:ascii="Times New Roman" w:hAnsi="Times New Roman" w:cs="Times New Roman"/>
          <w:sz w:val="24"/>
          <w:szCs w:val="24"/>
        </w:rPr>
        <w:t>applicant</w:t>
      </w:r>
      <w:r w:rsidR="00381932" w:rsidRPr="008A2010">
        <w:rPr>
          <w:rFonts w:ascii="Times New Roman" w:hAnsi="Times New Roman" w:cs="Times New Roman"/>
          <w:sz w:val="24"/>
          <w:szCs w:val="24"/>
        </w:rPr>
        <w:t xml:space="preserve"> must establish:</w:t>
      </w:r>
    </w:p>
    <w:p w:rsidR="00381932" w:rsidRPr="008A2010" w:rsidRDefault="00381932" w:rsidP="002019AC">
      <w:pPr>
        <w:pStyle w:val="ListParagraph"/>
        <w:numPr>
          <w:ilvl w:val="0"/>
          <w:numId w:val="1"/>
        </w:numPr>
        <w:spacing w:line="360" w:lineRule="auto"/>
        <w:jc w:val="both"/>
        <w:rPr>
          <w:rFonts w:ascii="Times New Roman" w:hAnsi="Times New Roman" w:cs="Times New Roman"/>
          <w:sz w:val="24"/>
          <w:szCs w:val="24"/>
        </w:rPr>
      </w:pPr>
      <w:r w:rsidRPr="008A2010">
        <w:rPr>
          <w:rFonts w:ascii="Times New Roman" w:hAnsi="Times New Roman" w:cs="Times New Roman"/>
          <w:sz w:val="24"/>
          <w:szCs w:val="24"/>
        </w:rPr>
        <w:t xml:space="preserve">A </w:t>
      </w:r>
      <w:r w:rsidRPr="00C21133">
        <w:rPr>
          <w:rFonts w:ascii="Times New Roman" w:hAnsi="Times New Roman" w:cs="Times New Roman"/>
          <w:i/>
          <w:sz w:val="24"/>
          <w:szCs w:val="24"/>
        </w:rPr>
        <w:t>prima facie</w:t>
      </w:r>
      <w:r w:rsidRPr="008A2010">
        <w:rPr>
          <w:rFonts w:ascii="Times New Roman" w:hAnsi="Times New Roman" w:cs="Times New Roman"/>
          <w:sz w:val="24"/>
          <w:szCs w:val="24"/>
        </w:rPr>
        <w:t xml:space="preserve"> right even if it is open to doubt,</w:t>
      </w:r>
    </w:p>
    <w:p w:rsidR="00381932" w:rsidRPr="008A2010" w:rsidRDefault="00381932" w:rsidP="002019AC">
      <w:pPr>
        <w:pStyle w:val="ListParagraph"/>
        <w:numPr>
          <w:ilvl w:val="0"/>
          <w:numId w:val="1"/>
        </w:numPr>
        <w:spacing w:line="360" w:lineRule="auto"/>
        <w:jc w:val="both"/>
        <w:rPr>
          <w:rFonts w:ascii="Times New Roman" w:hAnsi="Times New Roman" w:cs="Times New Roman"/>
          <w:sz w:val="24"/>
          <w:szCs w:val="24"/>
        </w:rPr>
      </w:pPr>
      <w:r w:rsidRPr="008A2010">
        <w:rPr>
          <w:rFonts w:ascii="Times New Roman" w:hAnsi="Times New Roman" w:cs="Times New Roman"/>
          <w:sz w:val="24"/>
          <w:szCs w:val="24"/>
        </w:rPr>
        <w:t>An infringement of such right or a reasonable apprehension of irreparable and imminent harm to the right if an interim interdict is not granted’</w:t>
      </w:r>
    </w:p>
    <w:p w:rsidR="00381932" w:rsidRPr="008A2010" w:rsidRDefault="00381932" w:rsidP="002019AC">
      <w:pPr>
        <w:pStyle w:val="ListParagraph"/>
        <w:numPr>
          <w:ilvl w:val="0"/>
          <w:numId w:val="1"/>
        </w:numPr>
        <w:spacing w:line="360" w:lineRule="auto"/>
        <w:jc w:val="both"/>
        <w:rPr>
          <w:rFonts w:ascii="Times New Roman" w:hAnsi="Times New Roman" w:cs="Times New Roman"/>
          <w:sz w:val="24"/>
          <w:szCs w:val="24"/>
        </w:rPr>
      </w:pPr>
      <w:r w:rsidRPr="008A2010">
        <w:rPr>
          <w:rFonts w:ascii="Times New Roman" w:hAnsi="Times New Roman" w:cs="Times New Roman"/>
          <w:sz w:val="24"/>
          <w:szCs w:val="24"/>
        </w:rPr>
        <w:t>A balance of convenience favouring the grant of the interdict and</w:t>
      </w:r>
    </w:p>
    <w:p w:rsidR="003B17A0" w:rsidRDefault="00381932" w:rsidP="005437EF">
      <w:pPr>
        <w:pStyle w:val="ListParagraph"/>
        <w:numPr>
          <w:ilvl w:val="0"/>
          <w:numId w:val="1"/>
        </w:numPr>
        <w:spacing w:line="360" w:lineRule="auto"/>
        <w:jc w:val="both"/>
        <w:rPr>
          <w:rFonts w:ascii="Times New Roman" w:hAnsi="Times New Roman" w:cs="Times New Roman"/>
          <w:sz w:val="24"/>
          <w:szCs w:val="24"/>
        </w:rPr>
      </w:pPr>
      <w:r w:rsidRPr="003B17A0">
        <w:rPr>
          <w:rFonts w:ascii="Times New Roman" w:hAnsi="Times New Roman" w:cs="Times New Roman"/>
          <w:sz w:val="24"/>
          <w:szCs w:val="24"/>
        </w:rPr>
        <w:t xml:space="preserve"> The absence of any other remedy</w:t>
      </w:r>
      <w:r w:rsidR="003B17A0">
        <w:rPr>
          <w:rStyle w:val="FootnoteReference"/>
          <w:rFonts w:ascii="Times New Roman" w:hAnsi="Times New Roman" w:cs="Times New Roman"/>
          <w:sz w:val="24"/>
          <w:szCs w:val="24"/>
        </w:rPr>
        <w:footnoteReference w:id="4"/>
      </w:r>
      <w:r w:rsidR="003B17A0">
        <w:rPr>
          <w:rFonts w:ascii="Times New Roman" w:hAnsi="Times New Roman" w:cs="Times New Roman"/>
          <w:sz w:val="24"/>
          <w:szCs w:val="24"/>
        </w:rPr>
        <w:t xml:space="preserve"> </w:t>
      </w:r>
    </w:p>
    <w:p w:rsidR="00381932" w:rsidRPr="003B17A0" w:rsidRDefault="00381932" w:rsidP="00F43FC5">
      <w:pPr>
        <w:spacing w:after="0" w:line="360" w:lineRule="auto"/>
        <w:ind w:firstLine="360"/>
        <w:jc w:val="both"/>
        <w:rPr>
          <w:rFonts w:ascii="Times New Roman" w:hAnsi="Times New Roman" w:cs="Times New Roman"/>
          <w:sz w:val="24"/>
          <w:szCs w:val="24"/>
        </w:rPr>
      </w:pPr>
      <w:r w:rsidRPr="003B17A0">
        <w:rPr>
          <w:rFonts w:ascii="Times New Roman" w:hAnsi="Times New Roman" w:cs="Times New Roman"/>
          <w:sz w:val="24"/>
          <w:szCs w:val="24"/>
        </w:rPr>
        <w:t>The applicants and the respondent made extensive submissions on issues that are best resolved on the return date. I shall not consider those submissions as they tend to cloud the issues for determination in this application.</w:t>
      </w:r>
    </w:p>
    <w:p w:rsidR="0095661A" w:rsidRDefault="00381932" w:rsidP="00F43FC5">
      <w:pPr>
        <w:spacing w:after="0" w:line="360" w:lineRule="auto"/>
        <w:ind w:firstLine="720"/>
        <w:jc w:val="both"/>
        <w:rPr>
          <w:rFonts w:ascii="Times New Roman" w:hAnsi="Times New Roman" w:cs="Times New Roman"/>
          <w:sz w:val="24"/>
          <w:szCs w:val="24"/>
        </w:rPr>
      </w:pPr>
      <w:r w:rsidRPr="00F43FC5">
        <w:rPr>
          <w:rFonts w:ascii="Times New Roman" w:hAnsi="Times New Roman" w:cs="Times New Roman"/>
          <w:sz w:val="24"/>
          <w:szCs w:val="24"/>
        </w:rPr>
        <w:t xml:space="preserve">Mr </w:t>
      </w:r>
      <w:r w:rsidRPr="003B17A0">
        <w:rPr>
          <w:rFonts w:ascii="Times New Roman" w:hAnsi="Times New Roman" w:cs="Times New Roman"/>
          <w:i/>
          <w:sz w:val="24"/>
          <w:szCs w:val="24"/>
        </w:rPr>
        <w:t>Mswelanto</w:t>
      </w:r>
      <w:r w:rsidRPr="008A2010">
        <w:rPr>
          <w:rFonts w:ascii="Times New Roman" w:hAnsi="Times New Roman" w:cs="Times New Roman"/>
          <w:sz w:val="24"/>
          <w:szCs w:val="24"/>
        </w:rPr>
        <w:t xml:space="preserve"> submitted that the respondent sold certain properties known as Lot 5 of Paarl measuring 2</w:t>
      </w:r>
      <w:r w:rsidR="002E7000" w:rsidRPr="008A2010">
        <w:rPr>
          <w:rFonts w:ascii="Times New Roman" w:hAnsi="Times New Roman" w:cs="Times New Roman"/>
          <w:sz w:val="24"/>
          <w:szCs w:val="24"/>
        </w:rPr>
        <w:t>, 0711</w:t>
      </w:r>
      <w:r w:rsidRPr="008A2010">
        <w:rPr>
          <w:rFonts w:ascii="Times New Roman" w:hAnsi="Times New Roman" w:cs="Times New Roman"/>
          <w:sz w:val="24"/>
          <w:szCs w:val="24"/>
        </w:rPr>
        <w:t xml:space="preserve"> hectares, Lot 7 of Paarl measuring 1</w:t>
      </w:r>
      <w:r w:rsidR="002E7000" w:rsidRPr="008A2010">
        <w:rPr>
          <w:rFonts w:ascii="Times New Roman" w:hAnsi="Times New Roman" w:cs="Times New Roman"/>
          <w:sz w:val="24"/>
          <w:szCs w:val="24"/>
        </w:rPr>
        <w:t>, 7604</w:t>
      </w:r>
      <w:r w:rsidRPr="008A2010">
        <w:rPr>
          <w:rFonts w:ascii="Times New Roman" w:hAnsi="Times New Roman" w:cs="Times New Roman"/>
          <w:sz w:val="24"/>
          <w:szCs w:val="24"/>
        </w:rPr>
        <w:t xml:space="preserve"> hectares, Lot 9 of Paarl measuring </w:t>
      </w:r>
      <w:r w:rsidR="002E7000">
        <w:rPr>
          <w:rFonts w:ascii="Times New Roman" w:hAnsi="Times New Roman" w:cs="Times New Roman"/>
          <w:sz w:val="24"/>
          <w:szCs w:val="24"/>
        </w:rPr>
        <w:t>1, 7878</w:t>
      </w:r>
      <w:r w:rsidRPr="008A2010">
        <w:rPr>
          <w:rFonts w:ascii="Times New Roman" w:hAnsi="Times New Roman" w:cs="Times New Roman"/>
          <w:sz w:val="24"/>
          <w:szCs w:val="24"/>
        </w:rPr>
        <w:t xml:space="preserve"> hectares</w:t>
      </w:r>
      <w:r w:rsidR="00D53246" w:rsidRPr="008A2010">
        <w:rPr>
          <w:rFonts w:ascii="Times New Roman" w:hAnsi="Times New Roman" w:cs="Times New Roman"/>
          <w:sz w:val="24"/>
          <w:szCs w:val="24"/>
        </w:rPr>
        <w:t xml:space="preserve">, </w:t>
      </w:r>
      <w:r w:rsidR="002E7000" w:rsidRPr="008A2010">
        <w:rPr>
          <w:rFonts w:ascii="Times New Roman" w:hAnsi="Times New Roman" w:cs="Times New Roman"/>
          <w:sz w:val="24"/>
          <w:szCs w:val="24"/>
        </w:rPr>
        <w:t xml:space="preserve">Lot </w:t>
      </w:r>
      <w:r w:rsidR="002E7000">
        <w:rPr>
          <w:rFonts w:ascii="Times New Roman" w:hAnsi="Times New Roman" w:cs="Times New Roman"/>
          <w:sz w:val="24"/>
          <w:szCs w:val="24"/>
        </w:rPr>
        <w:t xml:space="preserve">19 </w:t>
      </w:r>
      <w:r w:rsidR="002E7000" w:rsidRPr="008A2010">
        <w:rPr>
          <w:rFonts w:ascii="Times New Roman" w:hAnsi="Times New Roman" w:cs="Times New Roman"/>
          <w:sz w:val="24"/>
          <w:szCs w:val="24"/>
        </w:rPr>
        <w:t>of</w:t>
      </w:r>
      <w:r w:rsidR="00D53246" w:rsidRPr="008A2010">
        <w:rPr>
          <w:rFonts w:ascii="Times New Roman" w:hAnsi="Times New Roman" w:cs="Times New Roman"/>
          <w:sz w:val="24"/>
          <w:szCs w:val="24"/>
        </w:rPr>
        <w:t xml:space="preserve"> Paarl measuring </w:t>
      </w:r>
      <w:r w:rsidR="002E7000">
        <w:rPr>
          <w:rFonts w:ascii="Times New Roman" w:hAnsi="Times New Roman" w:cs="Times New Roman"/>
          <w:sz w:val="24"/>
          <w:szCs w:val="24"/>
        </w:rPr>
        <w:t>1, 8503</w:t>
      </w:r>
      <w:r w:rsidR="00D53246" w:rsidRPr="008A2010">
        <w:rPr>
          <w:rFonts w:ascii="Times New Roman" w:hAnsi="Times New Roman" w:cs="Times New Roman"/>
          <w:sz w:val="24"/>
          <w:szCs w:val="24"/>
        </w:rPr>
        <w:t xml:space="preserve"> hectares and Lot 11 of Paarl Farm measuring 1,6188 hectares</w:t>
      </w:r>
      <w:r w:rsidR="003B17A0">
        <w:rPr>
          <w:rFonts w:ascii="Times New Roman" w:hAnsi="Times New Roman" w:cs="Times New Roman"/>
          <w:sz w:val="24"/>
          <w:szCs w:val="24"/>
        </w:rPr>
        <w:t xml:space="preserve"> </w:t>
      </w:r>
      <w:r w:rsidR="002E7000">
        <w:rPr>
          <w:rFonts w:ascii="Times New Roman" w:hAnsi="Times New Roman" w:cs="Times New Roman"/>
          <w:sz w:val="24"/>
          <w:szCs w:val="24"/>
        </w:rPr>
        <w:t xml:space="preserve"> and Lot 20 of Paarl measuring 1,6960 hectares </w:t>
      </w:r>
      <w:r w:rsidR="003B17A0">
        <w:rPr>
          <w:rFonts w:ascii="Times New Roman" w:hAnsi="Times New Roman" w:cs="Times New Roman"/>
          <w:sz w:val="24"/>
          <w:szCs w:val="24"/>
        </w:rPr>
        <w:t>to the first applicant</w:t>
      </w:r>
      <w:r w:rsidR="003B17A0" w:rsidRPr="008A2010">
        <w:rPr>
          <w:rFonts w:ascii="Times New Roman" w:hAnsi="Times New Roman" w:cs="Times New Roman"/>
          <w:sz w:val="24"/>
          <w:szCs w:val="24"/>
        </w:rPr>
        <w:t>.</w:t>
      </w:r>
      <w:r w:rsidR="003B17A0">
        <w:rPr>
          <w:rFonts w:ascii="Times New Roman" w:hAnsi="Times New Roman" w:cs="Times New Roman"/>
          <w:sz w:val="24"/>
          <w:szCs w:val="24"/>
        </w:rPr>
        <w:t xml:space="preserve"> The first applicant in turn sold plot 11 to the second applicant.</w:t>
      </w:r>
      <w:r w:rsidR="00D53246" w:rsidRPr="008A2010">
        <w:rPr>
          <w:rFonts w:ascii="Times New Roman" w:hAnsi="Times New Roman" w:cs="Times New Roman"/>
          <w:sz w:val="24"/>
          <w:szCs w:val="24"/>
        </w:rPr>
        <w:t xml:space="preserve"> The </w:t>
      </w:r>
      <w:r w:rsidR="003B17A0">
        <w:rPr>
          <w:rFonts w:ascii="Times New Roman" w:hAnsi="Times New Roman" w:cs="Times New Roman"/>
          <w:sz w:val="24"/>
          <w:szCs w:val="24"/>
        </w:rPr>
        <w:t xml:space="preserve">agreements of sale were attached to the </w:t>
      </w:r>
      <w:r w:rsidR="00DB3E69">
        <w:rPr>
          <w:rFonts w:ascii="Times New Roman" w:hAnsi="Times New Roman" w:cs="Times New Roman"/>
          <w:sz w:val="24"/>
          <w:szCs w:val="24"/>
        </w:rPr>
        <w:t xml:space="preserve">application. From those submissions the first applicants acquired personal rights and these were passed on to the second applicant. At this stage it is unnecessary to make a determination whether the first applicant could pass personal rights to the second applicant. </w:t>
      </w:r>
    </w:p>
    <w:p w:rsidR="003A0EC9" w:rsidRDefault="00DB3E69" w:rsidP="00F43F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did not deny entering into this agreement. However it raised issues to cloud the application that the first applicant did not fulfill the terms of the agreement, that the agreement </w:t>
      </w:r>
      <w:r>
        <w:rPr>
          <w:rFonts w:ascii="Times New Roman" w:hAnsi="Times New Roman" w:cs="Times New Roman"/>
          <w:sz w:val="24"/>
          <w:szCs w:val="24"/>
        </w:rPr>
        <w:lastRenderedPageBreak/>
        <w:t xml:space="preserve">of sale was not an agreement of sale and that the development agreement which gave rise to the agreements of sale was cancelled .The applicants therefore have no rights to claim. None of the submissions can succeed. If indeed the first applicant breached the terms of the agreement of sale it was for the respondent to make sure that the agreements of sale are </w:t>
      </w:r>
      <w:r w:rsidR="0095661A">
        <w:rPr>
          <w:rFonts w:ascii="Times New Roman" w:hAnsi="Times New Roman" w:cs="Times New Roman"/>
          <w:sz w:val="24"/>
          <w:szCs w:val="24"/>
        </w:rPr>
        <w:t>cancelled</w:t>
      </w:r>
      <w:r>
        <w:rPr>
          <w:rFonts w:ascii="Times New Roman" w:hAnsi="Times New Roman" w:cs="Times New Roman"/>
          <w:sz w:val="24"/>
          <w:szCs w:val="24"/>
        </w:rPr>
        <w:t xml:space="preserve"> in terms of the law. As matters stand the agreements of sale are still extant. The respondent cannot expect this court to </w:t>
      </w:r>
      <w:r w:rsidR="0095661A">
        <w:rPr>
          <w:rFonts w:ascii="Times New Roman" w:hAnsi="Times New Roman" w:cs="Times New Roman"/>
          <w:sz w:val="24"/>
          <w:szCs w:val="24"/>
        </w:rPr>
        <w:t>sanitize</w:t>
      </w:r>
      <w:r>
        <w:rPr>
          <w:rFonts w:ascii="Times New Roman" w:hAnsi="Times New Roman" w:cs="Times New Roman"/>
          <w:sz w:val="24"/>
          <w:szCs w:val="24"/>
        </w:rPr>
        <w:t xml:space="preserve"> its conduct.</w:t>
      </w:r>
      <w:r w:rsidR="0095661A">
        <w:rPr>
          <w:rFonts w:ascii="Times New Roman" w:hAnsi="Times New Roman" w:cs="Times New Roman"/>
          <w:sz w:val="24"/>
          <w:szCs w:val="24"/>
        </w:rPr>
        <w:t xml:space="preserve"> The respondent’s conduct to cancel the agreements and deny the second applicant access to his plot without a court order was unlawful. There is no merit in the argument that what the parties entered into was not an agreement of sale. It was an agreement of </w:t>
      </w:r>
      <w:r w:rsidR="00993AA5">
        <w:rPr>
          <w:rFonts w:ascii="Times New Roman" w:hAnsi="Times New Roman" w:cs="Times New Roman"/>
          <w:sz w:val="24"/>
          <w:szCs w:val="24"/>
        </w:rPr>
        <w:t>sale. The second applicant managed to establish th</w:t>
      </w:r>
      <w:r w:rsidR="003A0EC9">
        <w:rPr>
          <w:rFonts w:ascii="Times New Roman" w:hAnsi="Times New Roman" w:cs="Times New Roman"/>
          <w:sz w:val="24"/>
          <w:szCs w:val="24"/>
        </w:rPr>
        <w:t>at</w:t>
      </w:r>
      <w:r w:rsidR="00993AA5">
        <w:rPr>
          <w:rFonts w:ascii="Times New Roman" w:hAnsi="Times New Roman" w:cs="Times New Roman"/>
          <w:sz w:val="24"/>
          <w:szCs w:val="24"/>
        </w:rPr>
        <w:t xml:space="preserve"> he</w:t>
      </w:r>
      <w:r w:rsidR="003A0EC9">
        <w:rPr>
          <w:rFonts w:ascii="Times New Roman" w:hAnsi="Times New Roman" w:cs="Times New Roman"/>
          <w:sz w:val="24"/>
          <w:szCs w:val="24"/>
        </w:rPr>
        <w:t xml:space="preserve"> has a </w:t>
      </w:r>
      <w:r w:rsidR="003A0EC9" w:rsidRPr="003A0EC9">
        <w:rPr>
          <w:rFonts w:ascii="Times New Roman" w:hAnsi="Times New Roman" w:cs="Times New Roman"/>
          <w:i/>
          <w:sz w:val="24"/>
          <w:szCs w:val="24"/>
        </w:rPr>
        <w:t>prima facie</w:t>
      </w:r>
      <w:r w:rsidR="003A0EC9">
        <w:rPr>
          <w:rFonts w:ascii="Times New Roman" w:hAnsi="Times New Roman" w:cs="Times New Roman"/>
          <w:sz w:val="24"/>
          <w:szCs w:val="24"/>
        </w:rPr>
        <w:t xml:space="preserve"> right. The second app</w:t>
      </w:r>
      <w:r w:rsidR="00993AA5">
        <w:rPr>
          <w:rFonts w:ascii="Times New Roman" w:hAnsi="Times New Roman" w:cs="Times New Roman"/>
          <w:sz w:val="24"/>
          <w:szCs w:val="24"/>
        </w:rPr>
        <w:t>licant has shown that the right</w:t>
      </w:r>
      <w:r w:rsidR="003A0EC9">
        <w:rPr>
          <w:rFonts w:ascii="Times New Roman" w:hAnsi="Times New Roman" w:cs="Times New Roman"/>
          <w:sz w:val="24"/>
          <w:szCs w:val="24"/>
        </w:rPr>
        <w:t xml:space="preserve"> has been interfered with and this has not been denied by the respondent. He</w:t>
      </w:r>
      <w:r w:rsidR="00993AA5">
        <w:rPr>
          <w:rFonts w:ascii="Times New Roman" w:hAnsi="Times New Roman" w:cs="Times New Roman"/>
          <w:sz w:val="24"/>
          <w:szCs w:val="24"/>
        </w:rPr>
        <w:t xml:space="preserve"> was denied access his plot and this was not denied.</w:t>
      </w:r>
    </w:p>
    <w:p w:rsidR="00EE2BC1" w:rsidRDefault="003A0EC9" w:rsidP="003A0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A0EC9">
        <w:rPr>
          <w:rFonts w:ascii="Times New Roman" w:hAnsi="Times New Roman" w:cs="Times New Roman"/>
          <w:i/>
          <w:sz w:val="24"/>
          <w:szCs w:val="24"/>
        </w:rPr>
        <w:t>Mr Sithole</w:t>
      </w:r>
      <w:r>
        <w:rPr>
          <w:rFonts w:ascii="Times New Roman" w:hAnsi="Times New Roman" w:cs="Times New Roman"/>
          <w:sz w:val="24"/>
          <w:szCs w:val="24"/>
        </w:rPr>
        <w:t xml:space="preserve"> for the respondent submitted that the applicants have an alternative remedy in the form of</w:t>
      </w:r>
      <w:r w:rsidR="00EE2BC1">
        <w:rPr>
          <w:rFonts w:ascii="Times New Roman" w:hAnsi="Times New Roman" w:cs="Times New Roman"/>
          <w:sz w:val="24"/>
          <w:szCs w:val="24"/>
        </w:rPr>
        <w:t xml:space="preserve"> a claim for damages</w:t>
      </w:r>
      <w:r>
        <w:rPr>
          <w:rFonts w:ascii="Times New Roman" w:hAnsi="Times New Roman" w:cs="Times New Roman"/>
          <w:sz w:val="24"/>
          <w:szCs w:val="24"/>
        </w:rPr>
        <w:t xml:space="preserve"> since the plots have been sold to third parties. The court was urged to dismiss the application because there are third parties who </w:t>
      </w:r>
      <w:r w:rsidR="00993AA5">
        <w:rPr>
          <w:rFonts w:ascii="Times New Roman" w:hAnsi="Times New Roman" w:cs="Times New Roman"/>
          <w:sz w:val="24"/>
          <w:szCs w:val="24"/>
        </w:rPr>
        <w:t>are likely to be prejudiced</w:t>
      </w:r>
      <w:r>
        <w:rPr>
          <w:rFonts w:ascii="Times New Roman" w:hAnsi="Times New Roman" w:cs="Times New Roman"/>
          <w:sz w:val="24"/>
          <w:szCs w:val="24"/>
        </w:rPr>
        <w:t xml:space="preserve"> and that the order may not be capable of execution. I agree with counsel for the applicant. The interim order is the suitable remedy available to the applicant. The applicants were surprised to hear in court that the plots were disposed</w:t>
      </w:r>
      <w:r w:rsidR="00993AA5">
        <w:rPr>
          <w:rFonts w:ascii="Times New Roman" w:hAnsi="Times New Roman" w:cs="Times New Roman"/>
          <w:sz w:val="24"/>
          <w:szCs w:val="24"/>
        </w:rPr>
        <w:t xml:space="preserve"> to third parties</w:t>
      </w:r>
      <w:r>
        <w:rPr>
          <w:rFonts w:ascii="Times New Roman" w:hAnsi="Times New Roman" w:cs="Times New Roman"/>
          <w:sz w:val="24"/>
          <w:szCs w:val="24"/>
        </w:rPr>
        <w:t>. Infact I am unable to ac</w:t>
      </w:r>
      <w:r w:rsidR="00EE2BC1">
        <w:rPr>
          <w:rFonts w:ascii="Times New Roman" w:hAnsi="Times New Roman" w:cs="Times New Roman"/>
          <w:sz w:val="24"/>
          <w:szCs w:val="24"/>
        </w:rPr>
        <w:t xml:space="preserve">cept the </w:t>
      </w:r>
      <w:r>
        <w:rPr>
          <w:rFonts w:ascii="Times New Roman" w:hAnsi="Times New Roman" w:cs="Times New Roman"/>
          <w:sz w:val="24"/>
          <w:szCs w:val="24"/>
        </w:rPr>
        <w:t>submission</w:t>
      </w:r>
      <w:r w:rsidR="00EE2BC1">
        <w:rPr>
          <w:rFonts w:ascii="Times New Roman" w:hAnsi="Times New Roman" w:cs="Times New Roman"/>
          <w:sz w:val="24"/>
          <w:szCs w:val="24"/>
        </w:rPr>
        <w:t xml:space="preserve"> that the plots were sold to third parties</w:t>
      </w:r>
      <w:r>
        <w:rPr>
          <w:rFonts w:ascii="Times New Roman" w:hAnsi="Times New Roman" w:cs="Times New Roman"/>
          <w:sz w:val="24"/>
          <w:szCs w:val="24"/>
        </w:rPr>
        <w:t xml:space="preserve"> because no evidence was placed before the court to substantiate the alleged sales. Secondly the respondent’s submission urges this court to protect third parties that are not before the court. It also urges this court to uphold the respondent’s conduct to cancel a sale agreement, repossess the plots and dispose them without a court order. The courts cannot be used to further an unlawful conduct it cannot sanitize the </w:t>
      </w:r>
      <w:r w:rsidR="00EE2BC1">
        <w:rPr>
          <w:rFonts w:ascii="Times New Roman" w:hAnsi="Times New Roman" w:cs="Times New Roman"/>
          <w:sz w:val="24"/>
          <w:szCs w:val="24"/>
        </w:rPr>
        <w:t>respondent’s conduct which is tainted with illegalities. There is no alternative remedy in this case. The balance of convenience favors the granting of the odder since the applicant stands to be prejudiced by the respondent’s conduct.</w:t>
      </w:r>
    </w:p>
    <w:p w:rsidR="00EE2BC1" w:rsidRDefault="00EE2BC1" w:rsidP="00993AA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From the foregoing the provisional order shall be granted in respect of plot </w:t>
      </w:r>
      <w:r w:rsidR="00A73479">
        <w:rPr>
          <w:rFonts w:ascii="Times New Roman" w:hAnsi="Times New Roman" w:cs="Times New Roman"/>
          <w:sz w:val="24"/>
          <w:szCs w:val="24"/>
        </w:rPr>
        <w:t>11</w:t>
      </w:r>
      <w:r w:rsidR="00993AA5">
        <w:rPr>
          <w:rFonts w:ascii="Times New Roman" w:hAnsi="Times New Roman" w:cs="Times New Roman"/>
          <w:sz w:val="24"/>
          <w:szCs w:val="24"/>
        </w:rPr>
        <w:t xml:space="preserve"> only</w:t>
      </w:r>
      <w:r w:rsidR="00A73479">
        <w:rPr>
          <w:rFonts w:ascii="Times New Roman" w:hAnsi="Times New Roman" w:cs="Times New Roman"/>
          <w:sz w:val="24"/>
          <w:szCs w:val="24"/>
        </w:rPr>
        <w:t xml:space="preserve">. </w:t>
      </w:r>
      <w:r>
        <w:rPr>
          <w:rFonts w:ascii="Times New Roman" w:hAnsi="Times New Roman" w:cs="Times New Roman"/>
          <w:sz w:val="24"/>
          <w:szCs w:val="24"/>
        </w:rPr>
        <w:t>Accordingly the following order is made,</w:t>
      </w:r>
    </w:p>
    <w:p w:rsidR="00EE2BC1" w:rsidRDefault="00EE2BC1" w:rsidP="003A0EC9">
      <w:pPr>
        <w:spacing w:after="0" w:line="360" w:lineRule="auto"/>
        <w:jc w:val="both"/>
        <w:rPr>
          <w:rFonts w:ascii="Times New Roman" w:hAnsi="Times New Roman" w:cs="Times New Roman"/>
          <w:sz w:val="24"/>
          <w:szCs w:val="24"/>
        </w:rPr>
      </w:pPr>
    </w:p>
    <w:p w:rsidR="00A73479" w:rsidRDefault="00A73479" w:rsidP="00EE2BC1">
      <w:pPr>
        <w:spacing w:line="240" w:lineRule="auto"/>
        <w:ind w:firstLine="360"/>
        <w:jc w:val="both"/>
        <w:rPr>
          <w:rFonts w:ascii="Times New Roman" w:hAnsi="Times New Roman" w:cs="Times New Roman"/>
          <w:sz w:val="28"/>
          <w:szCs w:val="24"/>
          <w:u w:val="single"/>
        </w:rPr>
      </w:pPr>
    </w:p>
    <w:p w:rsidR="00A73479" w:rsidRDefault="00A73479" w:rsidP="00EE2BC1">
      <w:pPr>
        <w:spacing w:line="240" w:lineRule="auto"/>
        <w:ind w:firstLine="360"/>
        <w:jc w:val="both"/>
        <w:rPr>
          <w:rFonts w:ascii="Times New Roman" w:hAnsi="Times New Roman" w:cs="Times New Roman"/>
          <w:sz w:val="28"/>
          <w:szCs w:val="24"/>
          <w:u w:val="single"/>
        </w:rPr>
      </w:pPr>
    </w:p>
    <w:p w:rsidR="00A73479" w:rsidRDefault="00A73479" w:rsidP="00EE2BC1">
      <w:pPr>
        <w:spacing w:line="240" w:lineRule="auto"/>
        <w:ind w:firstLine="360"/>
        <w:jc w:val="both"/>
        <w:rPr>
          <w:rFonts w:ascii="Times New Roman" w:hAnsi="Times New Roman" w:cs="Times New Roman"/>
          <w:sz w:val="28"/>
          <w:szCs w:val="24"/>
          <w:u w:val="single"/>
        </w:rPr>
      </w:pPr>
    </w:p>
    <w:p w:rsidR="00EE2BC1" w:rsidRPr="00250619" w:rsidRDefault="00EE2BC1" w:rsidP="00EE2BC1">
      <w:pPr>
        <w:spacing w:line="240" w:lineRule="auto"/>
        <w:ind w:firstLine="360"/>
        <w:jc w:val="both"/>
        <w:rPr>
          <w:rFonts w:ascii="Times New Roman" w:hAnsi="Times New Roman" w:cs="Times New Roman"/>
          <w:sz w:val="28"/>
          <w:szCs w:val="24"/>
          <w:u w:val="single"/>
        </w:rPr>
      </w:pPr>
      <w:r w:rsidRPr="00250619">
        <w:rPr>
          <w:rFonts w:ascii="Times New Roman" w:hAnsi="Times New Roman" w:cs="Times New Roman"/>
          <w:sz w:val="28"/>
          <w:szCs w:val="24"/>
          <w:u w:val="single"/>
        </w:rPr>
        <w:lastRenderedPageBreak/>
        <w:t>INTERIM RELIEF GRANTED</w:t>
      </w:r>
    </w:p>
    <w:p w:rsidR="00EE2BC1" w:rsidRDefault="00EE2BC1" w:rsidP="00EE2BC1">
      <w:pPr>
        <w:spacing w:line="240" w:lineRule="auto"/>
        <w:ind w:firstLine="360"/>
        <w:jc w:val="both"/>
        <w:rPr>
          <w:rFonts w:ascii="Times New Roman" w:hAnsi="Times New Roman" w:cs="Times New Roman"/>
          <w:sz w:val="24"/>
          <w:szCs w:val="24"/>
        </w:rPr>
      </w:pPr>
      <w:r w:rsidRPr="00536693">
        <w:rPr>
          <w:rFonts w:ascii="Times New Roman" w:hAnsi="Times New Roman" w:cs="Times New Roman"/>
          <w:sz w:val="24"/>
          <w:szCs w:val="24"/>
        </w:rPr>
        <w:t>Pending the determination of this matter, the</w:t>
      </w:r>
      <w:r>
        <w:rPr>
          <w:rFonts w:ascii="Times New Roman" w:hAnsi="Times New Roman" w:cs="Times New Roman"/>
          <w:sz w:val="24"/>
          <w:szCs w:val="24"/>
        </w:rPr>
        <w:t xml:space="preserve"> second a</w:t>
      </w:r>
      <w:r w:rsidR="009D7D42">
        <w:rPr>
          <w:rFonts w:ascii="Times New Roman" w:hAnsi="Times New Roman" w:cs="Times New Roman"/>
          <w:sz w:val="24"/>
          <w:szCs w:val="24"/>
        </w:rPr>
        <w:t>pplicant</w:t>
      </w:r>
      <w:r w:rsidRPr="00536693">
        <w:rPr>
          <w:rFonts w:ascii="Times New Roman" w:hAnsi="Times New Roman" w:cs="Times New Roman"/>
          <w:sz w:val="24"/>
          <w:szCs w:val="24"/>
        </w:rPr>
        <w:t xml:space="preserve"> </w:t>
      </w:r>
      <w:r>
        <w:rPr>
          <w:rFonts w:ascii="Times New Roman" w:hAnsi="Times New Roman" w:cs="Times New Roman"/>
          <w:sz w:val="24"/>
          <w:szCs w:val="24"/>
        </w:rPr>
        <w:t>is granted the following relief;</w:t>
      </w:r>
    </w:p>
    <w:p w:rsidR="003A0EC9" w:rsidRPr="00EE2BC1" w:rsidRDefault="00EE2BC1" w:rsidP="00117AA0">
      <w:pPr>
        <w:pStyle w:val="ListParagraph"/>
        <w:numPr>
          <w:ilvl w:val="0"/>
          <w:numId w:val="8"/>
        </w:numPr>
        <w:spacing w:after="0" w:line="360" w:lineRule="auto"/>
        <w:jc w:val="both"/>
        <w:rPr>
          <w:rFonts w:ascii="Times New Roman" w:hAnsi="Times New Roman" w:cs="Times New Roman"/>
          <w:sz w:val="24"/>
          <w:szCs w:val="24"/>
        </w:rPr>
      </w:pPr>
      <w:r w:rsidRPr="00EE2BC1">
        <w:rPr>
          <w:rFonts w:ascii="Times New Roman" w:hAnsi="Times New Roman" w:cs="Times New Roman"/>
          <w:sz w:val="24"/>
          <w:szCs w:val="24"/>
        </w:rPr>
        <w:t xml:space="preserve">Respondent be and is hereby ordered to give access, and restore possession of </w:t>
      </w:r>
      <w:r w:rsidRPr="00EE2BC1">
        <w:rPr>
          <w:rFonts w:ascii="Times New Roman" w:hAnsi="Times New Roman" w:cs="Times New Roman"/>
          <w:b/>
          <w:sz w:val="24"/>
          <w:szCs w:val="24"/>
        </w:rPr>
        <w:t>LOT 11 of Paarl measuring 1,6188 hectares</w:t>
      </w:r>
      <w:r w:rsidRPr="00EE2BC1">
        <w:rPr>
          <w:rFonts w:ascii="Times New Roman" w:hAnsi="Times New Roman" w:cs="Times New Roman"/>
          <w:sz w:val="24"/>
          <w:szCs w:val="24"/>
        </w:rPr>
        <w:t xml:space="preserve"> to the 2</w:t>
      </w:r>
      <w:r w:rsidRPr="00EE2BC1">
        <w:rPr>
          <w:rFonts w:ascii="Times New Roman" w:hAnsi="Times New Roman" w:cs="Times New Roman"/>
          <w:sz w:val="24"/>
          <w:szCs w:val="24"/>
          <w:vertAlign w:val="superscript"/>
        </w:rPr>
        <w:t>nd</w:t>
      </w:r>
      <w:r w:rsidRPr="00EE2BC1">
        <w:rPr>
          <w:rFonts w:ascii="Times New Roman" w:hAnsi="Times New Roman" w:cs="Times New Roman"/>
          <w:sz w:val="24"/>
          <w:szCs w:val="24"/>
        </w:rPr>
        <w:t xml:space="preserve"> Applicant.”</w:t>
      </w:r>
    </w:p>
    <w:p w:rsidR="0095661A" w:rsidRPr="00EE2BC1" w:rsidRDefault="0095661A" w:rsidP="00F43FC5">
      <w:pPr>
        <w:spacing w:after="0" w:line="360" w:lineRule="auto"/>
        <w:ind w:firstLine="720"/>
        <w:jc w:val="both"/>
        <w:rPr>
          <w:rFonts w:ascii="Times New Roman" w:hAnsi="Times New Roman" w:cs="Times New Roman"/>
          <w:sz w:val="24"/>
          <w:szCs w:val="24"/>
        </w:rPr>
      </w:pPr>
    </w:p>
    <w:p w:rsidR="005A1F8F" w:rsidRDefault="005A1F8F" w:rsidP="00E96A06">
      <w:pPr>
        <w:spacing w:line="360" w:lineRule="auto"/>
        <w:ind w:left="360"/>
        <w:jc w:val="both"/>
        <w:rPr>
          <w:rFonts w:ascii="Times New Roman" w:hAnsi="Times New Roman" w:cs="Times New Roman"/>
          <w:sz w:val="24"/>
          <w:szCs w:val="24"/>
        </w:rPr>
      </w:pPr>
    </w:p>
    <w:p w:rsidR="0029145A" w:rsidRDefault="0029145A" w:rsidP="00E96A06">
      <w:pPr>
        <w:spacing w:line="360" w:lineRule="auto"/>
        <w:ind w:left="360"/>
        <w:jc w:val="both"/>
        <w:rPr>
          <w:rFonts w:ascii="Times New Roman" w:hAnsi="Times New Roman" w:cs="Times New Roman"/>
          <w:sz w:val="24"/>
          <w:szCs w:val="24"/>
        </w:rPr>
      </w:pPr>
    </w:p>
    <w:p w:rsidR="0029145A" w:rsidRDefault="0029145A" w:rsidP="00E96A06">
      <w:pPr>
        <w:spacing w:line="360" w:lineRule="auto"/>
        <w:ind w:left="360"/>
        <w:jc w:val="both"/>
        <w:rPr>
          <w:rFonts w:ascii="Times New Roman" w:hAnsi="Times New Roman" w:cs="Times New Roman"/>
          <w:sz w:val="24"/>
          <w:szCs w:val="24"/>
        </w:rPr>
      </w:pPr>
    </w:p>
    <w:p w:rsidR="005A1F8F" w:rsidRDefault="005A1F8F" w:rsidP="005A1F8F">
      <w:pPr>
        <w:spacing w:after="0" w:line="240" w:lineRule="auto"/>
        <w:jc w:val="both"/>
        <w:rPr>
          <w:rFonts w:ascii="Times New Roman" w:hAnsi="Times New Roman" w:cs="Times New Roman"/>
          <w:sz w:val="24"/>
          <w:szCs w:val="24"/>
        </w:rPr>
      </w:pPr>
      <w:r w:rsidRPr="005A1F8F">
        <w:rPr>
          <w:rFonts w:ascii="Times New Roman" w:hAnsi="Times New Roman" w:cs="Times New Roman"/>
          <w:i/>
          <w:sz w:val="24"/>
          <w:szCs w:val="24"/>
        </w:rPr>
        <w:t>Hamunakwadi &amp; Nyandoro</w:t>
      </w:r>
      <w:r>
        <w:rPr>
          <w:rFonts w:ascii="Times New Roman" w:hAnsi="Times New Roman" w:cs="Times New Roman"/>
          <w:sz w:val="24"/>
          <w:szCs w:val="24"/>
        </w:rPr>
        <w:t>, applicant’s legal practitioners</w:t>
      </w:r>
    </w:p>
    <w:p w:rsidR="005A1F8F" w:rsidRDefault="005A1F8F" w:rsidP="005A1F8F">
      <w:pPr>
        <w:spacing w:after="0" w:line="240" w:lineRule="auto"/>
        <w:jc w:val="both"/>
        <w:rPr>
          <w:rFonts w:ascii="Times New Roman" w:hAnsi="Times New Roman" w:cs="Times New Roman"/>
          <w:sz w:val="24"/>
          <w:szCs w:val="24"/>
        </w:rPr>
      </w:pPr>
      <w:r w:rsidRPr="005A1F8F">
        <w:rPr>
          <w:rFonts w:ascii="Times New Roman" w:hAnsi="Times New Roman" w:cs="Times New Roman"/>
          <w:i/>
          <w:sz w:val="24"/>
          <w:szCs w:val="24"/>
        </w:rPr>
        <w:t>Muza &amp; Nyapadi</w:t>
      </w:r>
      <w:r>
        <w:rPr>
          <w:rFonts w:ascii="Times New Roman" w:hAnsi="Times New Roman" w:cs="Times New Roman"/>
          <w:sz w:val="24"/>
          <w:szCs w:val="24"/>
        </w:rPr>
        <w:t>, respondent’s legal practitioners</w:t>
      </w:r>
    </w:p>
    <w:p w:rsidR="00E96A06" w:rsidRDefault="00E96A06" w:rsidP="004D7A08">
      <w:pPr>
        <w:spacing w:line="360" w:lineRule="auto"/>
        <w:ind w:firstLine="360"/>
        <w:jc w:val="both"/>
        <w:rPr>
          <w:rFonts w:ascii="Times New Roman" w:hAnsi="Times New Roman" w:cs="Times New Roman"/>
          <w:sz w:val="24"/>
          <w:szCs w:val="24"/>
        </w:rPr>
      </w:pPr>
    </w:p>
    <w:p w:rsidR="00033144" w:rsidRPr="00033144" w:rsidRDefault="00033144" w:rsidP="00033144">
      <w:pPr>
        <w:spacing w:line="360" w:lineRule="auto"/>
        <w:jc w:val="both"/>
        <w:rPr>
          <w:rFonts w:ascii="Times New Roman" w:hAnsi="Times New Roman" w:cs="Times New Roman"/>
          <w:sz w:val="24"/>
          <w:szCs w:val="24"/>
        </w:rPr>
      </w:pPr>
    </w:p>
    <w:sectPr w:rsidR="00033144" w:rsidRPr="000331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B2" w:rsidRDefault="003030B2" w:rsidP="008C11BD">
      <w:pPr>
        <w:spacing w:after="0" w:line="240" w:lineRule="auto"/>
      </w:pPr>
      <w:r>
        <w:separator/>
      </w:r>
    </w:p>
  </w:endnote>
  <w:endnote w:type="continuationSeparator" w:id="0">
    <w:p w:rsidR="003030B2" w:rsidRDefault="003030B2" w:rsidP="008C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B2" w:rsidRDefault="003030B2" w:rsidP="008C11BD">
      <w:pPr>
        <w:spacing w:after="0" w:line="240" w:lineRule="auto"/>
      </w:pPr>
      <w:r>
        <w:separator/>
      </w:r>
    </w:p>
  </w:footnote>
  <w:footnote w:type="continuationSeparator" w:id="0">
    <w:p w:rsidR="003030B2" w:rsidRDefault="003030B2" w:rsidP="008C11BD">
      <w:pPr>
        <w:spacing w:after="0" w:line="240" w:lineRule="auto"/>
      </w:pPr>
      <w:r>
        <w:continuationSeparator/>
      </w:r>
    </w:p>
  </w:footnote>
  <w:footnote w:id="1">
    <w:p w:rsidR="008C11BD" w:rsidRPr="00F43FC5" w:rsidRDefault="008C11BD" w:rsidP="00F43FC5">
      <w:pPr>
        <w:spacing w:after="0" w:line="240" w:lineRule="auto"/>
        <w:jc w:val="both"/>
        <w:rPr>
          <w:rFonts w:ascii="Times New Roman" w:hAnsi="Times New Roman" w:cs="Times New Roman"/>
        </w:rPr>
      </w:pPr>
      <w:r w:rsidRPr="003B17A0">
        <w:rPr>
          <w:rStyle w:val="FootnoteReference"/>
        </w:rPr>
        <w:footnoteRef/>
      </w:r>
      <w:r w:rsidRPr="003B17A0">
        <w:t xml:space="preserve"> </w:t>
      </w:r>
      <w:r w:rsidRPr="003B17A0">
        <w:rPr>
          <w:rFonts w:ascii="Times New Roman" w:hAnsi="Times New Roman" w:cs="Times New Roman"/>
        </w:rPr>
        <w:t>Madzivire and others v Zvarivadza and others 2006(1) ZLR 514(S) :</w:t>
      </w:r>
      <w:r w:rsidRPr="003B17A0">
        <w:t xml:space="preserve">   </w:t>
      </w:r>
      <w:r w:rsidRPr="003B17A0">
        <w:rPr>
          <w:rFonts w:ascii="Times New Roman" w:hAnsi="Times New Roman" w:cs="Times New Roman"/>
        </w:rPr>
        <w:t xml:space="preserve">First Mutual Investment (Pvt) Ltd v Roussaland </w:t>
      </w:r>
      <w:r w:rsidR="00F43FC5" w:rsidRPr="003B17A0">
        <w:rPr>
          <w:rFonts w:ascii="Times New Roman" w:hAnsi="Times New Roman" w:cs="Times New Roman"/>
        </w:rPr>
        <w:t>Enterprises</w:t>
      </w:r>
      <w:r w:rsidRPr="003B17A0">
        <w:rPr>
          <w:rFonts w:ascii="Times New Roman" w:hAnsi="Times New Roman" w:cs="Times New Roman"/>
        </w:rPr>
        <w:t xml:space="preserve"> (Pvt) (Ltd)</w:t>
      </w:r>
      <w:r w:rsidR="0050312C" w:rsidRPr="003B17A0">
        <w:rPr>
          <w:rFonts w:ascii="Times New Roman" w:hAnsi="Times New Roman" w:cs="Times New Roman"/>
        </w:rPr>
        <w:t xml:space="preserve"> t/a Third World</w:t>
      </w:r>
      <w:r w:rsidRPr="003B17A0">
        <w:rPr>
          <w:rFonts w:ascii="Times New Roman" w:hAnsi="Times New Roman" w:cs="Times New Roman"/>
        </w:rPr>
        <w:t xml:space="preserve"> Bazzar and Others HH301/17</w:t>
      </w:r>
    </w:p>
  </w:footnote>
  <w:footnote w:id="2">
    <w:p w:rsidR="008B79FF" w:rsidRPr="003B17A0" w:rsidRDefault="008B79FF" w:rsidP="00F43FC5">
      <w:pPr>
        <w:pStyle w:val="FootnoteText"/>
        <w:rPr>
          <w:sz w:val="22"/>
          <w:szCs w:val="22"/>
          <w:lang w:val="en-ZW"/>
        </w:rPr>
      </w:pPr>
      <w:r w:rsidRPr="003B17A0">
        <w:rPr>
          <w:rStyle w:val="FootnoteReference"/>
          <w:sz w:val="22"/>
          <w:szCs w:val="22"/>
        </w:rPr>
        <w:footnoteRef/>
      </w:r>
      <w:r w:rsidRPr="003B17A0">
        <w:rPr>
          <w:sz w:val="22"/>
          <w:szCs w:val="22"/>
        </w:rPr>
        <w:t xml:space="preserve"> </w:t>
      </w:r>
      <w:r w:rsidRPr="003B17A0">
        <w:rPr>
          <w:rFonts w:ascii="Times New Roman" w:hAnsi="Times New Roman" w:cs="Times New Roman"/>
          <w:sz w:val="22"/>
          <w:szCs w:val="22"/>
        </w:rPr>
        <w:t>Air Zimbabwe Corporation v The Zimbabwe Revenue Authority HH   96/03</w:t>
      </w:r>
    </w:p>
  </w:footnote>
  <w:footnote w:id="3">
    <w:p w:rsidR="00296FEB" w:rsidRPr="003B17A0" w:rsidRDefault="00296FEB">
      <w:pPr>
        <w:pStyle w:val="FootnoteText"/>
        <w:rPr>
          <w:sz w:val="22"/>
          <w:szCs w:val="22"/>
          <w:lang w:val="en-ZW"/>
        </w:rPr>
      </w:pPr>
      <w:r w:rsidRPr="003B17A0">
        <w:rPr>
          <w:rStyle w:val="FootnoteReference"/>
          <w:sz w:val="22"/>
          <w:szCs w:val="22"/>
        </w:rPr>
        <w:footnoteRef/>
      </w:r>
      <w:r w:rsidRPr="003B17A0">
        <w:rPr>
          <w:sz w:val="22"/>
          <w:szCs w:val="22"/>
        </w:rPr>
        <w:t xml:space="preserve"> </w:t>
      </w:r>
      <w:r w:rsidRPr="003B17A0">
        <w:rPr>
          <w:rFonts w:ascii="Times New Roman" w:hAnsi="Times New Roman" w:cs="Times New Roman"/>
          <w:sz w:val="22"/>
          <w:szCs w:val="22"/>
          <w:lang w:val="en-ZW"/>
        </w:rPr>
        <w:t>Herbstein and Van Winsen , The Civil Practice of the High Courts of South Africa, 5</w:t>
      </w:r>
      <w:r w:rsidRPr="003B17A0">
        <w:rPr>
          <w:rFonts w:ascii="Times New Roman" w:hAnsi="Times New Roman" w:cs="Times New Roman"/>
          <w:sz w:val="22"/>
          <w:szCs w:val="22"/>
          <w:vertAlign w:val="superscript"/>
          <w:lang w:val="en-ZW"/>
        </w:rPr>
        <w:t>th</w:t>
      </w:r>
      <w:r w:rsidRPr="003B17A0">
        <w:rPr>
          <w:rFonts w:ascii="Times New Roman" w:hAnsi="Times New Roman" w:cs="Times New Roman"/>
          <w:sz w:val="22"/>
          <w:szCs w:val="22"/>
          <w:lang w:val="en-ZW"/>
        </w:rPr>
        <w:t xml:space="preserve"> Ed  Vol 2</w:t>
      </w:r>
    </w:p>
  </w:footnote>
  <w:footnote w:id="4">
    <w:p w:rsidR="003B17A0" w:rsidRPr="003B17A0" w:rsidRDefault="003B17A0" w:rsidP="003B17A0">
      <w:pPr>
        <w:spacing w:line="360" w:lineRule="auto"/>
        <w:jc w:val="both"/>
        <w:rPr>
          <w:rFonts w:ascii="Times New Roman" w:hAnsi="Times New Roman" w:cs="Times New Roman"/>
        </w:rPr>
      </w:pPr>
      <w:r w:rsidRPr="003B17A0">
        <w:rPr>
          <w:rStyle w:val="FootnoteReference"/>
        </w:rPr>
        <w:footnoteRef/>
      </w:r>
      <w:r w:rsidRPr="003B17A0">
        <w:t xml:space="preserve"> </w:t>
      </w:r>
      <w:r w:rsidRPr="003B17A0">
        <w:rPr>
          <w:rFonts w:ascii="Times New Roman" w:hAnsi="Times New Roman" w:cs="Times New Roman"/>
        </w:rPr>
        <w:t>Telecel Zimbabwe Private Limited and others 2015(1) ZLR 651.</w:t>
      </w:r>
    </w:p>
    <w:p w:rsidR="003B17A0" w:rsidRPr="003B17A0" w:rsidRDefault="003B17A0">
      <w:pPr>
        <w:pStyle w:val="FootnoteText"/>
        <w:rPr>
          <w:sz w:val="22"/>
          <w:szCs w:val="22"/>
          <w:lang w:val="en-ZW"/>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72332"/>
      <w:docPartObj>
        <w:docPartGallery w:val="Page Numbers (Top of Page)"/>
        <w:docPartUnique/>
      </w:docPartObj>
    </w:sdtPr>
    <w:sdtEndPr>
      <w:rPr>
        <w:noProof/>
      </w:rPr>
    </w:sdtEndPr>
    <w:sdtContent>
      <w:p w:rsidR="006370CC" w:rsidRDefault="006370CC">
        <w:pPr>
          <w:pStyle w:val="Header"/>
          <w:jc w:val="right"/>
          <w:rPr>
            <w:noProof/>
          </w:rPr>
        </w:pPr>
        <w:r>
          <w:fldChar w:fldCharType="begin"/>
        </w:r>
        <w:r>
          <w:instrText xml:space="preserve"> PAGE   \* MERGEFORMAT </w:instrText>
        </w:r>
        <w:r>
          <w:fldChar w:fldCharType="separate"/>
        </w:r>
        <w:r w:rsidR="005726F2">
          <w:rPr>
            <w:noProof/>
          </w:rPr>
          <w:t>1</w:t>
        </w:r>
        <w:r>
          <w:rPr>
            <w:noProof/>
          </w:rPr>
          <w:fldChar w:fldCharType="end"/>
        </w:r>
      </w:p>
      <w:p w:rsidR="006370CC" w:rsidRDefault="006370CC">
        <w:pPr>
          <w:pStyle w:val="Header"/>
          <w:jc w:val="right"/>
          <w:rPr>
            <w:noProof/>
          </w:rPr>
        </w:pPr>
        <w:r>
          <w:rPr>
            <w:noProof/>
          </w:rPr>
          <w:t>HH</w:t>
        </w:r>
        <w:r w:rsidR="00503B63">
          <w:rPr>
            <w:noProof/>
          </w:rPr>
          <w:t xml:space="preserve"> 415-20</w:t>
        </w:r>
      </w:p>
      <w:p w:rsidR="006370CC" w:rsidRDefault="006370CC">
        <w:pPr>
          <w:pStyle w:val="Header"/>
          <w:jc w:val="right"/>
        </w:pPr>
        <w:r>
          <w:rPr>
            <w:noProof/>
          </w:rPr>
          <w:t>HC 2837/20</w:t>
        </w:r>
      </w:p>
    </w:sdtContent>
  </w:sdt>
  <w:p w:rsidR="006370CC" w:rsidRDefault="006370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27"/>
    <w:multiLevelType w:val="hybridMultilevel"/>
    <w:tmpl w:val="6A5E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F482E"/>
    <w:multiLevelType w:val="hybridMultilevel"/>
    <w:tmpl w:val="3B848E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4AC2AEC"/>
    <w:multiLevelType w:val="hybridMultilevel"/>
    <w:tmpl w:val="10E690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6402623"/>
    <w:multiLevelType w:val="hybridMultilevel"/>
    <w:tmpl w:val="6FBC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13AB6"/>
    <w:multiLevelType w:val="hybridMultilevel"/>
    <w:tmpl w:val="92AA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94A64"/>
    <w:multiLevelType w:val="hybridMultilevel"/>
    <w:tmpl w:val="878A58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1D67B10"/>
    <w:multiLevelType w:val="hybridMultilevel"/>
    <w:tmpl w:val="2C2034DE"/>
    <w:lvl w:ilvl="0" w:tplc="984AB4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44F17"/>
    <w:multiLevelType w:val="hybridMultilevel"/>
    <w:tmpl w:val="1B001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32"/>
    <w:rsid w:val="00033144"/>
    <w:rsid w:val="000638B3"/>
    <w:rsid w:val="000C0D00"/>
    <w:rsid w:val="000D304B"/>
    <w:rsid w:val="000F1C85"/>
    <w:rsid w:val="00141135"/>
    <w:rsid w:val="00187715"/>
    <w:rsid w:val="001D56CD"/>
    <w:rsid w:val="002019AC"/>
    <w:rsid w:val="00250619"/>
    <w:rsid w:val="0029145A"/>
    <w:rsid w:val="00296FEB"/>
    <w:rsid w:val="002B2FD2"/>
    <w:rsid w:val="002E7000"/>
    <w:rsid w:val="002F2B59"/>
    <w:rsid w:val="003030B2"/>
    <w:rsid w:val="00310148"/>
    <w:rsid w:val="003320F7"/>
    <w:rsid w:val="00346D02"/>
    <w:rsid w:val="00381932"/>
    <w:rsid w:val="0039546C"/>
    <w:rsid w:val="003A0EC9"/>
    <w:rsid w:val="003B17A0"/>
    <w:rsid w:val="00421B6D"/>
    <w:rsid w:val="00425D9B"/>
    <w:rsid w:val="0043000C"/>
    <w:rsid w:val="004A1A4F"/>
    <w:rsid w:val="004B37E8"/>
    <w:rsid w:val="004D7A08"/>
    <w:rsid w:val="004E2B92"/>
    <w:rsid w:val="0050312C"/>
    <w:rsid w:val="00503B63"/>
    <w:rsid w:val="00512B38"/>
    <w:rsid w:val="00536693"/>
    <w:rsid w:val="005726F2"/>
    <w:rsid w:val="005A1F8F"/>
    <w:rsid w:val="006370CC"/>
    <w:rsid w:val="0068754D"/>
    <w:rsid w:val="006C6B0C"/>
    <w:rsid w:val="00740D34"/>
    <w:rsid w:val="00764633"/>
    <w:rsid w:val="007C63ED"/>
    <w:rsid w:val="007E5C5C"/>
    <w:rsid w:val="00840D5F"/>
    <w:rsid w:val="00897685"/>
    <w:rsid w:val="008A2010"/>
    <w:rsid w:val="008B79FF"/>
    <w:rsid w:val="008C11BD"/>
    <w:rsid w:val="008F521C"/>
    <w:rsid w:val="0090242B"/>
    <w:rsid w:val="0095661A"/>
    <w:rsid w:val="00983B90"/>
    <w:rsid w:val="00993AA5"/>
    <w:rsid w:val="009A125C"/>
    <w:rsid w:val="009D7D42"/>
    <w:rsid w:val="009F21D0"/>
    <w:rsid w:val="00A50A3B"/>
    <w:rsid w:val="00A73479"/>
    <w:rsid w:val="00BC6D37"/>
    <w:rsid w:val="00C21133"/>
    <w:rsid w:val="00C21BE3"/>
    <w:rsid w:val="00C26525"/>
    <w:rsid w:val="00C53AE0"/>
    <w:rsid w:val="00C6735A"/>
    <w:rsid w:val="00C705F9"/>
    <w:rsid w:val="00D219FD"/>
    <w:rsid w:val="00D30920"/>
    <w:rsid w:val="00D53246"/>
    <w:rsid w:val="00DB3E69"/>
    <w:rsid w:val="00DB6CB1"/>
    <w:rsid w:val="00DF00A5"/>
    <w:rsid w:val="00E8257C"/>
    <w:rsid w:val="00E86EE1"/>
    <w:rsid w:val="00E96A06"/>
    <w:rsid w:val="00EE2BC1"/>
    <w:rsid w:val="00F43FC5"/>
    <w:rsid w:val="00F575A1"/>
    <w:rsid w:val="00FA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BA08-8189-4C59-B4DE-73FDD76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32"/>
    <w:pPr>
      <w:ind w:left="720"/>
      <w:contextualSpacing/>
    </w:pPr>
  </w:style>
  <w:style w:type="character" w:styleId="Hyperlink">
    <w:name w:val="Hyperlink"/>
    <w:basedOn w:val="DefaultParagraphFont"/>
    <w:uiPriority w:val="99"/>
    <w:semiHidden/>
    <w:unhideWhenUsed/>
    <w:rsid w:val="00E8257C"/>
    <w:rPr>
      <w:color w:val="0000FF"/>
      <w:u w:val="single"/>
    </w:rPr>
  </w:style>
  <w:style w:type="paragraph" w:styleId="FootnoteText">
    <w:name w:val="footnote text"/>
    <w:basedOn w:val="Normal"/>
    <w:link w:val="FootnoteTextChar"/>
    <w:uiPriority w:val="99"/>
    <w:semiHidden/>
    <w:unhideWhenUsed/>
    <w:rsid w:val="008C1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1BD"/>
    <w:rPr>
      <w:sz w:val="20"/>
      <w:szCs w:val="20"/>
    </w:rPr>
  </w:style>
  <w:style w:type="character" w:styleId="FootnoteReference">
    <w:name w:val="footnote reference"/>
    <w:basedOn w:val="DefaultParagraphFont"/>
    <w:uiPriority w:val="99"/>
    <w:semiHidden/>
    <w:unhideWhenUsed/>
    <w:rsid w:val="008C11BD"/>
    <w:rPr>
      <w:vertAlign w:val="superscript"/>
    </w:rPr>
  </w:style>
  <w:style w:type="paragraph" w:styleId="BalloonText">
    <w:name w:val="Balloon Text"/>
    <w:basedOn w:val="Normal"/>
    <w:link w:val="BalloonTextChar"/>
    <w:uiPriority w:val="99"/>
    <w:semiHidden/>
    <w:unhideWhenUsed/>
    <w:rsid w:val="00C2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3"/>
    <w:rPr>
      <w:rFonts w:ascii="Segoe UI" w:hAnsi="Segoe UI" w:cs="Segoe UI"/>
      <w:sz w:val="18"/>
      <w:szCs w:val="18"/>
    </w:rPr>
  </w:style>
  <w:style w:type="paragraph" w:styleId="Header">
    <w:name w:val="header"/>
    <w:basedOn w:val="Normal"/>
    <w:link w:val="HeaderChar"/>
    <w:uiPriority w:val="99"/>
    <w:unhideWhenUsed/>
    <w:rsid w:val="0063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CC"/>
  </w:style>
  <w:style w:type="paragraph" w:styleId="Footer">
    <w:name w:val="footer"/>
    <w:basedOn w:val="Normal"/>
    <w:link w:val="FooterChar"/>
    <w:uiPriority w:val="99"/>
    <w:unhideWhenUsed/>
    <w:rsid w:val="0063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BF37-0118-40A1-8233-442D587B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Chingwadza</dc:creator>
  <cp:keywords/>
  <dc:description/>
  <cp:lastModifiedBy>JSC</cp:lastModifiedBy>
  <cp:revision>2</cp:revision>
  <cp:lastPrinted>2020-06-19T13:13:00Z</cp:lastPrinted>
  <dcterms:created xsi:type="dcterms:W3CDTF">2020-06-26T08:02:00Z</dcterms:created>
  <dcterms:modified xsi:type="dcterms:W3CDTF">2020-06-26T08:02:00Z</dcterms:modified>
</cp:coreProperties>
</file>