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4E15" w:rsidRPr="00CB3586" w:rsidRDefault="00ED47D8" w:rsidP="00B6794B">
      <w:pPr>
        <w:rPr>
          <w:rFonts w:ascii="Times New Roman" w:hAnsi="Times New Roman" w:cs="Times New Roman"/>
          <w:sz w:val="24"/>
          <w:szCs w:val="24"/>
        </w:rPr>
      </w:pPr>
      <w:bookmarkStart w:id="0" w:name="_GoBack"/>
      <w:bookmarkEnd w:id="0"/>
      <w:r>
        <w:t xml:space="preserve">                                                                                                                  </w:t>
      </w:r>
      <w:r w:rsidR="00334E15">
        <w:t xml:space="preserve">               </w:t>
      </w:r>
    </w:p>
    <w:p w:rsidR="00ED47D8" w:rsidRPr="00CB3586" w:rsidRDefault="00ED47D8" w:rsidP="00B6794B">
      <w:pPr>
        <w:spacing w:after="0" w:line="240" w:lineRule="auto"/>
        <w:jc w:val="both"/>
        <w:rPr>
          <w:rFonts w:ascii="Times New Roman" w:hAnsi="Times New Roman" w:cs="Times New Roman"/>
          <w:sz w:val="24"/>
          <w:szCs w:val="24"/>
        </w:rPr>
      </w:pPr>
      <w:r w:rsidRPr="00CB3586">
        <w:rPr>
          <w:rFonts w:ascii="Times New Roman" w:hAnsi="Times New Roman" w:cs="Times New Roman"/>
          <w:sz w:val="24"/>
          <w:szCs w:val="24"/>
        </w:rPr>
        <w:t xml:space="preserve">                                                                                                                                                      </w:t>
      </w:r>
      <w:r w:rsidR="00CB3586">
        <w:rPr>
          <w:rFonts w:ascii="Times New Roman" w:hAnsi="Times New Roman" w:cs="Times New Roman"/>
          <w:sz w:val="24"/>
          <w:szCs w:val="24"/>
        </w:rPr>
        <w:t xml:space="preserve">                     </w:t>
      </w:r>
      <w:r w:rsidR="00334E15">
        <w:rPr>
          <w:rFonts w:ascii="Times New Roman" w:hAnsi="Times New Roman" w:cs="Times New Roman"/>
          <w:sz w:val="24"/>
          <w:szCs w:val="24"/>
        </w:rPr>
        <w:t xml:space="preserve">                          </w:t>
      </w:r>
      <w:r w:rsidRPr="00CB3586">
        <w:rPr>
          <w:rFonts w:ascii="Times New Roman" w:hAnsi="Times New Roman" w:cs="Times New Roman"/>
          <w:sz w:val="24"/>
          <w:szCs w:val="24"/>
        </w:rPr>
        <w:t>GAYLORD MANDIZVIDZA</w:t>
      </w:r>
    </w:p>
    <w:p w:rsidR="00ED47D8" w:rsidRPr="00CB3586" w:rsidRDefault="009869F2" w:rsidP="00B6794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00ED47D8" w:rsidRPr="00CB3586">
        <w:rPr>
          <w:rFonts w:ascii="Times New Roman" w:hAnsi="Times New Roman" w:cs="Times New Roman"/>
          <w:sz w:val="24"/>
          <w:szCs w:val="24"/>
        </w:rPr>
        <w:t>nd</w:t>
      </w:r>
    </w:p>
    <w:p w:rsidR="00ED47D8" w:rsidRDefault="00ED47D8" w:rsidP="00B6794B">
      <w:pPr>
        <w:spacing w:after="0" w:line="240" w:lineRule="auto"/>
        <w:jc w:val="both"/>
        <w:rPr>
          <w:rFonts w:ascii="Times New Roman" w:hAnsi="Times New Roman" w:cs="Times New Roman"/>
          <w:sz w:val="24"/>
          <w:szCs w:val="24"/>
        </w:rPr>
      </w:pPr>
      <w:r w:rsidRPr="00CB3586">
        <w:rPr>
          <w:rFonts w:ascii="Times New Roman" w:hAnsi="Times New Roman" w:cs="Times New Roman"/>
          <w:sz w:val="24"/>
          <w:szCs w:val="24"/>
        </w:rPr>
        <w:t>DONALD MANGENJE</w:t>
      </w:r>
    </w:p>
    <w:p w:rsidR="00B6794B" w:rsidRDefault="00B6794B" w:rsidP="00B6794B">
      <w:pPr>
        <w:spacing w:after="0" w:line="240" w:lineRule="auto"/>
        <w:jc w:val="both"/>
        <w:rPr>
          <w:rFonts w:ascii="Times New Roman" w:hAnsi="Times New Roman" w:cs="Times New Roman"/>
          <w:sz w:val="24"/>
          <w:szCs w:val="24"/>
        </w:rPr>
      </w:pPr>
    </w:p>
    <w:p w:rsidR="00B6794B" w:rsidRPr="00CB3586" w:rsidRDefault="00B6794B" w:rsidP="00B6794B">
      <w:pPr>
        <w:spacing w:after="0" w:line="240" w:lineRule="auto"/>
        <w:jc w:val="both"/>
        <w:rPr>
          <w:rFonts w:ascii="Times New Roman" w:hAnsi="Times New Roman" w:cs="Times New Roman"/>
          <w:sz w:val="24"/>
          <w:szCs w:val="24"/>
        </w:rPr>
      </w:pPr>
    </w:p>
    <w:p w:rsidR="00B6794B" w:rsidRDefault="003753B3" w:rsidP="00B6794B">
      <w:pPr>
        <w:spacing w:after="0" w:line="240" w:lineRule="auto"/>
        <w:jc w:val="both"/>
        <w:rPr>
          <w:rFonts w:ascii="Times New Roman" w:hAnsi="Times New Roman" w:cs="Times New Roman"/>
          <w:sz w:val="24"/>
          <w:szCs w:val="24"/>
        </w:rPr>
      </w:pPr>
      <w:r w:rsidRPr="00CB3586">
        <w:rPr>
          <w:rFonts w:ascii="Times New Roman" w:hAnsi="Times New Roman" w:cs="Times New Roman"/>
          <w:sz w:val="24"/>
          <w:szCs w:val="24"/>
        </w:rPr>
        <w:t>HIGH COURT OF ZIMBABWE</w:t>
      </w:r>
    </w:p>
    <w:p w:rsidR="003753B3" w:rsidRPr="00CB3586" w:rsidRDefault="003753B3" w:rsidP="00B6794B">
      <w:pPr>
        <w:spacing w:after="0" w:line="240" w:lineRule="auto"/>
        <w:jc w:val="both"/>
        <w:rPr>
          <w:rFonts w:ascii="Times New Roman" w:hAnsi="Times New Roman" w:cs="Times New Roman"/>
          <w:sz w:val="24"/>
          <w:szCs w:val="24"/>
        </w:rPr>
      </w:pPr>
      <w:r w:rsidRPr="00CB3586">
        <w:rPr>
          <w:rFonts w:ascii="Times New Roman" w:hAnsi="Times New Roman" w:cs="Times New Roman"/>
          <w:sz w:val="24"/>
          <w:szCs w:val="24"/>
        </w:rPr>
        <w:t>CH</w:t>
      </w:r>
      <w:r w:rsidR="00797B96">
        <w:rPr>
          <w:rFonts w:ascii="Times New Roman" w:hAnsi="Times New Roman" w:cs="Times New Roman"/>
          <w:sz w:val="24"/>
          <w:szCs w:val="24"/>
        </w:rPr>
        <w:t>I</w:t>
      </w:r>
      <w:r w:rsidRPr="00CB3586">
        <w:rPr>
          <w:rFonts w:ascii="Times New Roman" w:hAnsi="Times New Roman" w:cs="Times New Roman"/>
          <w:sz w:val="24"/>
          <w:szCs w:val="24"/>
        </w:rPr>
        <w:t>RAWU-MUGOMBA &amp; MANZUNZU JJ</w:t>
      </w:r>
    </w:p>
    <w:p w:rsidR="003753B3" w:rsidRPr="00CB3586" w:rsidRDefault="003753B3" w:rsidP="00B6794B">
      <w:pPr>
        <w:spacing w:after="0" w:line="240" w:lineRule="auto"/>
        <w:jc w:val="both"/>
        <w:rPr>
          <w:rFonts w:ascii="Times New Roman" w:hAnsi="Times New Roman" w:cs="Times New Roman"/>
          <w:sz w:val="24"/>
          <w:szCs w:val="24"/>
        </w:rPr>
      </w:pPr>
      <w:r w:rsidRPr="00CB3586">
        <w:rPr>
          <w:rFonts w:ascii="Times New Roman" w:hAnsi="Times New Roman" w:cs="Times New Roman"/>
          <w:sz w:val="24"/>
          <w:szCs w:val="24"/>
        </w:rPr>
        <w:t>HARARE, 11 July 2019 &amp; 16 January 2020</w:t>
      </w:r>
    </w:p>
    <w:p w:rsidR="003753B3" w:rsidRPr="00CB3586" w:rsidRDefault="003753B3" w:rsidP="00B6794B">
      <w:pPr>
        <w:spacing w:after="0" w:line="360" w:lineRule="auto"/>
        <w:jc w:val="both"/>
        <w:rPr>
          <w:rFonts w:ascii="Times New Roman" w:hAnsi="Times New Roman" w:cs="Times New Roman"/>
          <w:sz w:val="24"/>
          <w:szCs w:val="24"/>
        </w:rPr>
      </w:pPr>
    </w:p>
    <w:p w:rsidR="003753B3" w:rsidRPr="00B6794B" w:rsidRDefault="003753B3" w:rsidP="00B6794B">
      <w:pPr>
        <w:spacing w:line="360" w:lineRule="auto"/>
        <w:jc w:val="both"/>
        <w:rPr>
          <w:rFonts w:ascii="Times New Roman" w:hAnsi="Times New Roman" w:cs="Times New Roman"/>
          <w:b/>
          <w:bCs/>
          <w:sz w:val="24"/>
          <w:szCs w:val="24"/>
        </w:rPr>
      </w:pPr>
      <w:r w:rsidRPr="00B6794B">
        <w:rPr>
          <w:rFonts w:ascii="Times New Roman" w:hAnsi="Times New Roman" w:cs="Times New Roman"/>
          <w:b/>
          <w:bCs/>
          <w:sz w:val="24"/>
          <w:szCs w:val="24"/>
        </w:rPr>
        <w:t>C</w:t>
      </w:r>
      <w:r w:rsidR="00B6794B" w:rsidRPr="00B6794B">
        <w:rPr>
          <w:rFonts w:ascii="Times New Roman" w:hAnsi="Times New Roman" w:cs="Times New Roman"/>
          <w:b/>
          <w:bCs/>
          <w:sz w:val="24"/>
          <w:szCs w:val="24"/>
        </w:rPr>
        <w:t>ivil</w:t>
      </w:r>
      <w:r w:rsidRPr="00B6794B">
        <w:rPr>
          <w:rFonts w:ascii="Times New Roman" w:hAnsi="Times New Roman" w:cs="Times New Roman"/>
          <w:b/>
          <w:bCs/>
          <w:sz w:val="24"/>
          <w:szCs w:val="24"/>
        </w:rPr>
        <w:t xml:space="preserve"> A</w:t>
      </w:r>
      <w:r w:rsidR="00B6794B" w:rsidRPr="00B6794B">
        <w:rPr>
          <w:rFonts w:ascii="Times New Roman" w:hAnsi="Times New Roman" w:cs="Times New Roman"/>
          <w:b/>
          <w:bCs/>
          <w:sz w:val="24"/>
          <w:szCs w:val="24"/>
        </w:rPr>
        <w:t>ppeal</w:t>
      </w:r>
    </w:p>
    <w:p w:rsidR="003753B3" w:rsidRPr="00CB3586" w:rsidRDefault="003753B3" w:rsidP="00B6794B">
      <w:pPr>
        <w:spacing w:after="0" w:line="240" w:lineRule="auto"/>
        <w:jc w:val="both"/>
        <w:rPr>
          <w:rFonts w:ascii="Times New Roman" w:hAnsi="Times New Roman" w:cs="Times New Roman"/>
          <w:sz w:val="24"/>
          <w:szCs w:val="24"/>
        </w:rPr>
      </w:pPr>
      <w:r w:rsidRPr="00B6794B">
        <w:rPr>
          <w:rFonts w:ascii="Times New Roman" w:hAnsi="Times New Roman" w:cs="Times New Roman"/>
          <w:i/>
          <w:iCs/>
          <w:sz w:val="24"/>
          <w:szCs w:val="24"/>
        </w:rPr>
        <w:t>E</w:t>
      </w:r>
      <w:r w:rsidR="00B6794B" w:rsidRPr="00B6794B">
        <w:rPr>
          <w:rFonts w:ascii="Times New Roman" w:hAnsi="Times New Roman" w:cs="Times New Roman"/>
          <w:i/>
          <w:iCs/>
          <w:sz w:val="24"/>
          <w:szCs w:val="24"/>
        </w:rPr>
        <w:t xml:space="preserve"> </w:t>
      </w:r>
      <w:r w:rsidRPr="00B6794B">
        <w:rPr>
          <w:rFonts w:ascii="Times New Roman" w:hAnsi="Times New Roman" w:cs="Times New Roman"/>
          <w:i/>
          <w:iCs/>
          <w:sz w:val="24"/>
          <w:szCs w:val="24"/>
        </w:rPr>
        <w:t>Mubaiwa</w:t>
      </w:r>
      <w:r w:rsidR="00B6794B">
        <w:rPr>
          <w:rFonts w:ascii="Times New Roman" w:hAnsi="Times New Roman" w:cs="Times New Roman"/>
          <w:i/>
          <w:iCs/>
          <w:sz w:val="24"/>
          <w:szCs w:val="24"/>
        </w:rPr>
        <w:t>,</w:t>
      </w:r>
      <w:r w:rsidRPr="00CB3586">
        <w:rPr>
          <w:rFonts w:ascii="Times New Roman" w:hAnsi="Times New Roman" w:cs="Times New Roman"/>
          <w:sz w:val="24"/>
          <w:szCs w:val="24"/>
        </w:rPr>
        <w:t xml:space="preserve"> for the appellant</w:t>
      </w:r>
    </w:p>
    <w:p w:rsidR="003753B3" w:rsidRDefault="003753B3" w:rsidP="00B6794B">
      <w:pPr>
        <w:spacing w:after="0" w:line="240" w:lineRule="auto"/>
        <w:jc w:val="both"/>
        <w:rPr>
          <w:rFonts w:ascii="Times New Roman" w:hAnsi="Times New Roman" w:cs="Times New Roman"/>
          <w:sz w:val="24"/>
          <w:szCs w:val="24"/>
        </w:rPr>
      </w:pPr>
      <w:r w:rsidRPr="00B6794B">
        <w:rPr>
          <w:rFonts w:ascii="Times New Roman" w:hAnsi="Times New Roman" w:cs="Times New Roman"/>
          <w:i/>
          <w:iCs/>
          <w:sz w:val="24"/>
          <w:szCs w:val="24"/>
        </w:rPr>
        <w:t>H Mukonoweshuro</w:t>
      </w:r>
      <w:r w:rsidR="00B6794B">
        <w:rPr>
          <w:rFonts w:ascii="Times New Roman" w:hAnsi="Times New Roman" w:cs="Times New Roman"/>
          <w:sz w:val="24"/>
          <w:szCs w:val="24"/>
        </w:rPr>
        <w:t>,</w:t>
      </w:r>
      <w:r w:rsidRPr="00CB3586">
        <w:rPr>
          <w:rFonts w:ascii="Times New Roman" w:hAnsi="Times New Roman" w:cs="Times New Roman"/>
          <w:sz w:val="24"/>
          <w:szCs w:val="24"/>
        </w:rPr>
        <w:t xml:space="preserve"> for </w:t>
      </w:r>
      <w:r w:rsidR="002B4350">
        <w:rPr>
          <w:rFonts w:ascii="Times New Roman" w:hAnsi="Times New Roman" w:cs="Times New Roman"/>
          <w:sz w:val="24"/>
          <w:szCs w:val="24"/>
        </w:rPr>
        <w:t xml:space="preserve">the </w:t>
      </w:r>
      <w:r w:rsidRPr="00CB3586">
        <w:rPr>
          <w:rFonts w:ascii="Times New Roman" w:hAnsi="Times New Roman" w:cs="Times New Roman"/>
          <w:sz w:val="24"/>
          <w:szCs w:val="24"/>
        </w:rPr>
        <w:t>respondent</w:t>
      </w:r>
    </w:p>
    <w:p w:rsidR="00116EF8" w:rsidRDefault="00116EF8" w:rsidP="00B6794B">
      <w:pPr>
        <w:spacing w:after="0" w:line="360" w:lineRule="auto"/>
        <w:jc w:val="both"/>
        <w:rPr>
          <w:rFonts w:ascii="Times New Roman" w:hAnsi="Times New Roman" w:cs="Times New Roman"/>
          <w:sz w:val="24"/>
          <w:szCs w:val="24"/>
        </w:rPr>
      </w:pPr>
    </w:p>
    <w:p w:rsidR="00B6794B" w:rsidRDefault="00B6794B" w:rsidP="00B6794B">
      <w:pPr>
        <w:spacing w:after="0" w:line="360" w:lineRule="auto"/>
        <w:jc w:val="both"/>
        <w:rPr>
          <w:rFonts w:ascii="Times New Roman" w:hAnsi="Times New Roman" w:cs="Times New Roman"/>
          <w:sz w:val="24"/>
          <w:szCs w:val="24"/>
        </w:rPr>
      </w:pPr>
    </w:p>
    <w:p w:rsidR="00116EF8" w:rsidRDefault="00116EF8" w:rsidP="001E661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MANZUNZU J This is an appeal against the judgment of the </w:t>
      </w:r>
      <w:r w:rsidR="001E6611">
        <w:rPr>
          <w:rFonts w:ascii="Times New Roman" w:hAnsi="Times New Roman" w:cs="Times New Roman"/>
          <w:sz w:val="24"/>
          <w:szCs w:val="24"/>
        </w:rPr>
        <w:t>m</w:t>
      </w:r>
      <w:r>
        <w:rPr>
          <w:rFonts w:ascii="Times New Roman" w:hAnsi="Times New Roman" w:cs="Times New Roman"/>
          <w:sz w:val="24"/>
          <w:szCs w:val="24"/>
        </w:rPr>
        <w:t>agistrate sitting at Harare on 3 April 2017 where the court upheld the special pleas of res judicata and prescription.</w:t>
      </w:r>
    </w:p>
    <w:p w:rsidR="00116EF8" w:rsidRDefault="00116EF8" w:rsidP="001E661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Six grounds of appeal were raised against the judgment before the 2</w:t>
      </w:r>
      <w:r w:rsidRPr="00116EF8">
        <w:rPr>
          <w:rFonts w:ascii="Times New Roman" w:hAnsi="Times New Roman" w:cs="Times New Roman"/>
          <w:sz w:val="24"/>
          <w:szCs w:val="24"/>
          <w:vertAlign w:val="superscript"/>
        </w:rPr>
        <w:t>nd</w:t>
      </w:r>
      <w:r>
        <w:rPr>
          <w:rFonts w:ascii="Times New Roman" w:hAnsi="Times New Roman" w:cs="Times New Roman"/>
          <w:sz w:val="24"/>
          <w:szCs w:val="24"/>
        </w:rPr>
        <w:t xml:space="preserve"> ground was abandoned at the hearing. The grounds of appeal are somewhat unusually couched in that each is preceded</w:t>
      </w:r>
      <w:r w:rsidR="00E97547">
        <w:rPr>
          <w:rFonts w:ascii="Times New Roman" w:hAnsi="Times New Roman" w:cs="Times New Roman"/>
          <w:sz w:val="24"/>
          <w:szCs w:val="24"/>
        </w:rPr>
        <w:t xml:space="preserve"> with a preamble of </w:t>
      </w:r>
      <w:r>
        <w:rPr>
          <w:rFonts w:ascii="Times New Roman" w:hAnsi="Times New Roman" w:cs="Times New Roman"/>
          <w:sz w:val="24"/>
          <w:szCs w:val="24"/>
        </w:rPr>
        <w:t>evidence meant to demonstrate the alleged misdirection by the magistrate. We did not find that to be fatal to the grounds of appeal</w:t>
      </w:r>
      <w:r w:rsidR="00F6212D">
        <w:rPr>
          <w:rFonts w:ascii="Times New Roman" w:hAnsi="Times New Roman" w:cs="Times New Roman"/>
          <w:sz w:val="24"/>
          <w:szCs w:val="24"/>
        </w:rPr>
        <w:t>.</w:t>
      </w:r>
    </w:p>
    <w:p w:rsidR="00556910" w:rsidRDefault="00033705" w:rsidP="001E661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background of this case is largely common cause. During the period 2007 and 2014 the appellant lea</w:t>
      </w:r>
      <w:r w:rsidR="00F6212D">
        <w:rPr>
          <w:rFonts w:ascii="Times New Roman" w:hAnsi="Times New Roman" w:cs="Times New Roman"/>
          <w:sz w:val="24"/>
          <w:szCs w:val="24"/>
        </w:rPr>
        <w:t>sed his house to the respondent through a written lease agreement.</w:t>
      </w:r>
      <w:r>
        <w:rPr>
          <w:rFonts w:ascii="Times New Roman" w:hAnsi="Times New Roman" w:cs="Times New Roman"/>
          <w:sz w:val="24"/>
          <w:szCs w:val="24"/>
        </w:rPr>
        <w:t xml:space="preserve"> The respondent vacated the leased premises on 30 June 2014. It is also not in dispute that during the lease period the respondent changed a mono pump to the </w:t>
      </w:r>
      <w:r w:rsidR="007D5E36">
        <w:rPr>
          <w:rFonts w:ascii="Times New Roman" w:hAnsi="Times New Roman" w:cs="Times New Roman"/>
          <w:sz w:val="24"/>
          <w:szCs w:val="24"/>
        </w:rPr>
        <w:t>borehole and replaced it with a</w:t>
      </w:r>
      <w:r>
        <w:rPr>
          <w:rFonts w:ascii="Times New Roman" w:hAnsi="Times New Roman" w:cs="Times New Roman"/>
          <w:sz w:val="24"/>
          <w:szCs w:val="24"/>
        </w:rPr>
        <w:t xml:space="preserve"> submissible</w:t>
      </w:r>
      <w:r w:rsidR="00B06A50">
        <w:rPr>
          <w:rFonts w:ascii="Times New Roman" w:hAnsi="Times New Roman" w:cs="Times New Roman"/>
          <w:sz w:val="24"/>
          <w:szCs w:val="24"/>
        </w:rPr>
        <w:t xml:space="preserve"> pump</w:t>
      </w:r>
      <w:r w:rsidR="00E17EDC">
        <w:rPr>
          <w:rFonts w:ascii="Times New Roman" w:hAnsi="Times New Roman" w:cs="Times New Roman"/>
          <w:sz w:val="24"/>
          <w:szCs w:val="24"/>
        </w:rPr>
        <w:t xml:space="preserve"> and </w:t>
      </w:r>
      <w:r w:rsidR="00B06A50">
        <w:rPr>
          <w:rFonts w:ascii="Times New Roman" w:hAnsi="Times New Roman" w:cs="Times New Roman"/>
          <w:sz w:val="24"/>
          <w:szCs w:val="24"/>
        </w:rPr>
        <w:t>replaced a crastermatic pump to the swimming pool with an ordinary pump. These changes were done in contravention of clause 8 of the lease agreement which required prior written consent of the appellant. The respondent did not restore the fixtures</w:t>
      </w:r>
      <w:r w:rsidR="00E17EDC">
        <w:rPr>
          <w:rFonts w:ascii="Times New Roman" w:hAnsi="Times New Roman" w:cs="Times New Roman"/>
          <w:sz w:val="24"/>
          <w:szCs w:val="24"/>
        </w:rPr>
        <w:t xml:space="preserve"> to their original position</w:t>
      </w:r>
      <w:r w:rsidR="00556910">
        <w:rPr>
          <w:rFonts w:ascii="Times New Roman" w:hAnsi="Times New Roman" w:cs="Times New Roman"/>
          <w:sz w:val="24"/>
          <w:szCs w:val="24"/>
        </w:rPr>
        <w:t>,</w:t>
      </w:r>
      <w:r w:rsidR="00B06A50">
        <w:rPr>
          <w:rFonts w:ascii="Times New Roman" w:hAnsi="Times New Roman" w:cs="Times New Roman"/>
          <w:sz w:val="24"/>
          <w:szCs w:val="24"/>
        </w:rPr>
        <w:t xml:space="preserve"> </w:t>
      </w:r>
      <w:r w:rsidR="00556910">
        <w:rPr>
          <w:rFonts w:ascii="Times New Roman" w:hAnsi="Times New Roman" w:cs="Times New Roman"/>
          <w:sz w:val="24"/>
          <w:szCs w:val="24"/>
        </w:rPr>
        <w:t>as per clause 8</w:t>
      </w:r>
      <w:r w:rsidR="00E97547">
        <w:rPr>
          <w:rFonts w:ascii="Times New Roman" w:hAnsi="Times New Roman" w:cs="Times New Roman"/>
          <w:sz w:val="24"/>
          <w:szCs w:val="24"/>
        </w:rPr>
        <w:t xml:space="preserve"> of lease agreement</w:t>
      </w:r>
      <w:r w:rsidR="00556910">
        <w:rPr>
          <w:rFonts w:ascii="Times New Roman" w:hAnsi="Times New Roman" w:cs="Times New Roman"/>
          <w:sz w:val="24"/>
          <w:szCs w:val="24"/>
        </w:rPr>
        <w:t xml:space="preserve">, when he vacated the premises. </w:t>
      </w:r>
    </w:p>
    <w:p w:rsidR="00F75E2E" w:rsidRDefault="00556910" w:rsidP="001E661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2014 the appellant sued the respondent in the Magistrate </w:t>
      </w:r>
      <w:r w:rsidR="001E6611">
        <w:rPr>
          <w:rFonts w:ascii="Times New Roman" w:hAnsi="Times New Roman" w:cs="Times New Roman"/>
          <w:sz w:val="24"/>
          <w:szCs w:val="24"/>
        </w:rPr>
        <w:t>C</w:t>
      </w:r>
      <w:r>
        <w:rPr>
          <w:rFonts w:ascii="Times New Roman" w:hAnsi="Times New Roman" w:cs="Times New Roman"/>
          <w:sz w:val="24"/>
          <w:szCs w:val="24"/>
        </w:rPr>
        <w:t>ourt under Case No. 23625/14 for, inter alia, repair cost to the borehole</w:t>
      </w:r>
      <w:r w:rsidR="00F63D13">
        <w:rPr>
          <w:rFonts w:ascii="Times New Roman" w:hAnsi="Times New Roman" w:cs="Times New Roman"/>
          <w:sz w:val="24"/>
          <w:szCs w:val="24"/>
        </w:rPr>
        <w:t xml:space="preserve"> pump</w:t>
      </w:r>
      <w:r>
        <w:rPr>
          <w:rFonts w:ascii="Times New Roman" w:hAnsi="Times New Roman" w:cs="Times New Roman"/>
          <w:sz w:val="24"/>
          <w:szCs w:val="24"/>
        </w:rPr>
        <w:t>. The court then ordered respondent to pay the appellant “the sum of $50</w:t>
      </w:r>
      <w:r w:rsidR="001E6611">
        <w:rPr>
          <w:rFonts w:ascii="Times New Roman" w:hAnsi="Times New Roman" w:cs="Times New Roman"/>
          <w:sz w:val="24"/>
          <w:szCs w:val="24"/>
        </w:rPr>
        <w:t>.</w:t>
      </w:r>
      <w:r>
        <w:rPr>
          <w:rFonts w:ascii="Times New Roman" w:hAnsi="Times New Roman" w:cs="Times New Roman"/>
          <w:sz w:val="24"/>
          <w:szCs w:val="24"/>
        </w:rPr>
        <w:t xml:space="preserve">00 being the cost of installation of the borehole </w:t>
      </w:r>
      <w:r w:rsidR="005F4C79">
        <w:rPr>
          <w:rFonts w:ascii="Times New Roman" w:hAnsi="Times New Roman" w:cs="Times New Roman"/>
          <w:sz w:val="24"/>
          <w:szCs w:val="24"/>
        </w:rPr>
        <w:t>pump.”</w:t>
      </w:r>
    </w:p>
    <w:p w:rsidR="00687D83" w:rsidRDefault="00F75E2E" w:rsidP="001E661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the case</w:t>
      </w:r>
      <w:r w:rsidR="00E97547">
        <w:rPr>
          <w:rFonts w:ascii="Times New Roman" w:hAnsi="Times New Roman" w:cs="Times New Roman"/>
          <w:sz w:val="24"/>
          <w:szCs w:val="24"/>
        </w:rPr>
        <w:t xml:space="preserve"> </w:t>
      </w:r>
      <w:r>
        <w:rPr>
          <w:rFonts w:ascii="Times New Roman" w:hAnsi="Times New Roman" w:cs="Times New Roman"/>
          <w:sz w:val="24"/>
          <w:szCs w:val="24"/>
        </w:rPr>
        <w:t>which is subject of this appeal</w:t>
      </w:r>
      <w:r w:rsidR="00F63D13">
        <w:rPr>
          <w:rFonts w:ascii="Times New Roman" w:hAnsi="Times New Roman" w:cs="Times New Roman"/>
          <w:sz w:val="24"/>
          <w:szCs w:val="24"/>
        </w:rPr>
        <w:t>,</w:t>
      </w:r>
      <w:r>
        <w:rPr>
          <w:rFonts w:ascii="Times New Roman" w:hAnsi="Times New Roman" w:cs="Times New Roman"/>
          <w:sz w:val="24"/>
          <w:szCs w:val="24"/>
        </w:rPr>
        <w:t xml:space="preserve"> the appellant </w:t>
      </w:r>
      <w:r w:rsidR="00E97547">
        <w:rPr>
          <w:rFonts w:ascii="Times New Roman" w:hAnsi="Times New Roman" w:cs="Times New Roman"/>
          <w:sz w:val="24"/>
          <w:szCs w:val="24"/>
        </w:rPr>
        <w:t>sued the respondent</w:t>
      </w:r>
      <w:r>
        <w:rPr>
          <w:rFonts w:ascii="Times New Roman" w:hAnsi="Times New Roman" w:cs="Times New Roman"/>
          <w:sz w:val="24"/>
          <w:szCs w:val="24"/>
        </w:rPr>
        <w:t xml:space="preserve"> in 2016 under Case No. 5770/16 for the cost of restoring a mono pump to the borehole and crastermatic pump to the swimming pool.</w:t>
      </w:r>
      <w:r w:rsidR="00667ECA">
        <w:rPr>
          <w:rFonts w:ascii="Times New Roman" w:hAnsi="Times New Roman" w:cs="Times New Roman"/>
          <w:sz w:val="24"/>
          <w:szCs w:val="24"/>
        </w:rPr>
        <w:t xml:space="preserve"> The appellant’s claim was resisted by the respondent who raised </w:t>
      </w:r>
      <w:r w:rsidR="00667ECA">
        <w:rPr>
          <w:rFonts w:ascii="Times New Roman" w:hAnsi="Times New Roman" w:cs="Times New Roman"/>
          <w:sz w:val="24"/>
          <w:szCs w:val="24"/>
        </w:rPr>
        <w:lastRenderedPageBreak/>
        <w:t>the defence of res judicata in respect to the borehole claim and prescription in respect to both the borehole and swimming pool claims.</w:t>
      </w:r>
    </w:p>
    <w:p w:rsidR="00687D83" w:rsidRDefault="00687D83" w:rsidP="00B6794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matter was argued before the court </w:t>
      </w:r>
      <w:r w:rsidRPr="002B4350">
        <w:rPr>
          <w:rFonts w:ascii="Times New Roman" w:hAnsi="Times New Roman" w:cs="Times New Roman"/>
          <w:i/>
          <w:iCs/>
          <w:sz w:val="24"/>
          <w:szCs w:val="24"/>
        </w:rPr>
        <w:t>a quo</w:t>
      </w:r>
      <w:r>
        <w:rPr>
          <w:rFonts w:ascii="Times New Roman" w:hAnsi="Times New Roman" w:cs="Times New Roman"/>
          <w:sz w:val="24"/>
          <w:szCs w:val="24"/>
        </w:rPr>
        <w:t xml:space="preserve"> as a stated case </w:t>
      </w:r>
      <w:r w:rsidR="003B64A3">
        <w:rPr>
          <w:rFonts w:ascii="Times New Roman" w:hAnsi="Times New Roman" w:cs="Times New Roman"/>
          <w:sz w:val="24"/>
          <w:szCs w:val="24"/>
        </w:rPr>
        <w:t>to decide the special pleas. After hea</w:t>
      </w:r>
      <w:r w:rsidR="00243FA4">
        <w:rPr>
          <w:rFonts w:ascii="Times New Roman" w:hAnsi="Times New Roman" w:cs="Times New Roman"/>
          <w:sz w:val="24"/>
          <w:szCs w:val="24"/>
        </w:rPr>
        <w:t>ring the parties the magistrate upheld the special pleas and as would ordinarily follow the appellant’s claims in respect to the borehole and swimming pool failed on that basis.</w:t>
      </w:r>
    </w:p>
    <w:p w:rsidR="00243FA4" w:rsidRDefault="00243FA4" w:rsidP="00B6794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Aggrieved by the decision the appellant lodged this appeal </w:t>
      </w:r>
      <w:r w:rsidR="004936EB">
        <w:rPr>
          <w:rFonts w:ascii="Times New Roman" w:hAnsi="Times New Roman" w:cs="Times New Roman"/>
          <w:sz w:val="24"/>
          <w:szCs w:val="24"/>
        </w:rPr>
        <w:t xml:space="preserve">and raised the </w:t>
      </w:r>
      <w:r>
        <w:rPr>
          <w:rFonts w:ascii="Times New Roman" w:hAnsi="Times New Roman" w:cs="Times New Roman"/>
          <w:sz w:val="24"/>
          <w:szCs w:val="24"/>
        </w:rPr>
        <w:t xml:space="preserve">following </w:t>
      </w:r>
      <w:r w:rsidR="004936EB">
        <w:rPr>
          <w:rFonts w:ascii="Times New Roman" w:hAnsi="Times New Roman" w:cs="Times New Roman"/>
          <w:sz w:val="24"/>
          <w:szCs w:val="24"/>
        </w:rPr>
        <w:t>grounds of appeal</w:t>
      </w:r>
      <w:r>
        <w:rPr>
          <w:rFonts w:ascii="Times New Roman" w:hAnsi="Times New Roman" w:cs="Times New Roman"/>
          <w:sz w:val="24"/>
          <w:szCs w:val="24"/>
        </w:rPr>
        <w:t>:</w:t>
      </w:r>
    </w:p>
    <w:p w:rsidR="00243FA4" w:rsidRDefault="00243FA4" w:rsidP="00B6794B">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That the 2014 claim in respect to the borehole was </w:t>
      </w:r>
      <w:r w:rsidR="004936EB">
        <w:rPr>
          <w:rFonts w:ascii="Times New Roman" w:hAnsi="Times New Roman" w:cs="Times New Roman"/>
          <w:sz w:val="24"/>
          <w:szCs w:val="24"/>
        </w:rPr>
        <w:t xml:space="preserve">not </w:t>
      </w:r>
      <w:r>
        <w:rPr>
          <w:rFonts w:ascii="Times New Roman" w:hAnsi="Times New Roman" w:cs="Times New Roman"/>
          <w:sz w:val="24"/>
          <w:szCs w:val="24"/>
        </w:rPr>
        <w:t>identical to the 2016</w:t>
      </w:r>
      <w:r w:rsidR="006E6F31">
        <w:rPr>
          <w:rFonts w:ascii="Times New Roman" w:hAnsi="Times New Roman" w:cs="Times New Roman"/>
          <w:sz w:val="24"/>
          <w:szCs w:val="24"/>
        </w:rPr>
        <w:t xml:space="preserve"> claim</w:t>
      </w:r>
      <w:r w:rsidR="004936EB">
        <w:rPr>
          <w:rFonts w:ascii="Times New Roman" w:hAnsi="Times New Roman" w:cs="Times New Roman"/>
          <w:sz w:val="24"/>
          <w:szCs w:val="24"/>
        </w:rPr>
        <w:t>.</w:t>
      </w:r>
    </w:p>
    <w:p w:rsidR="00243FA4" w:rsidRDefault="002D7930" w:rsidP="00B6794B">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That </w:t>
      </w:r>
      <w:r w:rsidR="004936EB">
        <w:rPr>
          <w:rFonts w:ascii="Times New Roman" w:hAnsi="Times New Roman" w:cs="Times New Roman"/>
          <w:sz w:val="24"/>
          <w:szCs w:val="24"/>
        </w:rPr>
        <w:t>appellant</w:t>
      </w:r>
      <w:r>
        <w:rPr>
          <w:rFonts w:ascii="Times New Roman" w:hAnsi="Times New Roman" w:cs="Times New Roman"/>
          <w:sz w:val="24"/>
          <w:szCs w:val="24"/>
        </w:rPr>
        <w:t xml:space="preserve"> </w:t>
      </w:r>
      <w:r w:rsidR="00964074">
        <w:rPr>
          <w:rFonts w:ascii="Times New Roman" w:hAnsi="Times New Roman" w:cs="Times New Roman"/>
          <w:sz w:val="24"/>
          <w:szCs w:val="24"/>
        </w:rPr>
        <w:t xml:space="preserve">was </w:t>
      </w:r>
      <w:r>
        <w:rPr>
          <w:rFonts w:ascii="Times New Roman" w:hAnsi="Times New Roman" w:cs="Times New Roman"/>
          <w:sz w:val="24"/>
          <w:szCs w:val="24"/>
        </w:rPr>
        <w:t>unaware of when respondent effected the pump replacements</w:t>
      </w:r>
      <w:r w:rsidR="004936EB">
        <w:rPr>
          <w:rFonts w:ascii="Times New Roman" w:hAnsi="Times New Roman" w:cs="Times New Roman"/>
          <w:sz w:val="24"/>
          <w:szCs w:val="24"/>
        </w:rPr>
        <w:t>.</w:t>
      </w:r>
    </w:p>
    <w:p w:rsidR="002D7930" w:rsidRDefault="002D7930" w:rsidP="00B6794B">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That the court a</w:t>
      </w:r>
      <w:r w:rsidR="00D633A1">
        <w:rPr>
          <w:rFonts w:ascii="Times New Roman" w:hAnsi="Times New Roman" w:cs="Times New Roman"/>
          <w:sz w:val="24"/>
          <w:szCs w:val="24"/>
        </w:rPr>
        <w:t xml:space="preserve"> </w:t>
      </w:r>
      <w:r>
        <w:rPr>
          <w:rFonts w:ascii="Times New Roman" w:hAnsi="Times New Roman" w:cs="Times New Roman"/>
          <w:sz w:val="24"/>
          <w:szCs w:val="24"/>
        </w:rPr>
        <w:t xml:space="preserve">quo ought to have called </w:t>
      </w:r>
      <w:r w:rsidRPr="001E6611">
        <w:rPr>
          <w:rFonts w:ascii="Times New Roman" w:hAnsi="Times New Roman" w:cs="Times New Roman"/>
          <w:i/>
          <w:iCs/>
          <w:sz w:val="24"/>
          <w:szCs w:val="24"/>
        </w:rPr>
        <w:t>viva voce</w:t>
      </w:r>
      <w:r>
        <w:rPr>
          <w:rFonts w:ascii="Times New Roman" w:hAnsi="Times New Roman" w:cs="Times New Roman"/>
          <w:sz w:val="24"/>
          <w:szCs w:val="24"/>
        </w:rPr>
        <w:t xml:space="preserve"> evidence to resolve the factual issue of when appellant bec</w:t>
      </w:r>
      <w:r w:rsidR="0016594A">
        <w:rPr>
          <w:rFonts w:ascii="Times New Roman" w:hAnsi="Times New Roman" w:cs="Times New Roman"/>
          <w:sz w:val="24"/>
          <w:szCs w:val="24"/>
        </w:rPr>
        <w:t>ame aware of the pumps being</w:t>
      </w:r>
      <w:r>
        <w:rPr>
          <w:rFonts w:ascii="Times New Roman" w:hAnsi="Times New Roman" w:cs="Times New Roman"/>
          <w:sz w:val="24"/>
          <w:szCs w:val="24"/>
        </w:rPr>
        <w:t xml:space="preserve"> replaced.</w:t>
      </w:r>
    </w:p>
    <w:p w:rsidR="00D633A1" w:rsidRDefault="00D633A1" w:rsidP="00B6794B">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That the cause of action arose </w:t>
      </w:r>
      <w:r w:rsidR="004936EB">
        <w:rPr>
          <w:rFonts w:ascii="Times New Roman" w:hAnsi="Times New Roman" w:cs="Times New Roman"/>
          <w:sz w:val="24"/>
          <w:szCs w:val="24"/>
        </w:rPr>
        <w:t xml:space="preserve">when the lease terminated and not </w:t>
      </w:r>
      <w:r>
        <w:rPr>
          <w:rFonts w:ascii="Times New Roman" w:hAnsi="Times New Roman" w:cs="Times New Roman"/>
          <w:sz w:val="24"/>
          <w:szCs w:val="24"/>
        </w:rPr>
        <w:t>during the subsistence of the lease.</w:t>
      </w:r>
    </w:p>
    <w:p w:rsidR="00DF6683" w:rsidRPr="001E6611" w:rsidRDefault="00D633A1" w:rsidP="00B6794B">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That the court failed to find in favour of appellant as to when pumps were replaced.</w:t>
      </w:r>
    </w:p>
    <w:p w:rsidR="00D633A1" w:rsidRPr="001E6611" w:rsidRDefault="00DF6683" w:rsidP="00B6794B">
      <w:pPr>
        <w:spacing w:after="0" w:line="360" w:lineRule="auto"/>
        <w:jc w:val="both"/>
        <w:rPr>
          <w:rFonts w:ascii="Times New Roman" w:hAnsi="Times New Roman" w:cs="Times New Roman"/>
          <w:i/>
          <w:iCs/>
          <w:sz w:val="24"/>
          <w:szCs w:val="24"/>
        </w:rPr>
      </w:pPr>
      <w:r w:rsidRPr="001E6611">
        <w:rPr>
          <w:rFonts w:ascii="Times New Roman" w:hAnsi="Times New Roman" w:cs="Times New Roman"/>
          <w:i/>
          <w:iCs/>
          <w:sz w:val="24"/>
          <w:szCs w:val="24"/>
        </w:rPr>
        <w:t>RES JUDICATA</w:t>
      </w:r>
    </w:p>
    <w:p w:rsidR="00DF6683" w:rsidRDefault="00A2425C" w:rsidP="00B6794B">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The requirements for this plea are settled. For one to succe</w:t>
      </w:r>
      <w:r w:rsidR="00256398">
        <w:rPr>
          <w:rFonts w:ascii="Times New Roman" w:hAnsi="Times New Roman" w:cs="Times New Roman"/>
          <w:sz w:val="24"/>
          <w:szCs w:val="24"/>
        </w:rPr>
        <w:t>e</w:t>
      </w:r>
      <w:r>
        <w:rPr>
          <w:rFonts w:ascii="Times New Roman" w:hAnsi="Times New Roman" w:cs="Times New Roman"/>
          <w:sz w:val="24"/>
          <w:szCs w:val="24"/>
        </w:rPr>
        <w:t>d</w:t>
      </w:r>
      <w:r w:rsidR="00256398">
        <w:rPr>
          <w:rFonts w:ascii="Times New Roman" w:hAnsi="Times New Roman" w:cs="Times New Roman"/>
          <w:sz w:val="24"/>
          <w:szCs w:val="24"/>
        </w:rPr>
        <w:t xml:space="preserve"> one must</w:t>
      </w:r>
      <w:r>
        <w:rPr>
          <w:rFonts w:ascii="Times New Roman" w:hAnsi="Times New Roman" w:cs="Times New Roman"/>
          <w:sz w:val="24"/>
          <w:szCs w:val="24"/>
        </w:rPr>
        <w:t xml:space="preserve"> show that:</w:t>
      </w:r>
    </w:p>
    <w:p w:rsidR="00A2425C" w:rsidRDefault="00A2425C" w:rsidP="00B6794B">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action is between the same parties</w:t>
      </w:r>
    </w:p>
    <w:p w:rsidR="00A2425C" w:rsidRDefault="00A2425C" w:rsidP="00B6794B">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two actions must concern the same subject matter</w:t>
      </w:r>
    </w:p>
    <w:p w:rsidR="00B6794B" w:rsidRPr="001E6611" w:rsidRDefault="00A2425C" w:rsidP="00B6794B">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actions must be founded upon the same cause of action.</w:t>
      </w:r>
    </w:p>
    <w:p w:rsidR="00BB06BE" w:rsidRPr="00BB06BE" w:rsidRDefault="00117322" w:rsidP="001E6611">
      <w:pPr>
        <w:spacing w:after="0" w:line="360" w:lineRule="auto"/>
        <w:ind w:firstLine="720"/>
        <w:jc w:val="both"/>
        <w:rPr>
          <w:rFonts w:ascii="Times New Roman" w:hAnsi="Times New Roman" w:cs="Times New Roman"/>
          <w:sz w:val="24"/>
          <w:szCs w:val="24"/>
        </w:rPr>
      </w:pPr>
      <w:r w:rsidRPr="00BB06BE">
        <w:rPr>
          <w:rFonts w:ascii="Times New Roman" w:hAnsi="Times New Roman" w:cs="Times New Roman"/>
          <w:sz w:val="24"/>
          <w:szCs w:val="24"/>
        </w:rPr>
        <w:t>See the case of</w:t>
      </w:r>
      <w:r w:rsidR="001E6611">
        <w:rPr>
          <w:rFonts w:ascii="Times New Roman" w:hAnsi="Times New Roman" w:cs="Times New Roman"/>
          <w:sz w:val="24"/>
          <w:szCs w:val="24"/>
        </w:rPr>
        <w:t xml:space="preserve"> </w:t>
      </w:r>
      <w:r w:rsidRPr="001E6611">
        <w:rPr>
          <w:rFonts w:ascii="Times New Roman" w:hAnsi="Times New Roman" w:cs="Times New Roman"/>
          <w:i/>
          <w:iCs/>
          <w:sz w:val="24"/>
          <w:szCs w:val="24"/>
        </w:rPr>
        <w:t>Flowerdale Investments</w:t>
      </w:r>
      <w:r w:rsidR="001E6611">
        <w:rPr>
          <w:rFonts w:ascii="Times New Roman" w:hAnsi="Times New Roman" w:cs="Times New Roman"/>
          <w:i/>
          <w:iCs/>
          <w:sz w:val="24"/>
          <w:szCs w:val="24"/>
        </w:rPr>
        <w:t xml:space="preserve"> </w:t>
      </w:r>
      <w:r w:rsidRPr="001E6611">
        <w:rPr>
          <w:rFonts w:ascii="Times New Roman" w:hAnsi="Times New Roman" w:cs="Times New Roman"/>
          <w:i/>
          <w:iCs/>
          <w:sz w:val="24"/>
          <w:szCs w:val="24"/>
        </w:rPr>
        <w:t>(Private) Limited &amp; Ano</w:t>
      </w:r>
      <w:r w:rsidR="001E6611">
        <w:rPr>
          <w:rFonts w:ascii="Times New Roman" w:hAnsi="Times New Roman" w:cs="Times New Roman"/>
          <w:sz w:val="24"/>
          <w:szCs w:val="24"/>
        </w:rPr>
        <w:t>r</w:t>
      </w:r>
      <w:r w:rsidRPr="00BB06BE">
        <w:rPr>
          <w:rFonts w:ascii="Times New Roman" w:hAnsi="Times New Roman" w:cs="Times New Roman"/>
          <w:sz w:val="24"/>
          <w:szCs w:val="24"/>
        </w:rPr>
        <w:t xml:space="preserve"> v </w:t>
      </w:r>
      <w:r w:rsidRPr="001E6611">
        <w:rPr>
          <w:rFonts w:ascii="Times New Roman" w:hAnsi="Times New Roman" w:cs="Times New Roman"/>
          <w:i/>
          <w:iCs/>
          <w:sz w:val="24"/>
          <w:szCs w:val="24"/>
        </w:rPr>
        <w:t>Bernard Construction (Private) Limited  &amp; 2 Others</w:t>
      </w:r>
      <w:r w:rsidRPr="00BB06BE">
        <w:rPr>
          <w:rFonts w:ascii="Times New Roman" w:hAnsi="Times New Roman" w:cs="Times New Roman"/>
          <w:sz w:val="24"/>
          <w:szCs w:val="24"/>
        </w:rPr>
        <w:t>, SC 5/09 and the foll</w:t>
      </w:r>
      <w:r w:rsidR="00FB4D6F" w:rsidRPr="00BB06BE">
        <w:rPr>
          <w:rFonts w:ascii="Times New Roman" w:hAnsi="Times New Roman" w:cs="Times New Roman"/>
          <w:sz w:val="24"/>
          <w:szCs w:val="24"/>
        </w:rPr>
        <w:t>owing authorities cited therein:</w:t>
      </w:r>
      <w:r w:rsidRPr="00BB06BE">
        <w:rPr>
          <w:rFonts w:ascii="Times New Roman" w:hAnsi="Times New Roman" w:cs="Times New Roman"/>
          <w:sz w:val="24"/>
          <w:szCs w:val="24"/>
        </w:rPr>
        <w:t xml:space="preserve"> </w:t>
      </w:r>
      <w:r w:rsidRPr="00BB06BE">
        <w:rPr>
          <w:rFonts w:ascii="Times New Roman" w:hAnsi="Times New Roman" w:cs="Times New Roman"/>
          <w:i/>
          <w:sz w:val="24"/>
          <w:szCs w:val="24"/>
        </w:rPr>
        <w:t>Hiddingh v Dennysen</w:t>
      </w:r>
      <w:r w:rsidRPr="00BB06BE">
        <w:rPr>
          <w:rFonts w:ascii="Times New Roman" w:hAnsi="Times New Roman" w:cs="Times New Roman"/>
          <w:sz w:val="24"/>
          <w:szCs w:val="24"/>
        </w:rPr>
        <w:t xml:space="preserve"> 3 SC 424 at 450; </w:t>
      </w:r>
      <w:r w:rsidRPr="00BB06BE">
        <w:rPr>
          <w:rFonts w:ascii="Times New Roman" w:hAnsi="Times New Roman" w:cs="Times New Roman"/>
          <w:i/>
          <w:sz w:val="24"/>
          <w:szCs w:val="24"/>
        </w:rPr>
        <w:t xml:space="preserve">Bertram </w:t>
      </w:r>
      <w:r w:rsidRPr="001E6611">
        <w:rPr>
          <w:rFonts w:ascii="Times New Roman" w:hAnsi="Times New Roman" w:cs="Times New Roman"/>
          <w:iCs/>
          <w:sz w:val="24"/>
          <w:szCs w:val="24"/>
        </w:rPr>
        <w:t>v</w:t>
      </w:r>
      <w:r w:rsidRPr="00BB06BE">
        <w:rPr>
          <w:rFonts w:ascii="Times New Roman" w:hAnsi="Times New Roman" w:cs="Times New Roman"/>
          <w:i/>
          <w:sz w:val="24"/>
          <w:szCs w:val="24"/>
        </w:rPr>
        <w:t xml:space="preserve"> Wood</w:t>
      </w:r>
      <w:r w:rsidRPr="00BB06BE">
        <w:rPr>
          <w:rFonts w:ascii="Times New Roman" w:hAnsi="Times New Roman" w:cs="Times New Roman"/>
          <w:sz w:val="24"/>
          <w:szCs w:val="24"/>
        </w:rPr>
        <w:t xml:space="preserve"> 10 SC 180; </w:t>
      </w:r>
      <w:r w:rsidRPr="00BB06BE">
        <w:rPr>
          <w:rFonts w:ascii="Times New Roman" w:hAnsi="Times New Roman" w:cs="Times New Roman"/>
          <w:i/>
          <w:sz w:val="24"/>
          <w:szCs w:val="24"/>
        </w:rPr>
        <w:t xml:space="preserve">Pretorius </w:t>
      </w:r>
      <w:r w:rsidRPr="001E6611">
        <w:rPr>
          <w:rFonts w:ascii="Times New Roman" w:hAnsi="Times New Roman" w:cs="Times New Roman"/>
          <w:iCs/>
          <w:sz w:val="24"/>
          <w:szCs w:val="24"/>
        </w:rPr>
        <w:t>v</w:t>
      </w:r>
      <w:r w:rsidRPr="00BB06BE">
        <w:rPr>
          <w:rFonts w:ascii="Times New Roman" w:hAnsi="Times New Roman" w:cs="Times New Roman"/>
          <w:i/>
          <w:sz w:val="24"/>
          <w:szCs w:val="24"/>
        </w:rPr>
        <w:t xml:space="preserve"> Divisional Council of Barkly East</w:t>
      </w:r>
      <w:r w:rsidRPr="00BB06BE">
        <w:rPr>
          <w:rFonts w:ascii="Times New Roman" w:hAnsi="Times New Roman" w:cs="Times New Roman"/>
          <w:sz w:val="24"/>
          <w:szCs w:val="24"/>
        </w:rPr>
        <w:t xml:space="preserve"> 1914 AD 407 at 409; </w:t>
      </w:r>
      <w:r w:rsidRPr="00BB06BE">
        <w:rPr>
          <w:rFonts w:ascii="Times New Roman" w:hAnsi="Times New Roman" w:cs="Times New Roman"/>
          <w:i/>
          <w:sz w:val="24"/>
          <w:szCs w:val="24"/>
        </w:rPr>
        <w:t xml:space="preserve">Mitford’s Exors </w:t>
      </w:r>
      <w:r w:rsidRPr="001E6611">
        <w:rPr>
          <w:rFonts w:ascii="Times New Roman" w:hAnsi="Times New Roman" w:cs="Times New Roman"/>
          <w:iCs/>
          <w:sz w:val="24"/>
          <w:szCs w:val="24"/>
        </w:rPr>
        <w:t>v</w:t>
      </w:r>
      <w:r w:rsidRPr="00BB06BE">
        <w:rPr>
          <w:rFonts w:ascii="Times New Roman" w:hAnsi="Times New Roman" w:cs="Times New Roman"/>
          <w:i/>
          <w:sz w:val="24"/>
          <w:szCs w:val="24"/>
        </w:rPr>
        <w:t xml:space="preserve"> Elden’s Exors</w:t>
      </w:r>
      <w:r w:rsidRPr="00BB06BE">
        <w:rPr>
          <w:rFonts w:ascii="Times New Roman" w:hAnsi="Times New Roman" w:cs="Times New Roman"/>
          <w:sz w:val="24"/>
          <w:szCs w:val="24"/>
        </w:rPr>
        <w:t xml:space="preserve"> 1917 AD 682; </w:t>
      </w:r>
      <w:r w:rsidRPr="00BB06BE">
        <w:rPr>
          <w:rFonts w:ascii="Times New Roman" w:hAnsi="Times New Roman" w:cs="Times New Roman"/>
          <w:i/>
          <w:sz w:val="24"/>
          <w:szCs w:val="24"/>
        </w:rPr>
        <w:t>Le Roux v Le Roux</w:t>
      </w:r>
      <w:r w:rsidRPr="00BB06BE">
        <w:rPr>
          <w:rFonts w:ascii="Times New Roman" w:hAnsi="Times New Roman" w:cs="Times New Roman"/>
          <w:sz w:val="24"/>
          <w:szCs w:val="24"/>
        </w:rPr>
        <w:t xml:space="preserve"> 1967 (1) SA 446 (AD); and </w:t>
      </w:r>
      <w:r w:rsidRPr="00BB06BE">
        <w:rPr>
          <w:rFonts w:ascii="Times New Roman" w:hAnsi="Times New Roman" w:cs="Times New Roman"/>
          <w:i/>
          <w:sz w:val="24"/>
          <w:szCs w:val="24"/>
        </w:rPr>
        <w:t>Voet</w:t>
      </w:r>
      <w:r w:rsidRPr="00BB06BE">
        <w:rPr>
          <w:rFonts w:ascii="Times New Roman" w:hAnsi="Times New Roman" w:cs="Times New Roman"/>
          <w:sz w:val="24"/>
          <w:szCs w:val="24"/>
        </w:rPr>
        <w:t xml:space="preserve"> 44.2.3.</w:t>
      </w:r>
    </w:p>
    <w:p w:rsidR="00A9031A" w:rsidRDefault="00BB06BE" w:rsidP="001E6611">
      <w:pPr>
        <w:spacing w:after="0" w:line="360" w:lineRule="auto"/>
        <w:ind w:firstLine="720"/>
        <w:jc w:val="both"/>
        <w:rPr>
          <w:rFonts w:ascii="Times New Roman" w:hAnsi="Times New Roman" w:cs="Times New Roman"/>
          <w:sz w:val="24"/>
          <w:szCs w:val="24"/>
        </w:rPr>
      </w:pPr>
      <w:r w:rsidRPr="00BB06BE">
        <w:rPr>
          <w:rFonts w:ascii="Times New Roman" w:hAnsi="Times New Roman" w:cs="Times New Roman"/>
          <w:sz w:val="24"/>
          <w:szCs w:val="24"/>
        </w:rPr>
        <w:t>The fact that</w:t>
      </w:r>
      <w:r w:rsidR="00D905E9">
        <w:rPr>
          <w:rFonts w:ascii="Times New Roman" w:hAnsi="Times New Roman" w:cs="Times New Roman"/>
          <w:sz w:val="24"/>
          <w:szCs w:val="24"/>
        </w:rPr>
        <w:t xml:space="preserve"> the action is between the same parties and concerns the same su</w:t>
      </w:r>
      <w:r w:rsidR="00245603">
        <w:rPr>
          <w:rFonts w:ascii="Times New Roman" w:hAnsi="Times New Roman" w:cs="Times New Roman"/>
          <w:sz w:val="24"/>
          <w:szCs w:val="24"/>
        </w:rPr>
        <w:t>bject matter is not in dispute</w:t>
      </w:r>
      <w:r w:rsidR="00256398">
        <w:rPr>
          <w:rFonts w:ascii="Times New Roman" w:hAnsi="Times New Roman" w:cs="Times New Roman"/>
          <w:sz w:val="24"/>
          <w:szCs w:val="24"/>
        </w:rPr>
        <w:t xml:space="preserve">, </w:t>
      </w:r>
      <w:r w:rsidR="00245603">
        <w:rPr>
          <w:rFonts w:ascii="Times New Roman" w:hAnsi="Times New Roman" w:cs="Times New Roman"/>
          <w:sz w:val="24"/>
          <w:szCs w:val="24"/>
        </w:rPr>
        <w:t>that is in relation to the borehole</w:t>
      </w:r>
      <w:r w:rsidR="00256398">
        <w:rPr>
          <w:rFonts w:ascii="Times New Roman" w:hAnsi="Times New Roman" w:cs="Times New Roman"/>
          <w:sz w:val="24"/>
          <w:szCs w:val="24"/>
        </w:rPr>
        <w:t xml:space="preserve"> pump</w:t>
      </w:r>
      <w:r w:rsidR="00245603">
        <w:rPr>
          <w:rFonts w:ascii="Times New Roman" w:hAnsi="Times New Roman" w:cs="Times New Roman"/>
          <w:sz w:val="24"/>
          <w:szCs w:val="24"/>
        </w:rPr>
        <w:t xml:space="preserve">. In respect to the cause of action the appellant argued that </w:t>
      </w:r>
      <w:r w:rsidR="00C46D46">
        <w:rPr>
          <w:rFonts w:ascii="Times New Roman" w:hAnsi="Times New Roman" w:cs="Times New Roman"/>
          <w:sz w:val="24"/>
          <w:szCs w:val="24"/>
        </w:rPr>
        <w:t>in MC 23625/14 the appellant claimed there was damage to the borehole pump and wanted to be paid the repair cost. This is the submissible pump installed by the respondent during the tenure of his lease. The court determined the issue and granted appellant $50 for such repairs. It is further argued that the MC 5770/16 claim</w:t>
      </w:r>
      <w:r w:rsidR="00256398">
        <w:rPr>
          <w:rFonts w:ascii="Times New Roman" w:hAnsi="Times New Roman" w:cs="Times New Roman"/>
          <w:sz w:val="24"/>
          <w:szCs w:val="24"/>
        </w:rPr>
        <w:t>,</w:t>
      </w:r>
      <w:r w:rsidR="00C46D46">
        <w:rPr>
          <w:rFonts w:ascii="Times New Roman" w:hAnsi="Times New Roman" w:cs="Times New Roman"/>
          <w:sz w:val="24"/>
          <w:szCs w:val="24"/>
        </w:rPr>
        <w:t xml:space="preserve"> while it relates to the same borehole</w:t>
      </w:r>
      <w:r w:rsidR="00256398">
        <w:rPr>
          <w:rFonts w:ascii="Times New Roman" w:hAnsi="Times New Roman" w:cs="Times New Roman"/>
          <w:sz w:val="24"/>
          <w:szCs w:val="24"/>
        </w:rPr>
        <w:t>,</w:t>
      </w:r>
      <w:r w:rsidR="00C46D46">
        <w:rPr>
          <w:rFonts w:ascii="Times New Roman" w:hAnsi="Times New Roman" w:cs="Times New Roman"/>
          <w:sz w:val="24"/>
          <w:szCs w:val="24"/>
        </w:rPr>
        <w:t xml:space="preserve"> is now based on clause 8 of the lease agreement in that it seeks the replacement of the </w:t>
      </w:r>
      <w:r w:rsidR="00A9031A">
        <w:rPr>
          <w:rFonts w:ascii="Times New Roman" w:hAnsi="Times New Roman" w:cs="Times New Roman"/>
          <w:sz w:val="24"/>
          <w:szCs w:val="24"/>
        </w:rPr>
        <w:t xml:space="preserve">submissible </w:t>
      </w:r>
      <w:r w:rsidR="00C46D46">
        <w:rPr>
          <w:rFonts w:ascii="Times New Roman" w:hAnsi="Times New Roman" w:cs="Times New Roman"/>
          <w:sz w:val="24"/>
          <w:szCs w:val="24"/>
        </w:rPr>
        <w:t>pump</w:t>
      </w:r>
      <w:r w:rsidR="00A9031A">
        <w:rPr>
          <w:rFonts w:ascii="Times New Roman" w:hAnsi="Times New Roman" w:cs="Times New Roman"/>
          <w:sz w:val="24"/>
          <w:szCs w:val="24"/>
        </w:rPr>
        <w:t xml:space="preserve"> with the mono pump. </w:t>
      </w:r>
    </w:p>
    <w:p w:rsidR="00641365" w:rsidRDefault="00A9031A" w:rsidP="001E661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In arriving at the conclusion that the claim was res judicata this is what the magistrate said in his judgment; “</w:t>
      </w:r>
      <w:r w:rsidR="00522C3D">
        <w:rPr>
          <w:rFonts w:ascii="Times New Roman" w:hAnsi="Times New Roman" w:cs="Times New Roman"/>
          <w:sz w:val="24"/>
          <w:szCs w:val="24"/>
        </w:rPr>
        <w:t xml:space="preserve">It is to be noted that the swimming pool pump was not in issue in case 23625/14, which only related to the borehole pump, for which repairs were being sought. Regarding cause of action, it is apparent that in 23625/14, plaintiff was seeking either compensation or restoration (repairs). In </w:t>
      </w:r>
      <w:r w:rsidR="00522C3D" w:rsidRPr="001E6611">
        <w:rPr>
          <w:rFonts w:ascii="Times New Roman" w:hAnsi="Times New Roman" w:cs="Times New Roman"/>
          <w:i/>
          <w:iCs/>
          <w:sz w:val="24"/>
          <w:szCs w:val="24"/>
        </w:rPr>
        <w:t>casu</w:t>
      </w:r>
      <w:r w:rsidR="00522C3D">
        <w:rPr>
          <w:rFonts w:ascii="Times New Roman" w:hAnsi="Times New Roman" w:cs="Times New Roman"/>
          <w:sz w:val="24"/>
          <w:szCs w:val="24"/>
        </w:rPr>
        <w:t xml:space="preserve">, plaintiff is seeking compensation only (replacement). The claims with regards to the borehole only, therefore overlap, as far as cause of action is concerned, with respect to the common claim for restoration (repairs). What this means, in respect of the borehole pump, is that plaintiff is again claiming upon the same cause of action as he did </w:t>
      </w:r>
      <w:r w:rsidR="001E6611">
        <w:rPr>
          <w:rFonts w:ascii="Times New Roman" w:hAnsi="Times New Roman" w:cs="Times New Roman"/>
          <w:sz w:val="24"/>
          <w:szCs w:val="24"/>
        </w:rPr>
        <w:t>i</w:t>
      </w:r>
      <w:r w:rsidR="00522C3D">
        <w:rPr>
          <w:rFonts w:ascii="Times New Roman" w:hAnsi="Times New Roman" w:cs="Times New Roman"/>
          <w:sz w:val="24"/>
          <w:szCs w:val="24"/>
        </w:rPr>
        <w:t>n 2014.”</w:t>
      </w:r>
    </w:p>
    <w:p w:rsidR="00277186" w:rsidRDefault="00641365" w:rsidP="001E661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Respondent argued in support of the judgment of the court </w:t>
      </w:r>
      <w:r w:rsidRPr="001E6611">
        <w:rPr>
          <w:rFonts w:ascii="Times New Roman" w:hAnsi="Times New Roman" w:cs="Times New Roman"/>
          <w:i/>
          <w:iCs/>
          <w:sz w:val="24"/>
          <w:szCs w:val="24"/>
        </w:rPr>
        <w:t>a quo</w:t>
      </w:r>
      <w:r>
        <w:rPr>
          <w:rFonts w:ascii="Times New Roman" w:hAnsi="Times New Roman" w:cs="Times New Roman"/>
          <w:sz w:val="24"/>
          <w:szCs w:val="24"/>
        </w:rPr>
        <w:t xml:space="preserve">. The written submissions were not detailed enough to deal with the specific claims in respect to the two matters. Instead the submissions transgressed to the doctrine </w:t>
      </w:r>
      <w:r w:rsidR="00256398">
        <w:rPr>
          <w:rFonts w:ascii="Times New Roman" w:hAnsi="Times New Roman" w:cs="Times New Roman"/>
          <w:sz w:val="24"/>
          <w:szCs w:val="24"/>
        </w:rPr>
        <w:t xml:space="preserve">of </w:t>
      </w:r>
      <w:r>
        <w:rPr>
          <w:rFonts w:ascii="Times New Roman" w:hAnsi="Times New Roman" w:cs="Times New Roman"/>
          <w:sz w:val="24"/>
          <w:szCs w:val="24"/>
        </w:rPr>
        <w:t>pere</w:t>
      </w:r>
      <w:r w:rsidR="00256398">
        <w:rPr>
          <w:rFonts w:ascii="Times New Roman" w:hAnsi="Times New Roman" w:cs="Times New Roman"/>
          <w:sz w:val="24"/>
          <w:szCs w:val="24"/>
        </w:rPr>
        <w:t xml:space="preserve">mption which was also argued </w:t>
      </w:r>
      <w:r>
        <w:rPr>
          <w:rFonts w:ascii="Times New Roman" w:hAnsi="Times New Roman" w:cs="Times New Roman"/>
          <w:sz w:val="24"/>
          <w:szCs w:val="24"/>
        </w:rPr>
        <w:t xml:space="preserve">before the magistrate. </w:t>
      </w:r>
      <w:r w:rsidR="00927E67">
        <w:rPr>
          <w:rFonts w:ascii="Times New Roman" w:hAnsi="Times New Roman" w:cs="Times New Roman"/>
          <w:sz w:val="24"/>
          <w:szCs w:val="24"/>
        </w:rPr>
        <w:t>However,</w:t>
      </w:r>
      <w:r>
        <w:rPr>
          <w:rFonts w:ascii="Times New Roman" w:hAnsi="Times New Roman" w:cs="Times New Roman"/>
          <w:sz w:val="24"/>
          <w:szCs w:val="24"/>
        </w:rPr>
        <w:t xml:space="preserve"> the court </w:t>
      </w:r>
      <w:r w:rsidRPr="00927E67">
        <w:rPr>
          <w:rFonts w:ascii="Times New Roman" w:hAnsi="Times New Roman" w:cs="Times New Roman"/>
          <w:i/>
          <w:iCs/>
          <w:sz w:val="24"/>
          <w:szCs w:val="24"/>
        </w:rPr>
        <w:t>a quo</w:t>
      </w:r>
      <w:r>
        <w:rPr>
          <w:rFonts w:ascii="Times New Roman" w:hAnsi="Times New Roman" w:cs="Times New Roman"/>
          <w:sz w:val="24"/>
          <w:szCs w:val="24"/>
        </w:rPr>
        <w:t xml:space="preserve"> did not make any decision on the applicability of the doctrine and its end result. In any event no appeal lies against the court’s decision on this doctrine. We find no need to pursue it in this judgment.</w:t>
      </w:r>
    </w:p>
    <w:p w:rsidR="00F64ACF" w:rsidRDefault="00277186" w:rsidP="001E661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We disagree with the court </w:t>
      </w:r>
      <w:r w:rsidRPr="001E6611">
        <w:rPr>
          <w:rFonts w:ascii="Times New Roman" w:hAnsi="Times New Roman" w:cs="Times New Roman"/>
          <w:i/>
          <w:iCs/>
          <w:sz w:val="24"/>
          <w:szCs w:val="24"/>
        </w:rPr>
        <w:t>a quo</w:t>
      </w:r>
      <w:r>
        <w:rPr>
          <w:rFonts w:ascii="Times New Roman" w:hAnsi="Times New Roman" w:cs="Times New Roman"/>
          <w:sz w:val="24"/>
          <w:szCs w:val="24"/>
        </w:rPr>
        <w:t xml:space="preserve"> in its finding that re</w:t>
      </w:r>
      <w:r w:rsidR="00927E67">
        <w:rPr>
          <w:rFonts w:ascii="Times New Roman" w:hAnsi="Times New Roman" w:cs="Times New Roman"/>
          <w:sz w:val="24"/>
          <w:szCs w:val="24"/>
        </w:rPr>
        <w:t>s</w:t>
      </w:r>
      <w:r>
        <w:rPr>
          <w:rFonts w:ascii="Times New Roman" w:hAnsi="Times New Roman" w:cs="Times New Roman"/>
          <w:sz w:val="24"/>
          <w:szCs w:val="24"/>
        </w:rPr>
        <w:t xml:space="preserve"> judicata had been proved by the respondent. Clearly the magistrate misdirected himself in the analysis of evidence and the conclusion that the claim on the borehole was </w:t>
      </w:r>
      <w:r w:rsidRPr="001E6611">
        <w:rPr>
          <w:rFonts w:ascii="Times New Roman" w:hAnsi="Times New Roman" w:cs="Times New Roman"/>
          <w:i/>
          <w:iCs/>
          <w:sz w:val="24"/>
          <w:szCs w:val="24"/>
        </w:rPr>
        <w:t>res judicata</w:t>
      </w:r>
      <w:r>
        <w:rPr>
          <w:rFonts w:ascii="Times New Roman" w:hAnsi="Times New Roman" w:cs="Times New Roman"/>
          <w:sz w:val="24"/>
          <w:szCs w:val="24"/>
        </w:rPr>
        <w:t>. There are two distinct causes of action as correctly pointed out by the appellant, one for the cost of repairing the damaged borehole</w:t>
      </w:r>
      <w:r w:rsidR="00275F04">
        <w:rPr>
          <w:rFonts w:ascii="Times New Roman" w:hAnsi="Times New Roman" w:cs="Times New Roman"/>
          <w:sz w:val="24"/>
          <w:szCs w:val="24"/>
        </w:rPr>
        <w:t xml:space="preserve"> pump</w:t>
      </w:r>
      <w:r>
        <w:rPr>
          <w:rFonts w:ascii="Times New Roman" w:hAnsi="Times New Roman" w:cs="Times New Roman"/>
          <w:sz w:val="24"/>
          <w:szCs w:val="24"/>
        </w:rPr>
        <w:t xml:space="preserve"> and the other for replacement/restoration cost. </w:t>
      </w:r>
      <w:r w:rsidR="00574D5A">
        <w:rPr>
          <w:rFonts w:ascii="Times New Roman" w:hAnsi="Times New Roman" w:cs="Times New Roman"/>
          <w:sz w:val="24"/>
          <w:szCs w:val="24"/>
        </w:rPr>
        <w:t xml:space="preserve">While the defence of </w:t>
      </w:r>
      <w:r w:rsidR="00574D5A" w:rsidRPr="00E92ACE">
        <w:rPr>
          <w:rFonts w:ascii="Times New Roman" w:hAnsi="Times New Roman" w:cs="Times New Roman"/>
          <w:i/>
          <w:iCs/>
          <w:sz w:val="24"/>
          <w:szCs w:val="24"/>
        </w:rPr>
        <w:t>res judicata</w:t>
      </w:r>
      <w:r w:rsidR="00574D5A">
        <w:rPr>
          <w:rFonts w:ascii="Times New Roman" w:hAnsi="Times New Roman" w:cs="Times New Roman"/>
          <w:sz w:val="24"/>
          <w:szCs w:val="24"/>
        </w:rPr>
        <w:t xml:space="preserve"> did not succeed in the court </w:t>
      </w:r>
      <w:r w:rsidR="00574D5A" w:rsidRPr="00574D5A">
        <w:rPr>
          <w:rFonts w:ascii="Times New Roman" w:hAnsi="Times New Roman" w:cs="Times New Roman"/>
          <w:i/>
          <w:iCs/>
          <w:sz w:val="24"/>
          <w:szCs w:val="24"/>
        </w:rPr>
        <w:t>a quo</w:t>
      </w:r>
      <w:r w:rsidR="00574D5A">
        <w:rPr>
          <w:rFonts w:ascii="Times New Roman" w:hAnsi="Times New Roman" w:cs="Times New Roman"/>
          <w:sz w:val="24"/>
          <w:szCs w:val="24"/>
        </w:rPr>
        <w:t>, that did not preclude the respondent from raising any other valid defence to the claim.</w:t>
      </w:r>
    </w:p>
    <w:p w:rsidR="005A17AB" w:rsidRDefault="00F64ACF" w:rsidP="001E661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court </w:t>
      </w:r>
      <w:r w:rsidRPr="00574D5A">
        <w:rPr>
          <w:rFonts w:ascii="Times New Roman" w:hAnsi="Times New Roman" w:cs="Times New Roman"/>
          <w:i/>
          <w:iCs/>
          <w:sz w:val="24"/>
          <w:szCs w:val="24"/>
        </w:rPr>
        <w:t>a quo</w:t>
      </w:r>
      <w:r>
        <w:rPr>
          <w:rFonts w:ascii="Times New Roman" w:hAnsi="Times New Roman" w:cs="Times New Roman"/>
          <w:sz w:val="24"/>
          <w:szCs w:val="24"/>
        </w:rPr>
        <w:t>’s decision on res</w:t>
      </w:r>
      <w:r w:rsidR="005A17AB">
        <w:rPr>
          <w:rFonts w:ascii="Times New Roman" w:hAnsi="Times New Roman" w:cs="Times New Roman"/>
          <w:sz w:val="24"/>
          <w:szCs w:val="24"/>
        </w:rPr>
        <w:t xml:space="preserve"> judicata ought to be set aside.</w:t>
      </w:r>
    </w:p>
    <w:p w:rsidR="005A17AB" w:rsidRDefault="005A17AB" w:rsidP="00B6794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PRESCRIPTION</w:t>
      </w:r>
    </w:p>
    <w:p w:rsidR="00964074" w:rsidRDefault="005A17AB" w:rsidP="001E661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appellant’s claim is subject to a </w:t>
      </w:r>
      <w:r w:rsidR="001E6611">
        <w:rPr>
          <w:rFonts w:ascii="Times New Roman" w:hAnsi="Times New Roman" w:cs="Times New Roman"/>
          <w:sz w:val="24"/>
          <w:szCs w:val="24"/>
        </w:rPr>
        <w:t>three-year</w:t>
      </w:r>
      <w:r>
        <w:rPr>
          <w:rFonts w:ascii="Times New Roman" w:hAnsi="Times New Roman" w:cs="Times New Roman"/>
          <w:sz w:val="24"/>
          <w:szCs w:val="24"/>
        </w:rPr>
        <w:t xml:space="preserve"> prescription period.</w:t>
      </w:r>
      <w:r w:rsidR="00F04253">
        <w:rPr>
          <w:rFonts w:ascii="Times New Roman" w:hAnsi="Times New Roman" w:cs="Times New Roman"/>
          <w:sz w:val="24"/>
          <w:szCs w:val="24"/>
        </w:rPr>
        <w:t xml:space="preserve"> The issue before the court </w:t>
      </w:r>
      <w:r w:rsidR="00F04253" w:rsidRPr="00927E67">
        <w:rPr>
          <w:rFonts w:ascii="Times New Roman" w:hAnsi="Times New Roman" w:cs="Times New Roman"/>
          <w:i/>
          <w:iCs/>
          <w:sz w:val="24"/>
          <w:szCs w:val="24"/>
        </w:rPr>
        <w:t>a</w:t>
      </w:r>
      <w:r w:rsidR="00927E67" w:rsidRPr="00927E67">
        <w:rPr>
          <w:rFonts w:ascii="Times New Roman" w:hAnsi="Times New Roman" w:cs="Times New Roman"/>
          <w:i/>
          <w:iCs/>
          <w:sz w:val="24"/>
          <w:szCs w:val="24"/>
        </w:rPr>
        <w:t xml:space="preserve"> </w:t>
      </w:r>
      <w:r w:rsidR="00F04253" w:rsidRPr="00927E67">
        <w:rPr>
          <w:rFonts w:ascii="Times New Roman" w:hAnsi="Times New Roman" w:cs="Times New Roman"/>
          <w:i/>
          <w:iCs/>
          <w:sz w:val="24"/>
          <w:szCs w:val="24"/>
        </w:rPr>
        <w:t>quo</w:t>
      </w:r>
      <w:r w:rsidR="00F04253">
        <w:rPr>
          <w:rFonts w:ascii="Times New Roman" w:hAnsi="Times New Roman" w:cs="Times New Roman"/>
          <w:sz w:val="24"/>
          <w:szCs w:val="24"/>
        </w:rPr>
        <w:t xml:space="preserve"> </w:t>
      </w:r>
      <w:r w:rsidR="00C429D6">
        <w:rPr>
          <w:rFonts w:ascii="Times New Roman" w:hAnsi="Times New Roman" w:cs="Times New Roman"/>
          <w:sz w:val="24"/>
          <w:szCs w:val="24"/>
        </w:rPr>
        <w:t xml:space="preserve">was </w:t>
      </w:r>
      <w:r w:rsidR="0053319D">
        <w:rPr>
          <w:rFonts w:ascii="Times New Roman" w:hAnsi="Times New Roman" w:cs="Times New Roman"/>
          <w:sz w:val="24"/>
          <w:szCs w:val="24"/>
        </w:rPr>
        <w:t xml:space="preserve">to determine </w:t>
      </w:r>
      <w:r w:rsidR="00C429D6">
        <w:rPr>
          <w:rFonts w:ascii="Times New Roman" w:hAnsi="Times New Roman" w:cs="Times New Roman"/>
          <w:sz w:val="24"/>
          <w:szCs w:val="24"/>
        </w:rPr>
        <w:t>when</w:t>
      </w:r>
      <w:r w:rsidR="00275F04">
        <w:rPr>
          <w:rFonts w:ascii="Times New Roman" w:hAnsi="Times New Roman" w:cs="Times New Roman"/>
          <w:sz w:val="24"/>
          <w:szCs w:val="24"/>
        </w:rPr>
        <w:t xml:space="preserve"> </w:t>
      </w:r>
      <w:r w:rsidR="00C429D6">
        <w:rPr>
          <w:rFonts w:ascii="Times New Roman" w:hAnsi="Times New Roman" w:cs="Times New Roman"/>
          <w:sz w:val="24"/>
          <w:szCs w:val="24"/>
        </w:rPr>
        <w:t>prescription beg</w:t>
      </w:r>
      <w:r w:rsidR="00275F04">
        <w:rPr>
          <w:rFonts w:ascii="Times New Roman" w:hAnsi="Times New Roman" w:cs="Times New Roman"/>
          <w:sz w:val="24"/>
          <w:szCs w:val="24"/>
        </w:rPr>
        <w:t>a</w:t>
      </w:r>
      <w:r w:rsidR="00C429D6">
        <w:rPr>
          <w:rFonts w:ascii="Times New Roman" w:hAnsi="Times New Roman" w:cs="Times New Roman"/>
          <w:sz w:val="24"/>
          <w:szCs w:val="24"/>
        </w:rPr>
        <w:t xml:space="preserve">n to run. </w:t>
      </w:r>
      <w:r w:rsidR="0053319D">
        <w:rPr>
          <w:rFonts w:ascii="Times New Roman" w:hAnsi="Times New Roman" w:cs="Times New Roman"/>
          <w:sz w:val="24"/>
          <w:szCs w:val="24"/>
        </w:rPr>
        <w:t>In its judgment the court a quo was correct in realizing that the claim was subject to the three year prescription period. The judgment noted, “The matter was instituted in 2016, which would mean that the cause of action should have arisen not prior to 2013.”</w:t>
      </w:r>
    </w:p>
    <w:p w:rsidR="003E0DF1" w:rsidRPr="00301DE7" w:rsidRDefault="00964074" w:rsidP="001E661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issue became that of knowledge on the part of the appellant as to when he became aware of the replacement of the pumps by the respondent. </w:t>
      </w:r>
      <w:r w:rsidR="00190064">
        <w:rPr>
          <w:rFonts w:ascii="Times New Roman" w:hAnsi="Times New Roman" w:cs="Times New Roman"/>
          <w:sz w:val="24"/>
          <w:szCs w:val="24"/>
        </w:rPr>
        <w:t xml:space="preserve">The contention before the court a quo by the respondent was that he replaced the pumps </w:t>
      </w:r>
      <w:r w:rsidR="004150D5">
        <w:rPr>
          <w:rFonts w:ascii="Times New Roman" w:hAnsi="Times New Roman" w:cs="Times New Roman"/>
          <w:sz w:val="24"/>
          <w:szCs w:val="24"/>
        </w:rPr>
        <w:t xml:space="preserve">in 2009 and 2010. He argued that the appellant ought to have knowledge of that replacement, according to the judgment, because he </w:t>
      </w:r>
      <w:r w:rsidR="004150D5">
        <w:rPr>
          <w:rFonts w:ascii="Times New Roman" w:hAnsi="Times New Roman" w:cs="Times New Roman"/>
          <w:sz w:val="24"/>
          <w:szCs w:val="24"/>
        </w:rPr>
        <w:lastRenderedPageBreak/>
        <w:t xml:space="preserve">had the right of inspection of the property in terms of clause 13 of the agreement. The appellant had denied knowledge of the changes but argued that even if that knowledge was available the cause of action only arose when the lease agreement was terminated. He relied on clause 8 of the agreement which we have decided to recite hereunder; it reads in part; “The lessee shall not make any alterations, additions or improvements to the premises without the prior written consent </w:t>
      </w:r>
      <w:r w:rsidR="001B5AC6">
        <w:rPr>
          <w:rFonts w:ascii="Times New Roman" w:hAnsi="Times New Roman" w:cs="Times New Roman"/>
          <w:sz w:val="24"/>
          <w:szCs w:val="24"/>
        </w:rPr>
        <w:t>of the lessor</w:t>
      </w:r>
      <w:r w:rsidR="001A370D">
        <w:rPr>
          <w:rFonts w:ascii="Times New Roman" w:hAnsi="Times New Roman" w:cs="Times New Roman"/>
          <w:sz w:val="24"/>
          <w:szCs w:val="24"/>
        </w:rPr>
        <w:t>…</w:t>
      </w:r>
      <w:r w:rsidR="001E6611">
        <w:rPr>
          <w:rFonts w:ascii="Times New Roman" w:hAnsi="Times New Roman" w:cs="Times New Roman"/>
          <w:sz w:val="24"/>
          <w:szCs w:val="24"/>
        </w:rPr>
        <w:t>…</w:t>
      </w:r>
      <w:r w:rsidR="001B5AC6">
        <w:rPr>
          <w:rFonts w:ascii="Times New Roman" w:hAnsi="Times New Roman" w:cs="Times New Roman"/>
          <w:sz w:val="24"/>
          <w:szCs w:val="24"/>
        </w:rPr>
        <w:t xml:space="preserve"> </w:t>
      </w:r>
      <w:r w:rsidR="001B5AC6" w:rsidRPr="003E0DF1">
        <w:rPr>
          <w:rFonts w:ascii="Times New Roman" w:hAnsi="Times New Roman" w:cs="Times New Roman"/>
          <w:sz w:val="24"/>
          <w:szCs w:val="24"/>
          <w:u w:val="single"/>
        </w:rPr>
        <w:t>The lessee shall</w:t>
      </w:r>
      <w:r w:rsidR="001B5AC6">
        <w:rPr>
          <w:rFonts w:ascii="Times New Roman" w:hAnsi="Times New Roman" w:cs="Times New Roman"/>
          <w:sz w:val="24"/>
          <w:szCs w:val="24"/>
        </w:rPr>
        <w:t>, if so required</w:t>
      </w:r>
      <w:r w:rsidR="001B5AC6" w:rsidRPr="001B5AC6">
        <w:rPr>
          <w:rFonts w:ascii="Times New Roman" w:hAnsi="Times New Roman" w:cs="Times New Roman"/>
          <w:sz w:val="24"/>
          <w:szCs w:val="24"/>
        </w:rPr>
        <w:t xml:space="preserve"> </w:t>
      </w:r>
      <w:r w:rsidR="001B5AC6">
        <w:rPr>
          <w:rFonts w:ascii="Times New Roman" w:hAnsi="Times New Roman" w:cs="Times New Roman"/>
          <w:sz w:val="24"/>
          <w:szCs w:val="24"/>
        </w:rPr>
        <w:t xml:space="preserve">by the lessor, at its own cost remove </w:t>
      </w:r>
      <w:r w:rsidR="001B5AC6" w:rsidRPr="001B5AC6">
        <w:rPr>
          <w:rFonts w:ascii="Times New Roman" w:hAnsi="Times New Roman" w:cs="Times New Roman"/>
          <w:sz w:val="24"/>
          <w:szCs w:val="24"/>
          <w:u w:val="single"/>
        </w:rPr>
        <w:t>at the expiration of the lease</w:t>
      </w:r>
      <w:r w:rsidR="001B5AC6">
        <w:rPr>
          <w:rFonts w:ascii="Times New Roman" w:hAnsi="Times New Roman" w:cs="Times New Roman"/>
          <w:sz w:val="24"/>
          <w:szCs w:val="24"/>
        </w:rPr>
        <w:t xml:space="preserve"> all movable fixtures and</w:t>
      </w:r>
      <w:r w:rsidR="001B5AC6" w:rsidRPr="001B5AC6">
        <w:rPr>
          <w:rFonts w:ascii="Times New Roman" w:hAnsi="Times New Roman" w:cs="Times New Roman"/>
          <w:sz w:val="24"/>
          <w:szCs w:val="24"/>
        </w:rPr>
        <w:t xml:space="preserve"> </w:t>
      </w:r>
      <w:r w:rsidR="001B5AC6">
        <w:rPr>
          <w:rFonts w:ascii="Times New Roman" w:hAnsi="Times New Roman" w:cs="Times New Roman"/>
          <w:sz w:val="24"/>
          <w:szCs w:val="24"/>
        </w:rPr>
        <w:t xml:space="preserve">fittings which it may have installed in the premises, making good any damage thereby caused to the premises, and </w:t>
      </w:r>
      <w:r w:rsidR="001B5AC6" w:rsidRPr="003E0DF1">
        <w:rPr>
          <w:rFonts w:ascii="Times New Roman" w:hAnsi="Times New Roman" w:cs="Times New Roman"/>
          <w:sz w:val="24"/>
          <w:szCs w:val="24"/>
        </w:rPr>
        <w:t>shall</w:t>
      </w:r>
      <w:r w:rsidR="001B5AC6" w:rsidRPr="001B5AC6">
        <w:rPr>
          <w:rFonts w:ascii="Times New Roman" w:hAnsi="Times New Roman" w:cs="Times New Roman"/>
          <w:sz w:val="24"/>
          <w:szCs w:val="24"/>
          <w:u w:val="single"/>
        </w:rPr>
        <w:t xml:space="preserve"> reinstate any fixtures and fittings of the lessor which the lessee may have removed or disconnected during the lease</w:t>
      </w:r>
      <w:r w:rsidR="001B5AC6" w:rsidRPr="00301DE7">
        <w:rPr>
          <w:rFonts w:ascii="Times New Roman" w:hAnsi="Times New Roman" w:cs="Times New Roman"/>
          <w:sz w:val="24"/>
          <w:szCs w:val="24"/>
        </w:rPr>
        <w:t>.” (underlining is our own).</w:t>
      </w:r>
    </w:p>
    <w:p w:rsidR="009511CD" w:rsidRDefault="00301DE7" w:rsidP="001E6611">
      <w:pPr>
        <w:spacing w:after="0" w:line="360" w:lineRule="auto"/>
        <w:ind w:firstLine="720"/>
        <w:jc w:val="both"/>
        <w:rPr>
          <w:rFonts w:ascii="Times New Roman" w:hAnsi="Times New Roman" w:cs="Times New Roman"/>
          <w:sz w:val="24"/>
          <w:szCs w:val="24"/>
        </w:rPr>
      </w:pPr>
      <w:r w:rsidRPr="00301DE7">
        <w:rPr>
          <w:rFonts w:ascii="Times New Roman" w:hAnsi="Times New Roman" w:cs="Times New Roman"/>
          <w:sz w:val="24"/>
          <w:szCs w:val="24"/>
        </w:rPr>
        <w:t>The only issue the magistrate was faced with was to determine as to when the cause of action arose</w:t>
      </w:r>
      <w:r>
        <w:rPr>
          <w:rFonts w:ascii="Times New Roman" w:hAnsi="Times New Roman" w:cs="Times New Roman"/>
          <w:sz w:val="24"/>
          <w:szCs w:val="24"/>
        </w:rPr>
        <w:t xml:space="preserve">. It was necessary to determine this fact because it will then allow the calculation of the prescription period. </w:t>
      </w:r>
      <w:r w:rsidRPr="00301DE7">
        <w:rPr>
          <w:rFonts w:ascii="Times New Roman" w:hAnsi="Times New Roman" w:cs="Times New Roman"/>
          <w:sz w:val="24"/>
          <w:szCs w:val="24"/>
        </w:rPr>
        <w:t xml:space="preserve"> </w:t>
      </w:r>
      <w:r>
        <w:rPr>
          <w:rFonts w:ascii="Times New Roman" w:hAnsi="Times New Roman" w:cs="Times New Roman"/>
          <w:sz w:val="24"/>
          <w:szCs w:val="24"/>
        </w:rPr>
        <w:t xml:space="preserve">The court </w:t>
      </w:r>
      <w:r w:rsidRPr="001A370D">
        <w:rPr>
          <w:rFonts w:ascii="Times New Roman" w:hAnsi="Times New Roman" w:cs="Times New Roman"/>
          <w:i/>
          <w:iCs/>
          <w:sz w:val="24"/>
          <w:szCs w:val="24"/>
        </w:rPr>
        <w:t>a quo</w:t>
      </w:r>
      <w:r>
        <w:rPr>
          <w:rFonts w:ascii="Times New Roman" w:hAnsi="Times New Roman" w:cs="Times New Roman"/>
          <w:sz w:val="24"/>
          <w:szCs w:val="24"/>
        </w:rPr>
        <w:t xml:space="preserve"> heavily relied upon clause 13 of the lease agreement which deals with the right of access to the premises by the appellant. </w:t>
      </w:r>
      <w:r w:rsidR="00EA1C65">
        <w:rPr>
          <w:rFonts w:ascii="Times New Roman" w:hAnsi="Times New Roman" w:cs="Times New Roman"/>
          <w:sz w:val="24"/>
          <w:szCs w:val="24"/>
        </w:rPr>
        <w:t xml:space="preserve">On the basis of that the court concluded; “Even assuming that the pumps were not replaced by defendant in 2009 or 2010, one would still expect that plaintiff should have been able to discover the anomaly before the prescription threshold of 2013.” We were at a loss with this reasoning. The issue is not that one ought to but rather whether there was evidence to prove that he knew. </w:t>
      </w:r>
    </w:p>
    <w:p w:rsidR="00405ADF" w:rsidRDefault="009511CD" w:rsidP="001E661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appellant argued </w:t>
      </w:r>
      <w:r w:rsidR="00F6212D">
        <w:rPr>
          <w:rFonts w:ascii="Times New Roman" w:hAnsi="Times New Roman" w:cs="Times New Roman"/>
          <w:sz w:val="24"/>
          <w:szCs w:val="24"/>
        </w:rPr>
        <w:t xml:space="preserve">that </w:t>
      </w:r>
      <w:r>
        <w:rPr>
          <w:rFonts w:ascii="Times New Roman" w:hAnsi="Times New Roman" w:cs="Times New Roman"/>
          <w:sz w:val="24"/>
          <w:szCs w:val="24"/>
        </w:rPr>
        <w:t xml:space="preserve">there was factual deadlock of when appellant became aware of the change to the pumps. In our view failure to call viva voce evidence is of no consequence to this appeal. In our considered view whether or not appellant was aware of the </w:t>
      </w:r>
      <w:r w:rsidR="00275F04">
        <w:rPr>
          <w:rFonts w:ascii="Times New Roman" w:hAnsi="Times New Roman" w:cs="Times New Roman"/>
          <w:sz w:val="24"/>
          <w:szCs w:val="24"/>
        </w:rPr>
        <w:t>changes in 2009 or 2010 it</w:t>
      </w:r>
      <w:r>
        <w:rPr>
          <w:rFonts w:ascii="Times New Roman" w:hAnsi="Times New Roman" w:cs="Times New Roman"/>
          <w:sz w:val="24"/>
          <w:szCs w:val="24"/>
        </w:rPr>
        <w:t xml:space="preserve"> still takes us to the next stage of when did the cause of action arise. </w:t>
      </w:r>
      <w:r w:rsidR="00275F04">
        <w:rPr>
          <w:rFonts w:ascii="Times New Roman" w:hAnsi="Times New Roman" w:cs="Times New Roman"/>
          <w:sz w:val="24"/>
          <w:szCs w:val="24"/>
        </w:rPr>
        <w:t>Did</w:t>
      </w:r>
      <w:r>
        <w:rPr>
          <w:rFonts w:ascii="Times New Roman" w:hAnsi="Times New Roman" w:cs="Times New Roman"/>
          <w:sz w:val="24"/>
          <w:szCs w:val="24"/>
        </w:rPr>
        <w:t xml:space="preserve"> it arise in 2009 and 2010 when appellant is said have knowledge or </w:t>
      </w:r>
      <w:r w:rsidR="00405ADF">
        <w:rPr>
          <w:rFonts w:ascii="Times New Roman" w:hAnsi="Times New Roman" w:cs="Times New Roman"/>
          <w:sz w:val="24"/>
          <w:szCs w:val="24"/>
        </w:rPr>
        <w:t xml:space="preserve">at some later </w:t>
      </w:r>
      <w:r w:rsidR="001A370D">
        <w:rPr>
          <w:rFonts w:ascii="Times New Roman" w:hAnsi="Times New Roman" w:cs="Times New Roman"/>
          <w:sz w:val="24"/>
          <w:szCs w:val="24"/>
        </w:rPr>
        <w:t>stage?</w:t>
      </w:r>
      <w:r w:rsidR="00405ADF">
        <w:rPr>
          <w:rFonts w:ascii="Times New Roman" w:hAnsi="Times New Roman" w:cs="Times New Roman"/>
          <w:sz w:val="24"/>
          <w:szCs w:val="24"/>
        </w:rPr>
        <w:t xml:space="preserve"> </w:t>
      </w:r>
    </w:p>
    <w:p w:rsidR="00870A78" w:rsidRDefault="00405ADF" w:rsidP="001E661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appellant argued that with or without knowledge on the part of appellant the cause of action arose when the lease was terminated. The respondent’s argument which is not tenable is that because changes were made without the prior written authority by appellant then appellant cannot rely on clause 8 at the termination of the lease for restoration of the original pumps. Respondent cannot be heard to say </w:t>
      </w:r>
      <w:r w:rsidR="00275F04">
        <w:rPr>
          <w:rFonts w:ascii="Times New Roman" w:hAnsi="Times New Roman" w:cs="Times New Roman"/>
          <w:sz w:val="24"/>
          <w:szCs w:val="24"/>
        </w:rPr>
        <w:t xml:space="preserve">so </w:t>
      </w:r>
      <w:r>
        <w:rPr>
          <w:rFonts w:ascii="Times New Roman" w:hAnsi="Times New Roman" w:cs="Times New Roman"/>
          <w:sz w:val="24"/>
          <w:szCs w:val="24"/>
        </w:rPr>
        <w:t>because</w:t>
      </w:r>
      <w:r w:rsidR="00275F04">
        <w:rPr>
          <w:rFonts w:ascii="Times New Roman" w:hAnsi="Times New Roman" w:cs="Times New Roman"/>
          <w:sz w:val="24"/>
          <w:szCs w:val="24"/>
        </w:rPr>
        <w:t xml:space="preserve"> he breached the condition of </w:t>
      </w:r>
      <w:r>
        <w:rPr>
          <w:rFonts w:ascii="Times New Roman" w:hAnsi="Times New Roman" w:cs="Times New Roman"/>
          <w:sz w:val="24"/>
          <w:szCs w:val="24"/>
        </w:rPr>
        <w:t>clause</w:t>
      </w:r>
      <w:r w:rsidR="00275F04">
        <w:rPr>
          <w:rFonts w:ascii="Times New Roman" w:hAnsi="Times New Roman" w:cs="Times New Roman"/>
          <w:sz w:val="24"/>
          <w:szCs w:val="24"/>
        </w:rPr>
        <w:t xml:space="preserve"> 8 </w:t>
      </w:r>
      <w:r w:rsidR="00B6077A">
        <w:rPr>
          <w:rFonts w:ascii="Times New Roman" w:hAnsi="Times New Roman" w:cs="Times New Roman"/>
          <w:sz w:val="24"/>
          <w:szCs w:val="24"/>
        </w:rPr>
        <w:t xml:space="preserve">for which he now seeks to be </w:t>
      </w:r>
      <w:r>
        <w:rPr>
          <w:rFonts w:ascii="Times New Roman" w:hAnsi="Times New Roman" w:cs="Times New Roman"/>
          <w:sz w:val="24"/>
          <w:szCs w:val="24"/>
        </w:rPr>
        <w:t xml:space="preserve">a beneficiary for his breach. </w:t>
      </w:r>
      <w:r w:rsidR="001E6611">
        <w:rPr>
          <w:rFonts w:ascii="Times New Roman" w:hAnsi="Times New Roman" w:cs="Times New Roman"/>
          <w:sz w:val="24"/>
          <w:szCs w:val="24"/>
        </w:rPr>
        <w:t>Certainly,</w:t>
      </w:r>
      <w:r>
        <w:rPr>
          <w:rFonts w:ascii="Times New Roman" w:hAnsi="Times New Roman" w:cs="Times New Roman"/>
          <w:sz w:val="24"/>
          <w:szCs w:val="24"/>
        </w:rPr>
        <w:t xml:space="preserve"> that could not have been the intention of the parties.</w:t>
      </w:r>
    </w:p>
    <w:p w:rsidR="00870A78" w:rsidRDefault="00870A78" w:rsidP="00B6794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We agree with the position taken by the appellant that a reading of clause 8, (cited supra) is clear as to when the cause of action arose. </w:t>
      </w:r>
      <w:r w:rsidR="00C11371">
        <w:rPr>
          <w:rFonts w:ascii="Times New Roman" w:hAnsi="Times New Roman" w:cs="Times New Roman"/>
          <w:sz w:val="24"/>
          <w:szCs w:val="24"/>
        </w:rPr>
        <w:t xml:space="preserve">A close look at the underlined words will </w:t>
      </w:r>
      <w:r w:rsidR="00C11371">
        <w:rPr>
          <w:rFonts w:ascii="Times New Roman" w:hAnsi="Times New Roman" w:cs="Times New Roman"/>
          <w:sz w:val="24"/>
          <w:szCs w:val="24"/>
        </w:rPr>
        <w:lastRenderedPageBreak/>
        <w:t>show that the cause of action can only arise after the lease has terminated because of the words “removed or disconnected during the lease.”</w:t>
      </w:r>
    </w:p>
    <w:p w:rsidR="00C11371" w:rsidRDefault="00CE1EEF" w:rsidP="001A370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court </w:t>
      </w:r>
      <w:r w:rsidRPr="007A4691">
        <w:rPr>
          <w:rFonts w:ascii="Times New Roman" w:hAnsi="Times New Roman" w:cs="Times New Roman"/>
          <w:i/>
          <w:iCs/>
          <w:sz w:val="24"/>
          <w:szCs w:val="24"/>
        </w:rPr>
        <w:t>a quo</w:t>
      </w:r>
      <w:r>
        <w:rPr>
          <w:rFonts w:ascii="Times New Roman" w:hAnsi="Times New Roman" w:cs="Times New Roman"/>
          <w:sz w:val="24"/>
          <w:szCs w:val="24"/>
        </w:rPr>
        <w:t xml:space="preserve"> therefore</w:t>
      </w:r>
      <w:r w:rsidR="00C11371">
        <w:rPr>
          <w:rFonts w:ascii="Times New Roman" w:hAnsi="Times New Roman" w:cs="Times New Roman"/>
          <w:sz w:val="24"/>
          <w:szCs w:val="24"/>
        </w:rPr>
        <w:t xml:space="preserve"> misdirected its</w:t>
      </w:r>
      <w:r>
        <w:rPr>
          <w:rFonts w:ascii="Times New Roman" w:hAnsi="Times New Roman" w:cs="Times New Roman"/>
          <w:sz w:val="24"/>
          <w:szCs w:val="24"/>
        </w:rPr>
        <w:t xml:space="preserve">elf in </w:t>
      </w:r>
      <w:r w:rsidR="00DC1D47">
        <w:rPr>
          <w:rFonts w:ascii="Times New Roman" w:hAnsi="Times New Roman" w:cs="Times New Roman"/>
          <w:sz w:val="24"/>
          <w:szCs w:val="24"/>
        </w:rPr>
        <w:t>its</w:t>
      </w:r>
      <w:r w:rsidR="00C11371">
        <w:rPr>
          <w:rFonts w:ascii="Times New Roman" w:hAnsi="Times New Roman" w:cs="Times New Roman"/>
          <w:sz w:val="24"/>
          <w:szCs w:val="24"/>
        </w:rPr>
        <w:t xml:space="preserve"> finding that the period of prescription started to run in 2009 and 2010.</w:t>
      </w:r>
    </w:p>
    <w:p w:rsidR="00DC1D47" w:rsidRDefault="001A370D" w:rsidP="001E6611">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Consequently,</w:t>
      </w:r>
      <w:r w:rsidR="00DC1D47">
        <w:rPr>
          <w:rFonts w:ascii="Times New Roman" w:hAnsi="Times New Roman" w:cs="Times New Roman"/>
          <w:sz w:val="24"/>
          <w:szCs w:val="24"/>
        </w:rPr>
        <w:t xml:space="preserve"> we find that there is merit in this appeal. Accordingly;</w:t>
      </w:r>
    </w:p>
    <w:p w:rsidR="00E16781" w:rsidRDefault="00E16781" w:rsidP="001E6611">
      <w:pPr>
        <w:spacing w:after="0" w:line="240" w:lineRule="auto"/>
        <w:jc w:val="both"/>
        <w:rPr>
          <w:rFonts w:ascii="Times New Roman" w:hAnsi="Times New Roman" w:cs="Times New Roman"/>
          <w:sz w:val="24"/>
          <w:szCs w:val="24"/>
        </w:rPr>
      </w:pPr>
    </w:p>
    <w:p w:rsidR="00C81C5D" w:rsidRDefault="00C11371" w:rsidP="001E66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6794B">
        <w:rPr>
          <w:rFonts w:ascii="Times New Roman" w:hAnsi="Times New Roman" w:cs="Times New Roman"/>
          <w:sz w:val="24"/>
          <w:szCs w:val="24"/>
        </w:rPr>
        <w:tab/>
      </w:r>
      <w:r w:rsidR="00C81C5D">
        <w:rPr>
          <w:rFonts w:ascii="Times New Roman" w:hAnsi="Times New Roman" w:cs="Times New Roman"/>
          <w:sz w:val="24"/>
          <w:szCs w:val="24"/>
        </w:rPr>
        <w:t xml:space="preserve">1. </w:t>
      </w:r>
      <w:r w:rsidR="001E6611">
        <w:rPr>
          <w:rFonts w:ascii="Times New Roman" w:hAnsi="Times New Roman" w:cs="Times New Roman"/>
          <w:sz w:val="24"/>
          <w:szCs w:val="24"/>
        </w:rPr>
        <w:t xml:space="preserve"> </w:t>
      </w:r>
      <w:r w:rsidR="001E6611">
        <w:rPr>
          <w:rFonts w:ascii="Times New Roman" w:hAnsi="Times New Roman" w:cs="Times New Roman"/>
          <w:sz w:val="24"/>
          <w:szCs w:val="24"/>
        </w:rPr>
        <w:tab/>
      </w:r>
      <w:r w:rsidR="00523B34">
        <w:rPr>
          <w:rFonts w:ascii="Times New Roman" w:hAnsi="Times New Roman" w:cs="Times New Roman"/>
          <w:sz w:val="24"/>
          <w:szCs w:val="24"/>
        </w:rPr>
        <w:t>T</w:t>
      </w:r>
      <w:r>
        <w:rPr>
          <w:rFonts w:ascii="Times New Roman" w:hAnsi="Times New Roman" w:cs="Times New Roman"/>
          <w:sz w:val="24"/>
          <w:szCs w:val="24"/>
        </w:rPr>
        <w:t xml:space="preserve">he appeal succeeds with costs, </w:t>
      </w:r>
    </w:p>
    <w:p w:rsidR="00E16781" w:rsidRDefault="00E16781" w:rsidP="001E6611">
      <w:pPr>
        <w:spacing w:after="0" w:line="240" w:lineRule="auto"/>
        <w:jc w:val="both"/>
        <w:rPr>
          <w:rFonts w:ascii="Times New Roman" w:hAnsi="Times New Roman" w:cs="Times New Roman"/>
          <w:sz w:val="24"/>
          <w:szCs w:val="24"/>
        </w:rPr>
      </w:pPr>
    </w:p>
    <w:p w:rsidR="00E16781" w:rsidRDefault="00C81C5D" w:rsidP="001A370D">
      <w:pPr>
        <w:spacing w:after="0" w:line="360" w:lineRule="auto"/>
        <w:ind w:left="1440" w:hanging="720"/>
        <w:jc w:val="both"/>
        <w:rPr>
          <w:rFonts w:ascii="Times New Roman" w:hAnsi="Times New Roman" w:cs="Times New Roman"/>
          <w:sz w:val="24"/>
          <w:szCs w:val="24"/>
        </w:rPr>
      </w:pPr>
      <w:r>
        <w:rPr>
          <w:rFonts w:ascii="Times New Roman" w:hAnsi="Times New Roman" w:cs="Times New Roman"/>
          <w:sz w:val="24"/>
          <w:szCs w:val="24"/>
        </w:rPr>
        <w:t xml:space="preserve">2. </w:t>
      </w:r>
      <w:r w:rsidR="001E6611">
        <w:rPr>
          <w:rFonts w:ascii="Times New Roman" w:hAnsi="Times New Roman" w:cs="Times New Roman"/>
          <w:sz w:val="24"/>
          <w:szCs w:val="24"/>
        </w:rPr>
        <w:t xml:space="preserve"> </w:t>
      </w:r>
      <w:r w:rsidR="001E6611">
        <w:rPr>
          <w:rFonts w:ascii="Times New Roman" w:hAnsi="Times New Roman" w:cs="Times New Roman"/>
          <w:sz w:val="24"/>
          <w:szCs w:val="24"/>
        </w:rPr>
        <w:tab/>
      </w:r>
      <w:r w:rsidR="00C11371">
        <w:rPr>
          <w:rFonts w:ascii="Times New Roman" w:hAnsi="Times New Roman" w:cs="Times New Roman"/>
          <w:sz w:val="24"/>
          <w:szCs w:val="24"/>
        </w:rPr>
        <w:t xml:space="preserve">The judgment of the court </w:t>
      </w:r>
      <w:r w:rsidR="00C11371" w:rsidRPr="007A4691">
        <w:rPr>
          <w:rFonts w:ascii="Times New Roman" w:hAnsi="Times New Roman" w:cs="Times New Roman"/>
          <w:i/>
          <w:iCs/>
          <w:sz w:val="24"/>
          <w:szCs w:val="24"/>
        </w:rPr>
        <w:t>a quo</w:t>
      </w:r>
      <w:r w:rsidR="00C11371">
        <w:rPr>
          <w:rFonts w:ascii="Times New Roman" w:hAnsi="Times New Roman" w:cs="Times New Roman"/>
          <w:sz w:val="24"/>
          <w:szCs w:val="24"/>
        </w:rPr>
        <w:t xml:space="preserve"> be and is hereby set aside and substituted with</w:t>
      </w:r>
      <w:r w:rsidR="00F6212D">
        <w:rPr>
          <w:rFonts w:ascii="Times New Roman" w:hAnsi="Times New Roman" w:cs="Times New Roman"/>
          <w:sz w:val="24"/>
          <w:szCs w:val="24"/>
        </w:rPr>
        <w:t xml:space="preserve"> the following</w:t>
      </w:r>
      <w:r w:rsidR="00C11371">
        <w:rPr>
          <w:rFonts w:ascii="Times New Roman" w:hAnsi="Times New Roman" w:cs="Times New Roman"/>
          <w:sz w:val="24"/>
          <w:szCs w:val="24"/>
        </w:rPr>
        <w:t xml:space="preserve">; </w:t>
      </w:r>
    </w:p>
    <w:p w:rsidR="00C11371" w:rsidRPr="00301DE7" w:rsidRDefault="00C11371" w:rsidP="001A370D">
      <w:pPr>
        <w:spacing w:after="0" w:line="36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The special pleas of </w:t>
      </w:r>
      <w:r w:rsidRPr="001E6611">
        <w:rPr>
          <w:rFonts w:ascii="Times New Roman" w:hAnsi="Times New Roman" w:cs="Times New Roman"/>
          <w:i/>
          <w:iCs/>
          <w:sz w:val="24"/>
          <w:szCs w:val="24"/>
        </w:rPr>
        <w:t>re</w:t>
      </w:r>
      <w:r w:rsidR="001E6611">
        <w:rPr>
          <w:rFonts w:ascii="Times New Roman" w:hAnsi="Times New Roman" w:cs="Times New Roman"/>
          <w:i/>
          <w:iCs/>
          <w:sz w:val="24"/>
          <w:szCs w:val="24"/>
        </w:rPr>
        <w:t xml:space="preserve">s </w:t>
      </w:r>
      <w:r w:rsidRPr="001E6611">
        <w:rPr>
          <w:rFonts w:ascii="Times New Roman" w:hAnsi="Times New Roman" w:cs="Times New Roman"/>
          <w:i/>
          <w:iCs/>
          <w:sz w:val="24"/>
          <w:szCs w:val="24"/>
        </w:rPr>
        <w:t>judicata</w:t>
      </w:r>
      <w:r>
        <w:rPr>
          <w:rFonts w:ascii="Times New Roman" w:hAnsi="Times New Roman" w:cs="Times New Roman"/>
          <w:sz w:val="24"/>
          <w:szCs w:val="24"/>
        </w:rPr>
        <w:t xml:space="preserve"> and prescription be and are hereby dismissed with costs.</w:t>
      </w:r>
    </w:p>
    <w:p w:rsidR="0053319D" w:rsidRDefault="0053319D" w:rsidP="001E6611">
      <w:pPr>
        <w:spacing w:after="0" w:line="240" w:lineRule="auto"/>
        <w:jc w:val="both"/>
        <w:rPr>
          <w:rFonts w:ascii="Times New Roman" w:hAnsi="Times New Roman" w:cs="Times New Roman"/>
          <w:sz w:val="24"/>
          <w:szCs w:val="24"/>
        </w:rPr>
      </w:pPr>
    </w:p>
    <w:p w:rsidR="004B309D" w:rsidRDefault="004B309D" w:rsidP="00B6794B">
      <w:pPr>
        <w:spacing w:after="0" w:line="360" w:lineRule="auto"/>
        <w:jc w:val="both"/>
        <w:rPr>
          <w:rFonts w:ascii="Times New Roman" w:hAnsi="Times New Roman" w:cs="Times New Roman"/>
          <w:sz w:val="24"/>
          <w:szCs w:val="24"/>
        </w:rPr>
      </w:pPr>
    </w:p>
    <w:p w:rsidR="004B309D" w:rsidRDefault="004B309D" w:rsidP="00B6794B">
      <w:pPr>
        <w:spacing w:after="0" w:line="360" w:lineRule="auto"/>
        <w:jc w:val="both"/>
        <w:rPr>
          <w:rFonts w:ascii="Times New Roman" w:hAnsi="Times New Roman" w:cs="Times New Roman"/>
          <w:sz w:val="24"/>
          <w:szCs w:val="24"/>
        </w:rPr>
      </w:pPr>
    </w:p>
    <w:p w:rsidR="004B309D" w:rsidRPr="00301DE7" w:rsidRDefault="001E6611" w:rsidP="00B6794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CHIRAWU-MUGOMBA J </w:t>
      </w:r>
      <w:r w:rsidR="004B309D">
        <w:rPr>
          <w:rFonts w:ascii="Times New Roman" w:hAnsi="Times New Roman" w:cs="Times New Roman"/>
          <w:sz w:val="24"/>
          <w:szCs w:val="24"/>
        </w:rPr>
        <w:t>agrees……………………..</w:t>
      </w:r>
    </w:p>
    <w:p w:rsidR="00F64ACF" w:rsidRDefault="001B5AC6" w:rsidP="00B6794B">
      <w:pPr>
        <w:spacing w:after="0" w:line="360" w:lineRule="auto"/>
        <w:jc w:val="both"/>
        <w:rPr>
          <w:rFonts w:ascii="Times New Roman" w:hAnsi="Times New Roman" w:cs="Times New Roman"/>
          <w:sz w:val="24"/>
          <w:szCs w:val="24"/>
        </w:rPr>
      </w:pPr>
      <w:r w:rsidRPr="00301DE7">
        <w:rPr>
          <w:rFonts w:ascii="Times New Roman" w:hAnsi="Times New Roman" w:cs="Times New Roman"/>
          <w:sz w:val="24"/>
          <w:szCs w:val="24"/>
        </w:rPr>
        <w:t xml:space="preserve"> </w:t>
      </w:r>
    </w:p>
    <w:p w:rsidR="004B309D" w:rsidRDefault="004B309D" w:rsidP="00B6794B">
      <w:pPr>
        <w:spacing w:after="0" w:line="360" w:lineRule="auto"/>
        <w:jc w:val="both"/>
        <w:rPr>
          <w:rFonts w:ascii="Times New Roman" w:hAnsi="Times New Roman" w:cs="Times New Roman"/>
          <w:sz w:val="24"/>
          <w:szCs w:val="24"/>
        </w:rPr>
      </w:pPr>
    </w:p>
    <w:p w:rsidR="004B309D" w:rsidRDefault="004B309D" w:rsidP="001A370D">
      <w:pPr>
        <w:spacing w:after="0" w:line="240" w:lineRule="auto"/>
        <w:jc w:val="both"/>
        <w:rPr>
          <w:rFonts w:ascii="Times New Roman" w:hAnsi="Times New Roman" w:cs="Times New Roman"/>
          <w:sz w:val="24"/>
          <w:szCs w:val="24"/>
        </w:rPr>
      </w:pPr>
      <w:r w:rsidRPr="001A370D">
        <w:rPr>
          <w:rFonts w:ascii="Times New Roman" w:hAnsi="Times New Roman" w:cs="Times New Roman"/>
          <w:i/>
          <w:iCs/>
          <w:sz w:val="24"/>
          <w:szCs w:val="24"/>
        </w:rPr>
        <w:t>V Nyemba &amp; Associates</w:t>
      </w:r>
      <w:r>
        <w:rPr>
          <w:rFonts w:ascii="Times New Roman" w:hAnsi="Times New Roman" w:cs="Times New Roman"/>
          <w:sz w:val="24"/>
          <w:szCs w:val="24"/>
        </w:rPr>
        <w:t>, appellant’s legal practitioners</w:t>
      </w:r>
    </w:p>
    <w:p w:rsidR="004B309D" w:rsidRPr="00301DE7" w:rsidRDefault="004B309D" w:rsidP="001A370D">
      <w:pPr>
        <w:spacing w:after="0" w:line="240" w:lineRule="auto"/>
        <w:jc w:val="both"/>
        <w:rPr>
          <w:rFonts w:ascii="Times New Roman" w:hAnsi="Times New Roman" w:cs="Times New Roman"/>
          <w:sz w:val="24"/>
          <w:szCs w:val="24"/>
        </w:rPr>
      </w:pPr>
      <w:r w:rsidRPr="001A370D">
        <w:rPr>
          <w:rFonts w:ascii="Times New Roman" w:hAnsi="Times New Roman" w:cs="Times New Roman"/>
          <w:i/>
          <w:iCs/>
          <w:sz w:val="24"/>
          <w:szCs w:val="24"/>
        </w:rPr>
        <w:t>H Mukonoweshuro &amp; Partners</w:t>
      </w:r>
      <w:r>
        <w:rPr>
          <w:rFonts w:ascii="Times New Roman" w:hAnsi="Times New Roman" w:cs="Times New Roman"/>
          <w:sz w:val="24"/>
          <w:szCs w:val="24"/>
        </w:rPr>
        <w:t>, respondent’s legal practitioners</w:t>
      </w:r>
    </w:p>
    <w:p w:rsidR="00F64ACF" w:rsidRPr="00301DE7" w:rsidRDefault="00F64ACF" w:rsidP="00B6794B">
      <w:pPr>
        <w:spacing w:after="0" w:line="360" w:lineRule="auto"/>
        <w:jc w:val="both"/>
        <w:rPr>
          <w:rFonts w:ascii="Times New Roman" w:hAnsi="Times New Roman" w:cs="Times New Roman"/>
          <w:sz w:val="24"/>
          <w:szCs w:val="24"/>
        </w:rPr>
      </w:pPr>
    </w:p>
    <w:p w:rsidR="00117322" w:rsidRPr="00301DE7" w:rsidRDefault="00117322" w:rsidP="00B6794B">
      <w:pPr>
        <w:spacing w:line="360" w:lineRule="auto"/>
        <w:jc w:val="both"/>
        <w:rPr>
          <w:rFonts w:ascii="Times New Roman" w:hAnsi="Times New Roman" w:cs="Times New Roman"/>
          <w:sz w:val="24"/>
          <w:szCs w:val="24"/>
        </w:rPr>
      </w:pPr>
    </w:p>
    <w:p w:rsidR="00117322" w:rsidRPr="00301DE7" w:rsidRDefault="00117322" w:rsidP="00B6794B">
      <w:pPr>
        <w:spacing w:line="360" w:lineRule="auto"/>
        <w:jc w:val="both"/>
      </w:pPr>
    </w:p>
    <w:p w:rsidR="009B1840" w:rsidRPr="00CB3586" w:rsidRDefault="00117322" w:rsidP="00B6794B">
      <w:pPr>
        <w:spacing w:line="360" w:lineRule="auto"/>
        <w:jc w:val="both"/>
        <w:rPr>
          <w:rFonts w:ascii="Times New Roman" w:hAnsi="Times New Roman" w:cs="Times New Roman"/>
          <w:sz w:val="24"/>
          <w:szCs w:val="24"/>
        </w:rPr>
      </w:pPr>
      <w:r w:rsidRPr="0055718D">
        <w:tab/>
      </w:r>
      <w:r w:rsidRPr="0055718D">
        <w:tab/>
      </w:r>
    </w:p>
    <w:p w:rsidR="00ED47D8" w:rsidRPr="00CB3586" w:rsidRDefault="00ED47D8" w:rsidP="00B6794B">
      <w:pPr>
        <w:spacing w:line="360" w:lineRule="auto"/>
        <w:jc w:val="both"/>
        <w:rPr>
          <w:rFonts w:ascii="Times New Roman" w:hAnsi="Times New Roman" w:cs="Times New Roman"/>
          <w:sz w:val="24"/>
          <w:szCs w:val="24"/>
        </w:rPr>
      </w:pPr>
    </w:p>
    <w:sectPr w:rsidR="00ED47D8" w:rsidRPr="00CB3586">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350D" w:rsidRDefault="00B0350D" w:rsidP="005A17AB">
      <w:pPr>
        <w:spacing w:after="0" w:line="240" w:lineRule="auto"/>
      </w:pPr>
      <w:r>
        <w:separator/>
      </w:r>
    </w:p>
  </w:endnote>
  <w:endnote w:type="continuationSeparator" w:id="0">
    <w:p w:rsidR="00B0350D" w:rsidRDefault="00B0350D" w:rsidP="005A17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350D" w:rsidRDefault="00B0350D" w:rsidP="005A17AB">
      <w:pPr>
        <w:spacing w:after="0" w:line="240" w:lineRule="auto"/>
      </w:pPr>
      <w:r>
        <w:separator/>
      </w:r>
    </w:p>
  </w:footnote>
  <w:footnote w:type="continuationSeparator" w:id="0">
    <w:p w:rsidR="00B0350D" w:rsidRDefault="00B0350D" w:rsidP="005A17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900303"/>
      <w:docPartObj>
        <w:docPartGallery w:val="Page Numbers (Top of Page)"/>
        <w:docPartUnique/>
      </w:docPartObj>
    </w:sdtPr>
    <w:sdtEndPr>
      <w:rPr>
        <w:noProof/>
      </w:rPr>
    </w:sdtEndPr>
    <w:sdtContent>
      <w:p w:rsidR="001A370D" w:rsidRDefault="001A370D">
        <w:pPr>
          <w:pStyle w:val="Header"/>
          <w:jc w:val="right"/>
          <w:rPr>
            <w:noProof/>
          </w:rPr>
        </w:pPr>
        <w:r>
          <w:fldChar w:fldCharType="begin"/>
        </w:r>
        <w:r>
          <w:instrText xml:space="preserve"> PAGE   \* MERGEFORMAT </w:instrText>
        </w:r>
        <w:r>
          <w:fldChar w:fldCharType="separate"/>
        </w:r>
        <w:r w:rsidR="00D37679">
          <w:rPr>
            <w:noProof/>
          </w:rPr>
          <w:t>1</w:t>
        </w:r>
        <w:r>
          <w:rPr>
            <w:noProof/>
          </w:rPr>
          <w:fldChar w:fldCharType="end"/>
        </w:r>
      </w:p>
      <w:p w:rsidR="001A370D" w:rsidRDefault="001A370D">
        <w:pPr>
          <w:pStyle w:val="Header"/>
          <w:jc w:val="right"/>
          <w:rPr>
            <w:noProof/>
          </w:rPr>
        </w:pPr>
        <w:r>
          <w:rPr>
            <w:noProof/>
          </w:rPr>
          <w:t>HH</w:t>
        </w:r>
        <w:r w:rsidR="00162BE6">
          <w:rPr>
            <w:noProof/>
          </w:rPr>
          <w:t xml:space="preserve"> 45-20</w:t>
        </w:r>
      </w:p>
      <w:p w:rsidR="001A370D" w:rsidRDefault="001A370D">
        <w:pPr>
          <w:pStyle w:val="Header"/>
          <w:jc w:val="right"/>
        </w:pPr>
        <w:r>
          <w:rPr>
            <w:noProof/>
          </w:rPr>
          <w:t>CIV ‘A’ 123/17</w:t>
        </w:r>
      </w:p>
    </w:sdtContent>
  </w:sdt>
  <w:p w:rsidR="001A370D" w:rsidRDefault="001A370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A7921"/>
    <w:multiLevelType w:val="hybridMultilevel"/>
    <w:tmpl w:val="A0E875E4"/>
    <w:lvl w:ilvl="0" w:tplc="89C86066">
      <w:start w:val="1"/>
      <w:numFmt w:val="lowerLetter"/>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 w15:restartNumberingAfterBreak="0">
    <w:nsid w:val="79F217F4"/>
    <w:multiLevelType w:val="hybridMultilevel"/>
    <w:tmpl w:val="5BBC969A"/>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7D8"/>
    <w:rsid w:val="000024DF"/>
    <w:rsid w:val="00033705"/>
    <w:rsid w:val="000C2470"/>
    <w:rsid w:val="00116EF8"/>
    <w:rsid w:val="00117322"/>
    <w:rsid w:val="00162BE6"/>
    <w:rsid w:val="0016594A"/>
    <w:rsid w:val="00190064"/>
    <w:rsid w:val="001A370D"/>
    <w:rsid w:val="001B5AC6"/>
    <w:rsid w:val="001E6611"/>
    <w:rsid w:val="00220415"/>
    <w:rsid w:val="00243FA4"/>
    <w:rsid w:val="00245603"/>
    <w:rsid w:val="00256398"/>
    <w:rsid w:val="00275F04"/>
    <w:rsid w:val="00277186"/>
    <w:rsid w:val="002B4350"/>
    <w:rsid w:val="002C483C"/>
    <w:rsid w:val="002D7930"/>
    <w:rsid w:val="00301DE7"/>
    <w:rsid w:val="00334E15"/>
    <w:rsid w:val="00350E3D"/>
    <w:rsid w:val="003753B3"/>
    <w:rsid w:val="003B64A3"/>
    <w:rsid w:val="003E0DF1"/>
    <w:rsid w:val="00405ADF"/>
    <w:rsid w:val="004150D5"/>
    <w:rsid w:val="0041681D"/>
    <w:rsid w:val="004936EB"/>
    <w:rsid w:val="004A4B32"/>
    <w:rsid w:val="004B309D"/>
    <w:rsid w:val="0051603D"/>
    <w:rsid w:val="00522C3D"/>
    <w:rsid w:val="00523B34"/>
    <w:rsid w:val="0053319D"/>
    <w:rsid w:val="00556910"/>
    <w:rsid w:val="00574D5A"/>
    <w:rsid w:val="005A17AB"/>
    <w:rsid w:val="005D31A0"/>
    <w:rsid w:val="005F4C79"/>
    <w:rsid w:val="00641365"/>
    <w:rsid w:val="00667ECA"/>
    <w:rsid w:val="00687D83"/>
    <w:rsid w:val="006C674E"/>
    <w:rsid w:val="006D22CC"/>
    <w:rsid w:val="006E6F31"/>
    <w:rsid w:val="00797B96"/>
    <w:rsid w:val="007A4691"/>
    <w:rsid w:val="007D5E36"/>
    <w:rsid w:val="00870A78"/>
    <w:rsid w:val="008A2D2B"/>
    <w:rsid w:val="00927E67"/>
    <w:rsid w:val="009511CD"/>
    <w:rsid w:val="00964074"/>
    <w:rsid w:val="009869F2"/>
    <w:rsid w:val="009B1840"/>
    <w:rsid w:val="009B773C"/>
    <w:rsid w:val="00A2425C"/>
    <w:rsid w:val="00A63693"/>
    <w:rsid w:val="00A9031A"/>
    <w:rsid w:val="00B0350D"/>
    <w:rsid w:val="00B06A50"/>
    <w:rsid w:val="00B6077A"/>
    <w:rsid w:val="00B6794B"/>
    <w:rsid w:val="00B85060"/>
    <w:rsid w:val="00BB06BE"/>
    <w:rsid w:val="00C11371"/>
    <w:rsid w:val="00C429D6"/>
    <w:rsid w:val="00C46D46"/>
    <w:rsid w:val="00C81C5D"/>
    <w:rsid w:val="00C8669A"/>
    <w:rsid w:val="00C9303F"/>
    <w:rsid w:val="00CB3586"/>
    <w:rsid w:val="00CE1EEF"/>
    <w:rsid w:val="00CF6B8A"/>
    <w:rsid w:val="00D0661F"/>
    <w:rsid w:val="00D37679"/>
    <w:rsid w:val="00D4736F"/>
    <w:rsid w:val="00D633A1"/>
    <w:rsid w:val="00D87ECC"/>
    <w:rsid w:val="00D905E9"/>
    <w:rsid w:val="00DA22F6"/>
    <w:rsid w:val="00DC1D47"/>
    <w:rsid w:val="00DF6683"/>
    <w:rsid w:val="00E16781"/>
    <w:rsid w:val="00E17EDC"/>
    <w:rsid w:val="00E92ACE"/>
    <w:rsid w:val="00E97547"/>
    <w:rsid w:val="00EA1C65"/>
    <w:rsid w:val="00EC0A9B"/>
    <w:rsid w:val="00ED47D8"/>
    <w:rsid w:val="00F04253"/>
    <w:rsid w:val="00F6212D"/>
    <w:rsid w:val="00F63D13"/>
    <w:rsid w:val="00F64ACF"/>
    <w:rsid w:val="00F75E2E"/>
    <w:rsid w:val="00FB4D6F"/>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65FA21-B32D-47C2-841D-EC477F1FA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3FA4"/>
    <w:pPr>
      <w:ind w:left="720"/>
      <w:contextualSpacing/>
    </w:pPr>
  </w:style>
  <w:style w:type="paragraph" w:styleId="Header">
    <w:name w:val="header"/>
    <w:basedOn w:val="Normal"/>
    <w:link w:val="HeaderChar"/>
    <w:uiPriority w:val="99"/>
    <w:unhideWhenUsed/>
    <w:rsid w:val="005A17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17AB"/>
  </w:style>
  <w:style w:type="paragraph" w:styleId="Footer">
    <w:name w:val="footer"/>
    <w:basedOn w:val="Normal"/>
    <w:link w:val="FooterChar"/>
    <w:uiPriority w:val="99"/>
    <w:unhideWhenUsed/>
    <w:rsid w:val="005A17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17AB"/>
  </w:style>
  <w:style w:type="paragraph" w:styleId="BalloonText">
    <w:name w:val="Balloon Text"/>
    <w:basedOn w:val="Normal"/>
    <w:link w:val="BalloonTextChar"/>
    <w:uiPriority w:val="99"/>
    <w:semiHidden/>
    <w:unhideWhenUsed/>
    <w:rsid w:val="004168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68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1638</Words>
  <Characters>9340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USR</dc:creator>
  <cp:keywords/>
  <dc:description/>
  <cp:lastModifiedBy>JSC</cp:lastModifiedBy>
  <cp:revision>2</cp:revision>
  <cp:lastPrinted>2020-01-14T13:58:00Z</cp:lastPrinted>
  <dcterms:created xsi:type="dcterms:W3CDTF">2020-01-20T06:43:00Z</dcterms:created>
  <dcterms:modified xsi:type="dcterms:W3CDTF">2020-01-20T06:43:00Z</dcterms:modified>
</cp:coreProperties>
</file>