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C6" w:rsidRPr="0096749D" w:rsidRDefault="0078597D" w:rsidP="0078597D">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6FC6" w:rsidRPr="0096749D" w:rsidRDefault="008B3E7E" w:rsidP="00521041">
      <w:pPr>
        <w:spacing w:after="0"/>
        <w:jc w:val="both"/>
        <w:rPr>
          <w:rFonts w:ascii="Times New Roman" w:hAnsi="Times New Roman" w:cs="Times New Roman"/>
          <w:sz w:val="24"/>
          <w:szCs w:val="24"/>
        </w:rPr>
      </w:pPr>
      <w:r>
        <w:rPr>
          <w:rFonts w:ascii="Times New Roman" w:hAnsi="Times New Roman" w:cs="Times New Roman"/>
          <w:sz w:val="24"/>
          <w:szCs w:val="24"/>
        </w:rPr>
        <w:t>BATH</w:t>
      </w:r>
      <w:r w:rsidR="007D6FC6" w:rsidRPr="0096749D">
        <w:rPr>
          <w:rFonts w:ascii="Times New Roman" w:hAnsi="Times New Roman" w:cs="Times New Roman"/>
          <w:sz w:val="24"/>
          <w:szCs w:val="24"/>
        </w:rPr>
        <w:t xml:space="preserve"> LTD</w:t>
      </w:r>
    </w:p>
    <w:p w:rsidR="007D6FC6" w:rsidRPr="0096749D" w:rsidRDefault="007D6FC6" w:rsidP="00521041">
      <w:pPr>
        <w:spacing w:after="0"/>
        <w:jc w:val="both"/>
        <w:rPr>
          <w:rFonts w:ascii="Times New Roman" w:hAnsi="Times New Roman" w:cs="Times New Roman"/>
          <w:sz w:val="24"/>
          <w:szCs w:val="24"/>
        </w:rPr>
      </w:pPr>
      <w:r w:rsidRPr="0096749D">
        <w:rPr>
          <w:rFonts w:ascii="Times New Roman" w:hAnsi="Times New Roman" w:cs="Times New Roman"/>
          <w:sz w:val="24"/>
          <w:szCs w:val="24"/>
        </w:rPr>
        <w:t>versus</w:t>
      </w:r>
    </w:p>
    <w:p w:rsidR="007D6FC6" w:rsidRPr="0096749D" w:rsidRDefault="007D6FC6" w:rsidP="00521041">
      <w:pPr>
        <w:spacing w:after="0"/>
        <w:jc w:val="both"/>
        <w:rPr>
          <w:rFonts w:ascii="Times New Roman" w:hAnsi="Times New Roman" w:cs="Times New Roman"/>
          <w:sz w:val="24"/>
          <w:szCs w:val="24"/>
        </w:rPr>
      </w:pPr>
      <w:r w:rsidRPr="0096749D">
        <w:rPr>
          <w:rFonts w:ascii="Times New Roman" w:hAnsi="Times New Roman" w:cs="Times New Roman"/>
          <w:sz w:val="24"/>
          <w:szCs w:val="24"/>
        </w:rPr>
        <w:t>ZIMBABWE REVENUE AUTHORITY</w:t>
      </w:r>
    </w:p>
    <w:p w:rsidR="007D6FC6" w:rsidRDefault="007D6FC6" w:rsidP="00521041">
      <w:pPr>
        <w:spacing w:after="0"/>
        <w:jc w:val="both"/>
        <w:rPr>
          <w:rFonts w:ascii="Times New Roman" w:hAnsi="Times New Roman" w:cs="Times New Roman"/>
          <w:sz w:val="24"/>
          <w:szCs w:val="24"/>
        </w:rPr>
      </w:pPr>
    </w:p>
    <w:p w:rsidR="00521041" w:rsidRPr="0096749D" w:rsidRDefault="00521041" w:rsidP="00521041">
      <w:pPr>
        <w:spacing w:after="0"/>
        <w:jc w:val="both"/>
        <w:rPr>
          <w:rFonts w:ascii="Times New Roman" w:hAnsi="Times New Roman" w:cs="Times New Roman"/>
          <w:sz w:val="24"/>
          <w:szCs w:val="24"/>
        </w:rPr>
      </w:pPr>
    </w:p>
    <w:p w:rsidR="007D6FC6" w:rsidRPr="0096749D" w:rsidRDefault="007D6FC6" w:rsidP="00521041">
      <w:pPr>
        <w:spacing w:after="0"/>
        <w:jc w:val="both"/>
        <w:rPr>
          <w:rFonts w:ascii="Times New Roman" w:hAnsi="Times New Roman" w:cs="Times New Roman"/>
          <w:sz w:val="24"/>
          <w:szCs w:val="24"/>
        </w:rPr>
      </w:pPr>
      <w:r w:rsidRPr="0096749D">
        <w:rPr>
          <w:rFonts w:ascii="Times New Roman" w:hAnsi="Times New Roman" w:cs="Times New Roman"/>
          <w:sz w:val="24"/>
          <w:szCs w:val="24"/>
        </w:rPr>
        <w:t>SPECIAL COURT FOR INCOME TAX APPEALS</w:t>
      </w:r>
    </w:p>
    <w:p w:rsidR="007D6FC6" w:rsidRPr="0096749D" w:rsidRDefault="007D6FC6" w:rsidP="00521041">
      <w:pPr>
        <w:spacing w:after="0"/>
        <w:jc w:val="both"/>
        <w:rPr>
          <w:rFonts w:ascii="Times New Roman" w:hAnsi="Times New Roman" w:cs="Times New Roman"/>
          <w:sz w:val="24"/>
          <w:szCs w:val="24"/>
        </w:rPr>
      </w:pPr>
      <w:r w:rsidRPr="0096749D">
        <w:rPr>
          <w:rFonts w:ascii="Times New Roman" w:hAnsi="Times New Roman" w:cs="Times New Roman"/>
          <w:sz w:val="24"/>
          <w:szCs w:val="24"/>
        </w:rPr>
        <w:t>KUDYA J</w:t>
      </w:r>
    </w:p>
    <w:p w:rsidR="007D6FC6" w:rsidRPr="0096749D" w:rsidRDefault="007D6FC6" w:rsidP="00521041">
      <w:pPr>
        <w:spacing w:after="0"/>
        <w:jc w:val="both"/>
        <w:rPr>
          <w:rFonts w:ascii="Times New Roman" w:hAnsi="Times New Roman" w:cs="Times New Roman"/>
          <w:sz w:val="24"/>
          <w:szCs w:val="24"/>
        </w:rPr>
      </w:pPr>
      <w:r w:rsidRPr="0096749D">
        <w:rPr>
          <w:rFonts w:ascii="Times New Roman" w:hAnsi="Times New Roman" w:cs="Times New Roman"/>
          <w:sz w:val="24"/>
          <w:szCs w:val="24"/>
        </w:rPr>
        <w:t>HARA</w:t>
      </w:r>
      <w:r w:rsidR="002341AE">
        <w:rPr>
          <w:rFonts w:ascii="Times New Roman" w:hAnsi="Times New Roman" w:cs="Times New Roman"/>
          <w:sz w:val="24"/>
          <w:szCs w:val="24"/>
        </w:rPr>
        <w:t>RE, 5 and 8 February</w:t>
      </w:r>
      <w:r w:rsidR="00275FDE">
        <w:rPr>
          <w:rFonts w:ascii="Times New Roman" w:hAnsi="Times New Roman" w:cs="Times New Roman"/>
          <w:sz w:val="24"/>
          <w:szCs w:val="24"/>
        </w:rPr>
        <w:t xml:space="preserve"> 2019 and 28</w:t>
      </w:r>
      <w:r w:rsidR="002341AE">
        <w:rPr>
          <w:rFonts w:ascii="Times New Roman" w:hAnsi="Times New Roman" w:cs="Times New Roman"/>
          <w:sz w:val="24"/>
          <w:szCs w:val="24"/>
        </w:rPr>
        <w:t xml:space="preserve"> August</w:t>
      </w:r>
      <w:r w:rsidRPr="0096749D">
        <w:rPr>
          <w:rFonts w:ascii="Times New Roman" w:hAnsi="Times New Roman" w:cs="Times New Roman"/>
          <w:sz w:val="24"/>
          <w:szCs w:val="24"/>
        </w:rPr>
        <w:t xml:space="preserve"> 2020</w:t>
      </w:r>
    </w:p>
    <w:p w:rsidR="007D6FC6" w:rsidRDefault="007D6FC6" w:rsidP="00521041">
      <w:pPr>
        <w:spacing w:after="0"/>
        <w:jc w:val="both"/>
        <w:rPr>
          <w:rFonts w:ascii="Times New Roman" w:hAnsi="Times New Roman" w:cs="Times New Roman"/>
          <w:sz w:val="24"/>
          <w:szCs w:val="24"/>
        </w:rPr>
      </w:pPr>
    </w:p>
    <w:p w:rsidR="00521041" w:rsidRPr="0096749D" w:rsidRDefault="00521041" w:rsidP="00521041">
      <w:pPr>
        <w:spacing w:after="0"/>
        <w:jc w:val="both"/>
        <w:rPr>
          <w:rFonts w:ascii="Times New Roman" w:hAnsi="Times New Roman" w:cs="Times New Roman"/>
          <w:sz w:val="24"/>
          <w:szCs w:val="24"/>
        </w:rPr>
      </w:pPr>
    </w:p>
    <w:p w:rsidR="007D6FC6" w:rsidRPr="0096749D" w:rsidRDefault="007D6FC6" w:rsidP="00521041">
      <w:pPr>
        <w:spacing w:after="0"/>
        <w:jc w:val="both"/>
        <w:rPr>
          <w:rFonts w:ascii="Times New Roman" w:hAnsi="Times New Roman" w:cs="Times New Roman"/>
          <w:b/>
          <w:sz w:val="24"/>
          <w:szCs w:val="24"/>
        </w:rPr>
      </w:pPr>
      <w:r w:rsidRPr="0096749D">
        <w:rPr>
          <w:rFonts w:ascii="Times New Roman" w:hAnsi="Times New Roman" w:cs="Times New Roman"/>
          <w:b/>
          <w:sz w:val="24"/>
          <w:szCs w:val="24"/>
        </w:rPr>
        <w:t>Income Tax Appeal</w:t>
      </w:r>
    </w:p>
    <w:p w:rsidR="00521041" w:rsidRDefault="00521041" w:rsidP="00521041">
      <w:pPr>
        <w:spacing w:after="0"/>
        <w:jc w:val="both"/>
        <w:rPr>
          <w:rFonts w:ascii="Times New Roman" w:hAnsi="Times New Roman" w:cs="Times New Roman"/>
          <w:i/>
          <w:sz w:val="24"/>
          <w:szCs w:val="24"/>
        </w:rPr>
      </w:pPr>
    </w:p>
    <w:p w:rsidR="007D6FC6" w:rsidRPr="0096749D" w:rsidRDefault="007D6FC6" w:rsidP="00521041">
      <w:pPr>
        <w:spacing w:after="0"/>
        <w:jc w:val="both"/>
        <w:rPr>
          <w:rFonts w:ascii="Times New Roman" w:hAnsi="Times New Roman" w:cs="Times New Roman"/>
          <w:sz w:val="24"/>
          <w:szCs w:val="24"/>
        </w:rPr>
      </w:pPr>
      <w:r w:rsidRPr="0096749D">
        <w:rPr>
          <w:rFonts w:ascii="Times New Roman" w:hAnsi="Times New Roman" w:cs="Times New Roman"/>
          <w:i/>
          <w:sz w:val="24"/>
          <w:szCs w:val="24"/>
        </w:rPr>
        <w:t xml:space="preserve">ET Matinenga, </w:t>
      </w:r>
      <w:r w:rsidRPr="0096749D">
        <w:rPr>
          <w:rFonts w:ascii="Times New Roman" w:hAnsi="Times New Roman" w:cs="Times New Roman"/>
          <w:sz w:val="24"/>
          <w:szCs w:val="24"/>
        </w:rPr>
        <w:t>for the appellant</w:t>
      </w:r>
    </w:p>
    <w:p w:rsidR="007D6FC6" w:rsidRPr="0096749D" w:rsidRDefault="007D6FC6" w:rsidP="00521041">
      <w:pPr>
        <w:spacing w:after="0"/>
        <w:jc w:val="both"/>
        <w:rPr>
          <w:rFonts w:ascii="Times New Roman" w:hAnsi="Times New Roman" w:cs="Times New Roman"/>
          <w:sz w:val="24"/>
          <w:szCs w:val="24"/>
        </w:rPr>
      </w:pPr>
      <w:r w:rsidRPr="0096749D">
        <w:rPr>
          <w:rFonts w:ascii="Times New Roman" w:hAnsi="Times New Roman" w:cs="Times New Roman"/>
          <w:i/>
          <w:sz w:val="24"/>
          <w:szCs w:val="24"/>
        </w:rPr>
        <w:t>T Magwaliba</w:t>
      </w:r>
      <w:r w:rsidRPr="0096749D">
        <w:rPr>
          <w:rFonts w:ascii="Times New Roman" w:hAnsi="Times New Roman" w:cs="Times New Roman"/>
          <w:sz w:val="24"/>
          <w:szCs w:val="24"/>
        </w:rPr>
        <w:t>, for the respondent</w:t>
      </w:r>
    </w:p>
    <w:p w:rsidR="00521041" w:rsidRDefault="008B3E7E" w:rsidP="007D6FC6">
      <w:pPr>
        <w:jc w:val="both"/>
        <w:rPr>
          <w:rFonts w:ascii="Times New Roman" w:hAnsi="Times New Roman" w:cs="Times New Roman"/>
          <w:sz w:val="24"/>
          <w:szCs w:val="24"/>
        </w:rPr>
      </w:pPr>
      <w:r>
        <w:rPr>
          <w:rFonts w:ascii="Times New Roman" w:hAnsi="Times New Roman" w:cs="Times New Roman"/>
          <w:sz w:val="24"/>
          <w:szCs w:val="24"/>
        </w:rPr>
        <w:tab/>
      </w:r>
    </w:p>
    <w:p w:rsidR="007D6FC6" w:rsidRPr="0096749D" w:rsidRDefault="008B3E7E"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KUDYA J: The main</w:t>
      </w:r>
      <w:r w:rsidR="007D6FC6" w:rsidRPr="0096749D">
        <w:rPr>
          <w:rFonts w:ascii="Times New Roman" w:hAnsi="Times New Roman" w:cs="Times New Roman"/>
          <w:sz w:val="24"/>
          <w:szCs w:val="24"/>
        </w:rPr>
        <w:t xml:space="preserve"> question for determination is whether the appellant made culpable misrepresentations in its 2009 and 2010 </w:t>
      </w:r>
      <w:r>
        <w:rPr>
          <w:rFonts w:ascii="Times New Roman" w:hAnsi="Times New Roman" w:cs="Times New Roman"/>
          <w:sz w:val="24"/>
          <w:szCs w:val="24"/>
        </w:rPr>
        <w:t xml:space="preserve">self-assessment </w:t>
      </w:r>
      <w:r w:rsidR="007D6FC6" w:rsidRPr="0096749D">
        <w:rPr>
          <w:rFonts w:ascii="Times New Roman" w:hAnsi="Times New Roman" w:cs="Times New Roman"/>
          <w:sz w:val="24"/>
          <w:szCs w:val="24"/>
        </w:rPr>
        <w:t xml:space="preserve">tax returns, entitling the </w:t>
      </w:r>
      <w:r>
        <w:rPr>
          <w:rFonts w:ascii="Times New Roman" w:hAnsi="Times New Roman" w:cs="Times New Roman"/>
          <w:sz w:val="24"/>
          <w:szCs w:val="24"/>
        </w:rPr>
        <w:t>Commissioner to re-open these</w:t>
      </w:r>
      <w:r w:rsidR="007D6FC6" w:rsidRPr="0096749D">
        <w:rPr>
          <w:rFonts w:ascii="Times New Roman" w:hAnsi="Times New Roman" w:cs="Times New Roman"/>
          <w:sz w:val="24"/>
          <w:szCs w:val="24"/>
        </w:rPr>
        <w:t xml:space="preserve"> otherwise prescribed</w:t>
      </w:r>
      <w:r>
        <w:rPr>
          <w:rFonts w:ascii="Times New Roman" w:hAnsi="Times New Roman" w:cs="Times New Roman"/>
          <w:sz w:val="24"/>
          <w:szCs w:val="24"/>
        </w:rPr>
        <w:t xml:space="preserve"> assessments</w:t>
      </w:r>
      <w:r w:rsidR="007D6FC6" w:rsidRPr="0096749D">
        <w:rPr>
          <w:rFonts w:ascii="Times New Roman" w:hAnsi="Times New Roman" w:cs="Times New Roman"/>
          <w:sz w:val="24"/>
          <w:szCs w:val="24"/>
        </w:rPr>
        <w:t xml:space="preserve">. </w:t>
      </w:r>
      <w:r>
        <w:rPr>
          <w:rFonts w:ascii="Times New Roman" w:hAnsi="Times New Roman" w:cs="Times New Roman"/>
          <w:sz w:val="24"/>
          <w:szCs w:val="24"/>
        </w:rPr>
        <w:t>The incidental question being the stage at which the respondent is legally obliged to advise the taxpayer of the specific reason</w:t>
      </w:r>
      <w:r w:rsidR="00BB541E">
        <w:rPr>
          <w:rFonts w:ascii="Times New Roman" w:hAnsi="Times New Roman" w:cs="Times New Roman"/>
          <w:sz w:val="24"/>
          <w:szCs w:val="24"/>
        </w:rPr>
        <w:t xml:space="preserve"> for the re-assessment. The perennial issue</w:t>
      </w:r>
      <w:r w:rsidR="007D6FC6" w:rsidRPr="0096749D">
        <w:rPr>
          <w:rFonts w:ascii="Times New Roman" w:hAnsi="Times New Roman" w:cs="Times New Roman"/>
          <w:sz w:val="24"/>
          <w:szCs w:val="24"/>
        </w:rPr>
        <w:t xml:space="preserve"> on penalty</w:t>
      </w:r>
      <w:r w:rsidR="00BB541E">
        <w:rPr>
          <w:rFonts w:ascii="Times New Roman" w:hAnsi="Times New Roman" w:cs="Times New Roman"/>
          <w:sz w:val="24"/>
          <w:szCs w:val="24"/>
        </w:rPr>
        <w:t xml:space="preserve"> was by consent settled, at</w:t>
      </w:r>
      <w:r w:rsidR="007D6FC6" w:rsidRPr="0096749D">
        <w:rPr>
          <w:rFonts w:ascii="Times New Roman" w:hAnsi="Times New Roman" w:cs="Times New Roman"/>
          <w:sz w:val="24"/>
          <w:szCs w:val="24"/>
        </w:rPr>
        <w:t xml:space="preserve"> the pre-trial hearing of 5 October 2018, </w:t>
      </w:r>
      <w:r w:rsidR="00BB541E">
        <w:rPr>
          <w:rFonts w:ascii="Times New Roman" w:hAnsi="Times New Roman" w:cs="Times New Roman"/>
          <w:sz w:val="24"/>
          <w:szCs w:val="24"/>
        </w:rPr>
        <w:t>at</w:t>
      </w:r>
      <w:r w:rsidR="007D6FC6" w:rsidRPr="0096749D">
        <w:rPr>
          <w:rFonts w:ascii="Times New Roman" w:hAnsi="Times New Roman" w:cs="Times New Roman"/>
          <w:sz w:val="24"/>
          <w:szCs w:val="24"/>
        </w:rPr>
        <w:t xml:space="preserve"> 10%.</w:t>
      </w:r>
    </w:p>
    <w:p w:rsidR="00AC365C" w:rsidRDefault="007D6FC6" w:rsidP="00521041">
      <w:pPr>
        <w:spacing w:after="0" w:line="360" w:lineRule="auto"/>
        <w:jc w:val="both"/>
        <w:rPr>
          <w:rFonts w:ascii="Times New Roman" w:hAnsi="Times New Roman" w:cs="Times New Roman"/>
          <w:sz w:val="24"/>
          <w:szCs w:val="24"/>
          <w:u w:val="single"/>
        </w:rPr>
      </w:pPr>
      <w:r w:rsidRPr="0096749D">
        <w:rPr>
          <w:rFonts w:ascii="Times New Roman" w:hAnsi="Times New Roman" w:cs="Times New Roman"/>
          <w:sz w:val="24"/>
          <w:szCs w:val="24"/>
          <w:u w:val="single"/>
        </w:rPr>
        <w:t>The background</w:t>
      </w:r>
    </w:p>
    <w:p w:rsidR="007D6FC6" w:rsidRDefault="00AC365C" w:rsidP="00521041">
      <w:pPr>
        <w:spacing w:after="0" w:line="360" w:lineRule="auto"/>
        <w:ind w:firstLine="720"/>
        <w:jc w:val="both"/>
        <w:rPr>
          <w:rFonts w:ascii="Times New Roman" w:hAnsi="Times New Roman" w:cs="Times New Roman"/>
          <w:sz w:val="24"/>
          <w:szCs w:val="24"/>
        </w:rPr>
      </w:pPr>
      <w:r w:rsidRPr="00AC365C">
        <w:rPr>
          <w:rFonts w:ascii="Times New Roman" w:hAnsi="Times New Roman" w:cs="Times New Roman"/>
          <w:sz w:val="24"/>
          <w:szCs w:val="24"/>
        </w:rPr>
        <w:t xml:space="preserve">The </w:t>
      </w:r>
      <w:r>
        <w:rPr>
          <w:rFonts w:ascii="Times New Roman" w:hAnsi="Times New Roman" w:cs="Times New Roman"/>
          <w:sz w:val="24"/>
          <w:szCs w:val="24"/>
        </w:rPr>
        <w:t>appellant is a local company, which manufactures,</w:t>
      </w:r>
      <w:r w:rsidR="00622A44" w:rsidRPr="00AC365C">
        <w:rPr>
          <w:rFonts w:ascii="Times New Roman" w:hAnsi="Times New Roman" w:cs="Times New Roman"/>
          <w:sz w:val="24"/>
          <w:szCs w:val="24"/>
        </w:rPr>
        <w:t xml:space="preserve"> distributes and sells </w:t>
      </w:r>
      <w:r w:rsidR="001D10AD" w:rsidRPr="00AC365C">
        <w:rPr>
          <w:rFonts w:ascii="Times New Roman" w:hAnsi="Times New Roman" w:cs="Times New Roman"/>
          <w:sz w:val="24"/>
          <w:szCs w:val="24"/>
        </w:rPr>
        <w:t>cigarretes</w:t>
      </w:r>
      <w:r w:rsidR="00622A44" w:rsidRPr="00AC365C">
        <w:rPr>
          <w:rFonts w:ascii="Times New Roman" w:hAnsi="Times New Roman" w:cs="Times New Roman"/>
          <w:sz w:val="24"/>
          <w:szCs w:val="24"/>
        </w:rPr>
        <w:t xml:space="preserve"> </w:t>
      </w:r>
      <w:r>
        <w:rPr>
          <w:rFonts w:ascii="Times New Roman" w:hAnsi="Times New Roman" w:cs="Times New Roman"/>
          <w:sz w:val="24"/>
          <w:szCs w:val="24"/>
        </w:rPr>
        <w:t xml:space="preserve">in Zimbabwe and </w:t>
      </w:r>
      <w:r w:rsidR="00722B7C">
        <w:rPr>
          <w:rFonts w:ascii="Times New Roman" w:hAnsi="Times New Roman" w:cs="Times New Roman"/>
          <w:sz w:val="24"/>
          <w:szCs w:val="24"/>
        </w:rPr>
        <w:t xml:space="preserve">exports semi-processed tobacco to </w:t>
      </w:r>
      <w:r>
        <w:rPr>
          <w:rFonts w:ascii="Times New Roman" w:hAnsi="Times New Roman" w:cs="Times New Roman"/>
          <w:sz w:val="24"/>
          <w:szCs w:val="24"/>
        </w:rPr>
        <w:t xml:space="preserve">Mozambique. </w:t>
      </w:r>
      <w:r w:rsidR="007D6FC6">
        <w:rPr>
          <w:rFonts w:ascii="Times New Roman" w:hAnsi="Times New Roman" w:cs="Times New Roman"/>
          <w:sz w:val="24"/>
          <w:szCs w:val="24"/>
        </w:rPr>
        <w:t>The respondent’s case manager commenced an extensive tax investigation</w:t>
      </w:r>
      <w:r w:rsidR="00722B7C">
        <w:rPr>
          <w:rFonts w:ascii="Times New Roman" w:hAnsi="Times New Roman" w:cs="Times New Roman"/>
          <w:sz w:val="24"/>
          <w:szCs w:val="24"/>
        </w:rPr>
        <w:t xml:space="preserve"> of the appellant </w:t>
      </w:r>
      <w:r w:rsidR="007D6FC6">
        <w:rPr>
          <w:rFonts w:ascii="Times New Roman" w:hAnsi="Times New Roman" w:cs="Times New Roman"/>
          <w:sz w:val="24"/>
          <w:szCs w:val="24"/>
        </w:rPr>
        <w:t>in respect of the 2009 to 2014 tax years</w:t>
      </w:r>
      <w:r w:rsidR="00722B7C">
        <w:rPr>
          <w:rFonts w:ascii="Times New Roman" w:hAnsi="Times New Roman" w:cs="Times New Roman"/>
          <w:sz w:val="24"/>
          <w:szCs w:val="24"/>
        </w:rPr>
        <w:t xml:space="preserve"> in 2016</w:t>
      </w:r>
      <w:r w:rsidR="007D6FC6">
        <w:rPr>
          <w:rFonts w:ascii="Times New Roman" w:hAnsi="Times New Roman" w:cs="Times New Roman"/>
          <w:sz w:val="24"/>
          <w:szCs w:val="24"/>
        </w:rPr>
        <w:t>. The parties exchange</w:t>
      </w:r>
      <w:r w:rsidR="00722B7C">
        <w:rPr>
          <w:rFonts w:ascii="Times New Roman" w:hAnsi="Times New Roman" w:cs="Times New Roman"/>
          <w:sz w:val="24"/>
          <w:szCs w:val="24"/>
        </w:rPr>
        <w:t>d</w:t>
      </w:r>
      <w:r w:rsidR="007D6FC6">
        <w:rPr>
          <w:rFonts w:ascii="Times New Roman" w:hAnsi="Times New Roman" w:cs="Times New Roman"/>
          <w:sz w:val="24"/>
          <w:szCs w:val="24"/>
        </w:rPr>
        <w:t xml:space="preserve"> correspondence and documents and held meetings which culminated in the case manager’s preliminary findings of 8 November 2016, in which he sought to disallow 12 items of expenditure that had been deducted </w:t>
      </w:r>
      <w:r w:rsidR="00D20E1B">
        <w:rPr>
          <w:rFonts w:ascii="Times New Roman" w:hAnsi="Times New Roman" w:cs="Times New Roman"/>
          <w:sz w:val="24"/>
          <w:szCs w:val="24"/>
        </w:rPr>
        <w:t>by the appellant in its 2009 to 2014</w:t>
      </w:r>
      <w:r w:rsidR="007D6FC6">
        <w:rPr>
          <w:rFonts w:ascii="Times New Roman" w:hAnsi="Times New Roman" w:cs="Times New Roman"/>
          <w:sz w:val="24"/>
          <w:szCs w:val="24"/>
        </w:rPr>
        <w:t xml:space="preserve"> self-assessments tax returns and charge</w:t>
      </w:r>
      <w:r w:rsidR="002B69EF">
        <w:rPr>
          <w:rFonts w:ascii="Times New Roman" w:hAnsi="Times New Roman" w:cs="Times New Roman"/>
          <w:sz w:val="24"/>
          <w:szCs w:val="24"/>
        </w:rPr>
        <w:t>d</w:t>
      </w:r>
      <w:r w:rsidR="007D6FC6">
        <w:rPr>
          <w:rFonts w:ascii="Times New Roman" w:hAnsi="Times New Roman" w:cs="Times New Roman"/>
          <w:sz w:val="24"/>
          <w:szCs w:val="24"/>
        </w:rPr>
        <w:t xml:space="preserve"> tax, inclusive of a penalty of 50% and interest in the total sum of US$22 293 369.63</w:t>
      </w:r>
      <w:r w:rsidR="007D6FC6">
        <w:rPr>
          <w:rStyle w:val="FootnoteReference"/>
          <w:rFonts w:ascii="Times New Roman" w:hAnsi="Times New Roman" w:cs="Times New Roman"/>
          <w:sz w:val="24"/>
          <w:szCs w:val="24"/>
        </w:rPr>
        <w:footnoteReference w:id="1"/>
      </w:r>
      <w:r w:rsidR="007D6FC6">
        <w:rPr>
          <w:rFonts w:ascii="Times New Roman" w:hAnsi="Times New Roman" w:cs="Times New Roman"/>
          <w:sz w:val="24"/>
          <w:szCs w:val="24"/>
        </w:rPr>
        <w:t>.  The parties entered into further correspondence and held further meetings</w:t>
      </w:r>
      <w:r w:rsidR="00533ACF">
        <w:rPr>
          <w:rFonts w:ascii="Times New Roman" w:hAnsi="Times New Roman" w:cs="Times New Roman"/>
          <w:sz w:val="24"/>
          <w:szCs w:val="24"/>
        </w:rPr>
        <w:t xml:space="preserve"> between 10 November</w:t>
      </w:r>
      <w:r w:rsidR="009940C2">
        <w:rPr>
          <w:rFonts w:ascii="Times New Roman" w:hAnsi="Times New Roman" w:cs="Times New Roman"/>
          <w:sz w:val="24"/>
          <w:szCs w:val="24"/>
        </w:rPr>
        <w:t xml:space="preserve"> and 27 Decem</w:t>
      </w:r>
      <w:r w:rsidR="00CC6228">
        <w:rPr>
          <w:rFonts w:ascii="Times New Roman" w:hAnsi="Times New Roman" w:cs="Times New Roman"/>
          <w:sz w:val="24"/>
          <w:szCs w:val="24"/>
        </w:rPr>
        <w:t>ber 2016, which resulted in the</w:t>
      </w:r>
      <w:r w:rsidR="00F510F8">
        <w:rPr>
          <w:rFonts w:ascii="Times New Roman" w:hAnsi="Times New Roman" w:cs="Times New Roman"/>
          <w:sz w:val="24"/>
          <w:szCs w:val="24"/>
        </w:rPr>
        <w:t xml:space="preserve"> </w:t>
      </w:r>
      <w:r w:rsidR="00CC6228">
        <w:rPr>
          <w:rFonts w:ascii="Times New Roman" w:hAnsi="Times New Roman" w:cs="Times New Roman"/>
          <w:sz w:val="24"/>
          <w:szCs w:val="24"/>
        </w:rPr>
        <w:t xml:space="preserve">amended </w:t>
      </w:r>
      <w:r w:rsidR="007D6FC6">
        <w:rPr>
          <w:rFonts w:ascii="Times New Roman" w:hAnsi="Times New Roman" w:cs="Times New Roman"/>
          <w:sz w:val="24"/>
          <w:szCs w:val="24"/>
        </w:rPr>
        <w:t xml:space="preserve">manual </w:t>
      </w:r>
      <w:r w:rsidR="007D6FC6">
        <w:rPr>
          <w:rFonts w:ascii="Times New Roman" w:hAnsi="Times New Roman" w:cs="Times New Roman"/>
          <w:sz w:val="24"/>
          <w:szCs w:val="24"/>
        </w:rPr>
        <w:lastRenderedPageBreak/>
        <w:t xml:space="preserve">notices of assessment for income tax </w:t>
      </w:r>
      <w:r w:rsidR="00CC6228">
        <w:rPr>
          <w:rFonts w:ascii="Times New Roman" w:hAnsi="Times New Roman" w:cs="Times New Roman"/>
          <w:sz w:val="24"/>
          <w:szCs w:val="24"/>
        </w:rPr>
        <w:t>of 6 January 2017</w:t>
      </w:r>
      <w:r w:rsidR="00045AEB">
        <w:rPr>
          <w:rStyle w:val="FootnoteReference"/>
          <w:rFonts w:ascii="Times New Roman" w:hAnsi="Times New Roman" w:cs="Times New Roman"/>
          <w:sz w:val="24"/>
          <w:szCs w:val="24"/>
        </w:rPr>
        <w:footnoteReference w:id="2"/>
      </w:r>
      <w:r w:rsidR="00A35C81">
        <w:rPr>
          <w:rFonts w:ascii="Times New Roman" w:hAnsi="Times New Roman" w:cs="Times New Roman"/>
          <w:sz w:val="24"/>
          <w:szCs w:val="24"/>
        </w:rPr>
        <w:t>,</w:t>
      </w:r>
      <w:r w:rsidR="00045AEB">
        <w:rPr>
          <w:rFonts w:ascii="Times New Roman" w:hAnsi="Times New Roman" w:cs="Times New Roman"/>
          <w:sz w:val="24"/>
          <w:szCs w:val="24"/>
        </w:rPr>
        <w:t xml:space="preserve"> for</w:t>
      </w:r>
      <w:r w:rsidR="00CC6228">
        <w:rPr>
          <w:rFonts w:ascii="Times New Roman" w:hAnsi="Times New Roman" w:cs="Times New Roman"/>
          <w:sz w:val="24"/>
          <w:szCs w:val="24"/>
        </w:rPr>
        <w:t xml:space="preserve"> </w:t>
      </w:r>
      <w:r w:rsidR="00C82071">
        <w:rPr>
          <w:rFonts w:ascii="Times New Roman" w:hAnsi="Times New Roman" w:cs="Times New Roman"/>
          <w:sz w:val="24"/>
          <w:szCs w:val="24"/>
        </w:rPr>
        <w:t>the</w:t>
      </w:r>
      <w:r w:rsidR="00045AEB">
        <w:rPr>
          <w:rFonts w:ascii="Times New Roman" w:hAnsi="Times New Roman" w:cs="Times New Roman"/>
          <w:sz w:val="24"/>
          <w:szCs w:val="24"/>
        </w:rPr>
        <w:t xml:space="preserve"> tax period under investigation</w:t>
      </w:r>
      <w:r w:rsidR="007D6FC6">
        <w:rPr>
          <w:rFonts w:ascii="Times New Roman" w:hAnsi="Times New Roman" w:cs="Times New Roman"/>
          <w:sz w:val="24"/>
          <w:szCs w:val="24"/>
        </w:rPr>
        <w:t xml:space="preserve"> in the aggregate sum of US$6 679 488.23 comprising of a cumulative principal of US$3 298 11</w:t>
      </w:r>
      <w:r w:rsidR="009940C2">
        <w:rPr>
          <w:rFonts w:ascii="Times New Roman" w:hAnsi="Times New Roman" w:cs="Times New Roman"/>
          <w:sz w:val="24"/>
          <w:szCs w:val="24"/>
        </w:rPr>
        <w:t>8.</w:t>
      </w:r>
      <w:r w:rsidR="007D6FC6">
        <w:rPr>
          <w:rFonts w:ascii="Times New Roman" w:hAnsi="Times New Roman" w:cs="Times New Roman"/>
          <w:sz w:val="24"/>
          <w:szCs w:val="24"/>
        </w:rPr>
        <w:t xml:space="preserve">07, 50% penalty of US$1 649 059.04, interest of </w:t>
      </w:r>
      <w:r w:rsidR="00C93521">
        <w:rPr>
          <w:rFonts w:ascii="Times New Roman" w:hAnsi="Times New Roman" w:cs="Times New Roman"/>
          <w:sz w:val="24"/>
          <w:szCs w:val="24"/>
        </w:rPr>
        <w:t>US$</w:t>
      </w:r>
      <w:r w:rsidR="007D6FC6">
        <w:rPr>
          <w:rFonts w:ascii="Times New Roman" w:hAnsi="Times New Roman" w:cs="Times New Roman"/>
          <w:sz w:val="24"/>
          <w:szCs w:val="24"/>
        </w:rPr>
        <w:t>1 732 311.12.</w:t>
      </w:r>
    </w:p>
    <w:p w:rsidR="00E2170D" w:rsidRDefault="00F510F8"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view of the confinement of the objection </w:t>
      </w:r>
      <w:r w:rsidR="00D653F5">
        <w:rPr>
          <w:rFonts w:ascii="Times New Roman" w:hAnsi="Times New Roman" w:cs="Times New Roman"/>
          <w:sz w:val="24"/>
          <w:szCs w:val="24"/>
        </w:rPr>
        <w:t>and appeal to the 2009 and</w:t>
      </w:r>
      <w:r w:rsidR="004759B2">
        <w:rPr>
          <w:rFonts w:ascii="Times New Roman" w:hAnsi="Times New Roman" w:cs="Times New Roman"/>
          <w:sz w:val="24"/>
          <w:szCs w:val="24"/>
        </w:rPr>
        <w:t xml:space="preserve"> 2010</w:t>
      </w:r>
      <w:r>
        <w:rPr>
          <w:rFonts w:ascii="Times New Roman" w:hAnsi="Times New Roman" w:cs="Times New Roman"/>
          <w:sz w:val="24"/>
          <w:szCs w:val="24"/>
        </w:rPr>
        <w:t xml:space="preserve"> tax years, it is necessary that I limit the </w:t>
      </w:r>
      <w:r w:rsidR="005921B0">
        <w:rPr>
          <w:rFonts w:ascii="Times New Roman" w:hAnsi="Times New Roman" w:cs="Times New Roman"/>
          <w:sz w:val="24"/>
          <w:szCs w:val="24"/>
        </w:rPr>
        <w:t>results of the meetings and correspondence exchanged between the part</w:t>
      </w:r>
      <w:r w:rsidR="004759B2">
        <w:rPr>
          <w:rFonts w:ascii="Times New Roman" w:hAnsi="Times New Roman" w:cs="Times New Roman"/>
          <w:sz w:val="24"/>
          <w:szCs w:val="24"/>
        </w:rPr>
        <w:t>ies to these specific years</w:t>
      </w:r>
      <w:r w:rsidR="005921B0">
        <w:rPr>
          <w:rFonts w:ascii="Times New Roman" w:hAnsi="Times New Roman" w:cs="Times New Roman"/>
          <w:sz w:val="24"/>
          <w:szCs w:val="24"/>
        </w:rPr>
        <w:t>. The manual assessments of 6 January 2017</w:t>
      </w:r>
      <w:r w:rsidR="00CE3222">
        <w:rPr>
          <w:rFonts w:ascii="Times New Roman" w:hAnsi="Times New Roman" w:cs="Times New Roman"/>
          <w:sz w:val="24"/>
          <w:szCs w:val="24"/>
        </w:rPr>
        <w:t>,</w:t>
      </w:r>
      <w:r w:rsidR="005921B0">
        <w:rPr>
          <w:rFonts w:ascii="Times New Roman" w:hAnsi="Times New Roman" w:cs="Times New Roman"/>
          <w:sz w:val="24"/>
          <w:szCs w:val="24"/>
        </w:rPr>
        <w:t xml:space="preserve"> raised an additional principal tax of US$91</w:t>
      </w:r>
      <w:r w:rsidR="00C0159E">
        <w:rPr>
          <w:rFonts w:ascii="Times New Roman" w:hAnsi="Times New Roman" w:cs="Times New Roman"/>
          <w:sz w:val="24"/>
          <w:szCs w:val="24"/>
        </w:rPr>
        <w:t xml:space="preserve">3 465.82 and </w:t>
      </w:r>
      <w:r w:rsidR="005921B0">
        <w:rPr>
          <w:rFonts w:ascii="Times New Roman" w:hAnsi="Times New Roman" w:cs="Times New Roman"/>
          <w:sz w:val="24"/>
          <w:szCs w:val="24"/>
        </w:rPr>
        <w:t>US$295 748.77</w:t>
      </w:r>
      <w:r w:rsidR="00C0159E">
        <w:rPr>
          <w:rFonts w:ascii="Times New Roman" w:hAnsi="Times New Roman" w:cs="Times New Roman"/>
          <w:sz w:val="24"/>
          <w:szCs w:val="24"/>
        </w:rPr>
        <w:t xml:space="preserve"> for the two tax years</w:t>
      </w:r>
      <w:r w:rsidR="005921B0">
        <w:rPr>
          <w:rStyle w:val="FootnoteReference"/>
          <w:rFonts w:ascii="Times New Roman" w:hAnsi="Times New Roman" w:cs="Times New Roman"/>
          <w:sz w:val="24"/>
          <w:szCs w:val="24"/>
        </w:rPr>
        <w:footnoteReference w:id="3"/>
      </w:r>
      <w:r w:rsidR="00C0159E">
        <w:rPr>
          <w:rFonts w:ascii="Times New Roman" w:hAnsi="Times New Roman" w:cs="Times New Roman"/>
          <w:sz w:val="24"/>
          <w:szCs w:val="24"/>
        </w:rPr>
        <w:t>, respectively.</w:t>
      </w:r>
      <w:r w:rsidR="005921B0">
        <w:rPr>
          <w:rFonts w:ascii="Times New Roman" w:hAnsi="Times New Roman" w:cs="Times New Roman"/>
          <w:sz w:val="24"/>
          <w:szCs w:val="24"/>
        </w:rPr>
        <w:t xml:space="preserve">  </w:t>
      </w:r>
      <w:r w:rsidR="00C93521">
        <w:rPr>
          <w:rFonts w:ascii="Times New Roman" w:hAnsi="Times New Roman" w:cs="Times New Roman"/>
          <w:sz w:val="24"/>
          <w:szCs w:val="24"/>
        </w:rPr>
        <w:t xml:space="preserve">The respondent reduced these amounts on 23 </w:t>
      </w:r>
      <w:r w:rsidR="00C0159E">
        <w:rPr>
          <w:rFonts w:ascii="Times New Roman" w:hAnsi="Times New Roman" w:cs="Times New Roman"/>
          <w:sz w:val="24"/>
          <w:szCs w:val="24"/>
        </w:rPr>
        <w:t>January 2017, to US$307 918.09 and US$78 483.27</w:t>
      </w:r>
      <w:r w:rsidR="00C93521">
        <w:rPr>
          <w:rFonts w:ascii="Times New Roman" w:hAnsi="Times New Roman" w:cs="Times New Roman"/>
          <w:sz w:val="24"/>
          <w:szCs w:val="24"/>
        </w:rPr>
        <w:t>, respectively</w:t>
      </w:r>
      <w:r w:rsidR="00B63740">
        <w:rPr>
          <w:rStyle w:val="FootnoteReference"/>
          <w:rFonts w:ascii="Times New Roman" w:hAnsi="Times New Roman" w:cs="Times New Roman"/>
          <w:sz w:val="24"/>
          <w:szCs w:val="24"/>
        </w:rPr>
        <w:footnoteReference w:id="4"/>
      </w:r>
      <w:r w:rsidR="00C93521">
        <w:rPr>
          <w:rFonts w:ascii="Times New Roman" w:hAnsi="Times New Roman" w:cs="Times New Roman"/>
          <w:sz w:val="24"/>
          <w:szCs w:val="24"/>
        </w:rPr>
        <w:t xml:space="preserve">, in response to the discussions between the parties of 19 and 20 January 2017. </w:t>
      </w:r>
      <w:r w:rsidR="007A1D34">
        <w:rPr>
          <w:rFonts w:ascii="Times New Roman" w:hAnsi="Times New Roman" w:cs="Times New Roman"/>
          <w:sz w:val="24"/>
          <w:szCs w:val="24"/>
        </w:rPr>
        <w:t>An initial objection lodged by the appellant on 6 February 2013, was withdrawn at the request of the respondent to enable the parties to pursue further negotiations. These negotiations were conducted</w:t>
      </w:r>
      <w:r w:rsidR="00C0159E">
        <w:rPr>
          <w:rFonts w:ascii="Times New Roman" w:hAnsi="Times New Roman" w:cs="Times New Roman"/>
          <w:sz w:val="24"/>
          <w:szCs w:val="24"/>
        </w:rPr>
        <w:t xml:space="preserve"> between 14 February 2017</w:t>
      </w:r>
      <w:r w:rsidR="002D580E">
        <w:rPr>
          <w:rFonts w:ascii="Times New Roman" w:hAnsi="Times New Roman" w:cs="Times New Roman"/>
          <w:sz w:val="24"/>
          <w:szCs w:val="24"/>
        </w:rPr>
        <w:t>,</w:t>
      </w:r>
      <w:r w:rsidR="00C0159E">
        <w:rPr>
          <w:rFonts w:ascii="Times New Roman" w:hAnsi="Times New Roman" w:cs="Times New Roman"/>
          <w:sz w:val="24"/>
          <w:szCs w:val="24"/>
        </w:rPr>
        <w:t xml:space="preserve"> and 15 September</w:t>
      </w:r>
      <w:r w:rsidR="007A1D34">
        <w:rPr>
          <w:rFonts w:ascii="Times New Roman" w:hAnsi="Times New Roman" w:cs="Times New Roman"/>
          <w:sz w:val="24"/>
          <w:szCs w:val="24"/>
        </w:rPr>
        <w:t xml:space="preserve"> 2017</w:t>
      </w:r>
      <w:r w:rsidR="00966C7F">
        <w:rPr>
          <w:rFonts w:ascii="Times New Roman" w:hAnsi="Times New Roman" w:cs="Times New Roman"/>
          <w:sz w:val="24"/>
          <w:szCs w:val="24"/>
        </w:rPr>
        <w:t xml:space="preserve">. </w:t>
      </w:r>
      <w:r w:rsidR="0049632A">
        <w:rPr>
          <w:rFonts w:ascii="Times New Roman" w:hAnsi="Times New Roman" w:cs="Times New Roman"/>
          <w:sz w:val="24"/>
          <w:szCs w:val="24"/>
        </w:rPr>
        <w:t>They resulted in the overall reduction of the total tax bill for the 2009 to 2014 tax period to US$1 510 673.91</w:t>
      </w:r>
      <w:r w:rsidR="00C816A9">
        <w:rPr>
          <w:rStyle w:val="FootnoteReference"/>
          <w:rFonts w:ascii="Times New Roman" w:hAnsi="Times New Roman" w:cs="Times New Roman"/>
          <w:sz w:val="24"/>
          <w:szCs w:val="24"/>
        </w:rPr>
        <w:footnoteReference w:id="5"/>
      </w:r>
      <w:r w:rsidR="00C816A9">
        <w:rPr>
          <w:rFonts w:ascii="Times New Roman" w:hAnsi="Times New Roman" w:cs="Times New Roman"/>
          <w:sz w:val="24"/>
          <w:szCs w:val="24"/>
        </w:rPr>
        <w:t xml:space="preserve"> inclusive of penalty of 50% and interest</w:t>
      </w:r>
      <w:r w:rsidR="0049632A">
        <w:rPr>
          <w:rFonts w:ascii="Times New Roman" w:hAnsi="Times New Roman" w:cs="Times New Roman"/>
          <w:sz w:val="24"/>
          <w:szCs w:val="24"/>
        </w:rPr>
        <w:t>, which the appellant paid on a without prejudice basis over a period of 5 months</w:t>
      </w:r>
      <w:r w:rsidR="00963491">
        <w:rPr>
          <w:rFonts w:ascii="Times New Roman" w:hAnsi="Times New Roman" w:cs="Times New Roman"/>
          <w:sz w:val="24"/>
          <w:szCs w:val="24"/>
        </w:rPr>
        <w:t>, commencing 2</w:t>
      </w:r>
      <w:r w:rsidR="00E2170D">
        <w:rPr>
          <w:rFonts w:ascii="Times New Roman" w:hAnsi="Times New Roman" w:cs="Times New Roman"/>
          <w:sz w:val="24"/>
          <w:szCs w:val="24"/>
        </w:rPr>
        <w:t>2 September 2017</w:t>
      </w:r>
      <w:r w:rsidR="001F4F3F">
        <w:rPr>
          <w:rFonts w:ascii="Times New Roman" w:hAnsi="Times New Roman" w:cs="Times New Roman"/>
          <w:sz w:val="24"/>
          <w:szCs w:val="24"/>
        </w:rPr>
        <w:t>.</w:t>
      </w:r>
      <w:r w:rsidR="0049632A">
        <w:rPr>
          <w:rFonts w:ascii="Times New Roman" w:hAnsi="Times New Roman" w:cs="Times New Roman"/>
          <w:sz w:val="24"/>
          <w:szCs w:val="24"/>
        </w:rPr>
        <w:t xml:space="preserve"> </w:t>
      </w:r>
      <w:r w:rsidR="00966C7F">
        <w:rPr>
          <w:rFonts w:ascii="Times New Roman" w:hAnsi="Times New Roman" w:cs="Times New Roman"/>
          <w:sz w:val="24"/>
          <w:szCs w:val="24"/>
        </w:rPr>
        <w:t>They, however, did not affect the respondent’s computations of 23 January 2017, in re</w:t>
      </w:r>
      <w:r w:rsidR="00963491">
        <w:rPr>
          <w:rFonts w:ascii="Times New Roman" w:hAnsi="Times New Roman" w:cs="Times New Roman"/>
          <w:sz w:val="24"/>
          <w:szCs w:val="24"/>
        </w:rPr>
        <w:t>spect of the 2009 and 2010</w:t>
      </w:r>
      <w:r w:rsidR="00966C7F">
        <w:rPr>
          <w:rFonts w:ascii="Times New Roman" w:hAnsi="Times New Roman" w:cs="Times New Roman"/>
          <w:sz w:val="24"/>
          <w:szCs w:val="24"/>
        </w:rPr>
        <w:t xml:space="preserve"> tax years</w:t>
      </w:r>
      <w:r w:rsidR="00CC38A1">
        <w:rPr>
          <w:rStyle w:val="FootnoteReference"/>
          <w:rFonts w:ascii="Times New Roman" w:hAnsi="Times New Roman" w:cs="Times New Roman"/>
          <w:sz w:val="24"/>
          <w:szCs w:val="24"/>
        </w:rPr>
        <w:footnoteReference w:id="6"/>
      </w:r>
      <w:r w:rsidR="00966C7F">
        <w:rPr>
          <w:rFonts w:ascii="Times New Roman" w:hAnsi="Times New Roman" w:cs="Times New Roman"/>
          <w:sz w:val="24"/>
          <w:szCs w:val="24"/>
        </w:rPr>
        <w:t>.</w:t>
      </w:r>
    </w:p>
    <w:p w:rsidR="007D6FC6" w:rsidRPr="00E2170D" w:rsidRDefault="00E2170D" w:rsidP="00521041">
      <w:pPr>
        <w:spacing w:after="0" w:line="36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On 10 October 2017, the respondent issued manual notices of the amended assessments in the tax amounts that </w:t>
      </w:r>
      <w:r w:rsidR="00A54E7D">
        <w:rPr>
          <w:rFonts w:ascii="Times New Roman" w:hAnsi="Times New Roman" w:cs="Times New Roman"/>
          <w:sz w:val="24"/>
          <w:szCs w:val="24"/>
        </w:rPr>
        <w:t xml:space="preserve">the appellant </w:t>
      </w:r>
      <w:r>
        <w:rPr>
          <w:rFonts w:ascii="Times New Roman" w:hAnsi="Times New Roman" w:cs="Times New Roman"/>
          <w:sz w:val="24"/>
          <w:szCs w:val="24"/>
        </w:rPr>
        <w:t>paid on a without prejudice basis.</w:t>
      </w:r>
      <w:r w:rsidR="0049632A">
        <w:rPr>
          <w:rFonts w:ascii="Times New Roman" w:hAnsi="Times New Roman" w:cs="Times New Roman"/>
          <w:sz w:val="24"/>
          <w:szCs w:val="24"/>
        </w:rPr>
        <w:t xml:space="preserve"> </w:t>
      </w:r>
      <w:r w:rsidR="007D6FC6">
        <w:rPr>
          <w:rFonts w:ascii="Times New Roman" w:hAnsi="Times New Roman" w:cs="Times New Roman"/>
          <w:sz w:val="24"/>
          <w:szCs w:val="24"/>
        </w:rPr>
        <w:t>The a</w:t>
      </w:r>
      <w:r w:rsidR="007D6FC6" w:rsidRPr="007B0285">
        <w:rPr>
          <w:rFonts w:ascii="Times New Roman" w:hAnsi="Times New Roman" w:cs="Times New Roman"/>
          <w:sz w:val="24"/>
          <w:szCs w:val="24"/>
        </w:rPr>
        <w:t xml:space="preserve">ppellant objected to the amended </w:t>
      </w:r>
      <w:r w:rsidR="007D6FC6">
        <w:rPr>
          <w:rFonts w:ascii="Times New Roman" w:hAnsi="Times New Roman" w:cs="Times New Roman"/>
          <w:sz w:val="24"/>
          <w:szCs w:val="24"/>
        </w:rPr>
        <w:t xml:space="preserve">assessments for the 2009 to </w:t>
      </w:r>
      <w:r w:rsidR="002D580E">
        <w:rPr>
          <w:rFonts w:ascii="Times New Roman" w:hAnsi="Times New Roman" w:cs="Times New Roman"/>
          <w:sz w:val="24"/>
          <w:szCs w:val="24"/>
        </w:rPr>
        <w:t>2011 tax years, but later abandoned the objection to the 2011 tax year,</w:t>
      </w:r>
      <w:r w:rsidR="007D6FC6" w:rsidRPr="007B0285">
        <w:rPr>
          <w:rFonts w:ascii="Times New Roman" w:hAnsi="Times New Roman" w:cs="Times New Roman"/>
          <w:sz w:val="24"/>
          <w:szCs w:val="24"/>
        </w:rPr>
        <w:t xml:space="preserve"> </w:t>
      </w:r>
      <w:r w:rsidR="005164C5">
        <w:rPr>
          <w:rFonts w:ascii="Times New Roman" w:hAnsi="Times New Roman" w:cs="Times New Roman"/>
          <w:sz w:val="24"/>
          <w:szCs w:val="24"/>
        </w:rPr>
        <w:t xml:space="preserve">and the imposed penalty and interest to the amended assessment of 2014, </w:t>
      </w:r>
      <w:r w:rsidR="007D6FC6" w:rsidRPr="007B0285">
        <w:rPr>
          <w:rFonts w:ascii="Times New Roman" w:hAnsi="Times New Roman" w:cs="Times New Roman"/>
          <w:sz w:val="24"/>
          <w:szCs w:val="24"/>
        </w:rPr>
        <w:t xml:space="preserve">on 30 October 2017. The determination </w:t>
      </w:r>
      <w:r w:rsidR="007D6FC6">
        <w:rPr>
          <w:rFonts w:ascii="Times New Roman" w:hAnsi="Times New Roman" w:cs="Times New Roman"/>
          <w:sz w:val="24"/>
          <w:szCs w:val="24"/>
        </w:rPr>
        <w:t xml:space="preserve">to this objection </w:t>
      </w:r>
      <w:r>
        <w:rPr>
          <w:rFonts w:ascii="Times New Roman" w:hAnsi="Times New Roman" w:cs="Times New Roman"/>
          <w:sz w:val="24"/>
          <w:szCs w:val="24"/>
        </w:rPr>
        <w:t>was made</w:t>
      </w:r>
      <w:r w:rsidR="005164C5">
        <w:rPr>
          <w:rFonts w:ascii="Times New Roman" w:hAnsi="Times New Roman" w:cs="Times New Roman"/>
          <w:sz w:val="24"/>
          <w:szCs w:val="24"/>
        </w:rPr>
        <w:t xml:space="preserve"> </w:t>
      </w:r>
      <w:r w:rsidR="007D6FC6" w:rsidRPr="007B0285">
        <w:rPr>
          <w:rFonts w:ascii="Times New Roman" w:hAnsi="Times New Roman" w:cs="Times New Roman"/>
          <w:sz w:val="24"/>
          <w:szCs w:val="24"/>
        </w:rPr>
        <w:t>on 17 February 2018. The appellant filed its notice of appeal on 7 February 2018</w:t>
      </w:r>
      <w:r w:rsidR="002D580E">
        <w:rPr>
          <w:rFonts w:ascii="Times New Roman" w:hAnsi="Times New Roman" w:cs="Times New Roman"/>
          <w:sz w:val="24"/>
          <w:szCs w:val="24"/>
        </w:rPr>
        <w:t>,</w:t>
      </w:r>
      <w:r w:rsidR="007D6FC6" w:rsidRPr="007B0285">
        <w:rPr>
          <w:rFonts w:ascii="Times New Roman" w:hAnsi="Times New Roman" w:cs="Times New Roman"/>
          <w:sz w:val="24"/>
          <w:szCs w:val="24"/>
        </w:rPr>
        <w:t xml:space="preserve"> and followed it up with its case on 3 April 2018. The</w:t>
      </w:r>
      <w:r w:rsidR="007D6FC6">
        <w:rPr>
          <w:rFonts w:ascii="Times New Roman" w:hAnsi="Times New Roman" w:cs="Times New Roman"/>
          <w:sz w:val="24"/>
          <w:szCs w:val="24"/>
        </w:rPr>
        <w:t>reafter, the</w:t>
      </w:r>
      <w:r w:rsidR="007D6FC6" w:rsidRPr="007B0285">
        <w:rPr>
          <w:rFonts w:ascii="Times New Roman" w:hAnsi="Times New Roman" w:cs="Times New Roman"/>
          <w:sz w:val="24"/>
          <w:szCs w:val="24"/>
        </w:rPr>
        <w:t xml:space="preserve"> respondent filed the Commissioner’s case on 30 May 2018.</w:t>
      </w:r>
      <w:r w:rsidR="007D6FC6">
        <w:rPr>
          <w:rFonts w:ascii="Times New Roman" w:hAnsi="Times New Roman" w:cs="Times New Roman"/>
          <w:sz w:val="24"/>
          <w:szCs w:val="24"/>
        </w:rPr>
        <w:t xml:space="preserve"> A pre-trial hearing was held on 5 October</w:t>
      </w:r>
      <w:r w:rsidR="002D580E">
        <w:rPr>
          <w:rFonts w:ascii="Times New Roman" w:hAnsi="Times New Roman" w:cs="Times New Roman"/>
          <w:sz w:val="24"/>
          <w:szCs w:val="24"/>
        </w:rPr>
        <w:t xml:space="preserve"> 2018,</w:t>
      </w:r>
      <w:r w:rsidR="007D6FC6">
        <w:rPr>
          <w:rFonts w:ascii="Times New Roman" w:hAnsi="Times New Roman" w:cs="Times New Roman"/>
          <w:sz w:val="24"/>
          <w:szCs w:val="24"/>
        </w:rPr>
        <w:t xml:space="preserve"> at which two issues, upon which the appellant</w:t>
      </w:r>
      <w:r w:rsidR="002D580E">
        <w:rPr>
          <w:rFonts w:ascii="Times New Roman" w:hAnsi="Times New Roman" w:cs="Times New Roman"/>
          <w:sz w:val="24"/>
          <w:szCs w:val="24"/>
        </w:rPr>
        <w:t>, by consent,</w:t>
      </w:r>
      <w:r w:rsidR="007D6FC6">
        <w:rPr>
          <w:rFonts w:ascii="Times New Roman" w:hAnsi="Times New Roman" w:cs="Times New Roman"/>
          <w:sz w:val="24"/>
          <w:szCs w:val="24"/>
        </w:rPr>
        <w:t xml:space="preserve"> bore the onus on a balance of probabi</w:t>
      </w:r>
      <w:r w:rsidR="002D580E">
        <w:rPr>
          <w:rFonts w:ascii="Times New Roman" w:hAnsi="Times New Roman" w:cs="Times New Roman"/>
          <w:sz w:val="24"/>
          <w:szCs w:val="24"/>
        </w:rPr>
        <w:t xml:space="preserve">lities, were referred </w:t>
      </w:r>
      <w:r w:rsidR="007D6FC6">
        <w:rPr>
          <w:rFonts w:ascii="Times New Roman" w:hAnsi="Times New Roman" w:cs="Times New Roman"/>
          <w:sz w:val="24"/>
          <w:szCs w:val="24"/>
        </w:rPr>
        <w:t>for determination</w:t>
      </w:r>
      <w:r w:rsidR="002D580E">
        <w:rPr>
          <w:rFonts w:ascii="Times New Roman" w:hAnsi="Times New Roman" w:cs="Times New Roman"/>
          <w:sz w:val="24"/>
          <w:szCs w:val="24"/>
        </w:rPr>
        <w:t xml:space="preserve"> on appeal</w:t>
      </w:r>
      <w:r w:rsidR="007D6FC6">
        <w:rPr>
          <w:rFonts w:ascii="Times New Roman" w:hAnsi="Times New Roman" w:cs="Times New Roman"/>
          <w:sz w:val="24"/>
          <w:szCs w:val="24"/>
        </w:rPr>
        <w:t>.</w:t>
      </w:r>
    </w:p>
    <w:p w:rsidR="003A5459" w:rsidRDefault="007D6FC6" w:rsidP="00521041">
      <w:pPr>
        <w:spacing w:after="0" w:line="360" w:lineRule="auto"/>
        <w:jc w:val="both"/>
        <w:rPr>
          <w:rFonts w:ascii="Times New Roman" w:hAnsi="Times New Roman" w:cs="Times New Roman"/>
          <w:sz w:val="24"/>
          <w:szCs w:val="24"/>
          <w:u w:val="single"/>
        </w:rPr>
      </w:pPr>
      <w:r w:rsidRPr="00BF0330">
        <w:rPr>
          <w:rFonts w:ascii="Times New Roman" w:hAnsi="Times New Roman" w:cs="Times New Roman"/>
          <w:sz w:val="24"/>
          <w:szCs w:val="24"/>
          <w:u w:val="single"/>
        </w:rPr>
        <w:t>The facts</w:t>
      </w:r>
      <w:r w:rsidR="003A5459">
        <w:rPr>
          <w:rFonts w:ascii="Times New Roman" w:hAnsi="Times New Roman" w:cs="Times New Roman"/>
          <w:sz w:val="24"/>
          <w:szCs w:val="24"/>
          <w:u w:val="single"/>
        </w:rPr>
        <w:t xml:space="preserve"> </w:t>
      </w:r>
    </w:p>
    <w:p w:rsidR="00A5256A" w:rsidRDefault="00A5256A"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was common cause that the appellant filed self-assessments income tax returns</w:t>
      </w:r>
      <w:r w:rsidR="00804A3C">
        <w:rPr>
          <w:rFonts w:ascii="Times New Roman" w:hAnsi="Times New Roman" w:cs="Times New Roman"/>
          <w:sz w:val="24"/>
          <w:szCs w:val="24"/>
        </w:rPr>
        <w:t>, ITF 12C,</w:t>
      </w:r>
      <w:r>
        <w:rPr>
          <w:rFonts w:ascii="Times New Roman" w:hAnsi="Times New Roman" w:cs="Times New Roman"/>
          <w:sz w:val="24"/>
          <w:szCs w:val="24"/>
        </w:rPr>
        <w:t xml:space="preserve"> for the </w:t>
      </w:r>
      <w:r w:rsidR="002F0E26">
        <w:rPr>
          <w:rFonts w:ascii="Times New Roman" w:hAnsi="Times New Roman" w:cs="Times New Roman"/>
          <w:sz w:val="24"/>
          <w:szCs w:val="24"/>
        </w:rPr>
        <w:t>2009 tax year on</w:t>
      </w:r>
      <w:r w:rsidR="00A06A51">
        <w:rPr>
          <w:rFonts w:ascii="Times New Roman" w:hAnsi="Times New Roman" w:cs="Times New Roman"/>
          <w:sz w:val="24"/>
          <w:szCs w:val="24"/>
        </w:rPr>
        <w:t xml:space="preserve"> 29</w:t>
      </w:r>
      <w:r>
        <w:rPr>
          <w:rFonts w:ascii="Times New Roman" w:hAnsi="Times New Roman" w:cs="Times New Roman"/>
          <w:sz w:val="24"/>
          <w:szCs w:val="24"/>
        </w:rPr>
        <w:t xml:space="preserve"> April 2010</w:t>
      </w:r>
      <w:r w:rsidR="00F2648A">
        <w:rPr>
          <w:rFonts w:ascii="Times New Roman" w:hAnsi="Times New Roman" w:cs="Times New Roman"/>
          <w:sz w:val="24"/>
          <w:szCs w:val="24"/>
        </w:rPr>
        <w:t>,</w:t>
      </w:r>
      <w:r>
        <w:rPr>
          <w:rFonts w:ascii="Times New Roman" w:hAnsi="Times New Roman" w:cs="Times New Roman"/>
          <w:sz w:val="24"/>
          <w:szCs w:val="24"/>
        </w:rPr>
        <w:t xml:space="preserve"> and </w:t>
      </w:r>
      <w:r w:rsidR="002F0E26">
        <w:rPr>
          <w:rFonts w:ascii="Times New Roman" w:hAnsi="Times New Roman" w:cs="Times New Roman"/>
          <w:sz w:val="24"/>
          <w:szCs w:val="24"/>
        </w:rPr>
        <w:t xml:space="preserve">for the 2010 tax year on </w:t>
      </w:r>
      <w:r w:rsidR="00A06A51">
        <w:rPr>
          <w:rFonts w:ascii="Times New Roman" w:hAnsi="Times New Roman" w:cs="Times New Roman"/>
          <w:sz w:val="24"/>
          <w:szCs w:val="24"/>
        </w:rPr>
        <w:t>29</w:t>
      </w:r>
      <w:r>
        <w:rPr>
          <w:rFonts w:ascii="Times New Roman" w:hAnsi="Times New Roman" w:cs="Times New Roman"/>
          <w:sz w:val="24"/>
          <w:szCs w:val="24"/>
        </w:rPr>
        <w:t xml:space="preserve"> A</w:t>
      </w:r>
      <w:r w:rsidR="002F0E26">
        <w:rPr>
          <w:rFonts w:ascii="Times New Roman" w:hAnsi="Times New Roman" w:cs="Times New Roman"/>
          <w:sz w:val="24"/>
          <w:szCs w:val="24"/>
        </w:rPr>
        <w:t xml:space="preserve">pril 2011. It was further common cause that </w:t>
      </w:r>
      <w:r w:rsidR="00F2648A">
        <w:rPr>
          <w:rFonts w:ascii="Times New Roman" w:hAnsi="Times New Roman" w:cs="Times New Roman"/>
          <w:sz w:val="24"/>
          <w:szCs w:val="24"/>
        </w:rPr>
        <w:t xml:space="preserve">these </w:t>
      </w:r>
      <w:r w:rsidR="002F0E26">
        <w:rPr>
          <w:rFonts w:ascii="Times New Roman" w:hAnsi="Times New Roman" w:cs="Times New Roman"/>
          <w:sz w:val="24"/>
          <w:szCs w:val="24"/>
        </w:rPr>
        <w:t>tax return</w:t>
      </w:r>
      <w:r w:rsidR="00F2648A">
        <w:rPr>
          <w:rFonts w:ascii="Times New Roman" w:hAnsi="Times New Roman" w:cs="Times New Roman"/>
          <w:sz w:val="24"/>
          <w:szCs w:val="24"/>
        </w:rPr>
        <w:t>s were</w:t>
      </w:r>
      <w:r w:rsidR="002F0E26">
        <w:rPr>
          <w:rFonts w:ascii="Times New Roman" w:hAnsi="Times New Roman" w:cs="Times New Roman"/>
          <w:sz w:val="24"/>
          <w:szCs w:val="24"/>
        </w:rPr>
        <w:t xml:space="preserve"> accompanied by a tax computation. </w:t>
      </w:r>
      <w:r w:rsidR="00CE11EF">
        <w:rPr>
          <w:rFonts w:ascii="Times New Roman" w:hAnsi="Times New Roman" w:cs="Times New Roman"/>
          <w:sz w:val="24"/>
          <w:szCs w:val="24"/>
        </w:rPr>
        <w:t>It was</w:t>
      </w:r>
      <w:r w:rsidR="00FB32DE">
        <w:rPr>
          <w:rFonts w:ascii="Times New Roman" w:hAnsi="Times New Roman" w:cs="Times New Roman"/>
          <w:sz w:val="24"/>
          <w:szCs w:val="24"/>
        </w:rPr>
        <w:t xml:space="preserve"> further common ground that</w:t>
      </w:r>
      <w:r w:rsidR="00F2648A">
        <w:rPr>
          <w:rFonts w:ascii="Times New Roman" w:hAnsi="Times New Roman" w:cs="Times New Roman"/>
          <w:sz w:val="24"/>
          <w:szCs w:val="24"/>
        </w:rPr>
        <w:t xml:space="preserve"> the amended assessments of 10</w:t>
      </w:r>
      <w:r w:rsidR="00FB32DE">
        <w:rPr>
          <w:rFonts w:ascii="Times New Roman" w:hAnsi="Times New Roman" w:cs="Times New Roman"/>
          <w:sz w:val="24"/>
          <w:szCs w:val="24"/>
        </w:rPr>
        <w:t xml:space="preserve"> October 2017,</w:t>
      </w:r>
      <w:r w:rsidR="00F2648A">
        <w:rPr>
          <w:rFonts w:ascii="Times New Roman" w:hAnsi="Times New Roman" w:cs="Times New Roman"/>
          <w:sz w:val="24"/>
          <w:szCs w:val="24"/>
        </w:rPr>
        <w:t xml:space="preserve"> in respect of these two tax years</w:t>
      </w:r>
      <w:r w:rsidR="007D610F">
        <w:rPr>
          <w:rFonts w:ascii="Times New Roman" w:hAnsi="Times New Roman" w:cs="Times New Roman"/>
          <w:sz w:val="24"/>
          <w:szCs w:val="24"/>
        </w:rPr>
        <w:t xml:space="preserve">, </w:t>
      </w:r>
      <w:r w:rsidR="00F2648A">
        <w:rPr>
          <w:rFonts w:ascii="Times New Roman" w:hAnsi="Times New Roman" w:cs="Times New Roman"/>
          <w:sz w:val="24"/>
          <w:szCs w:val="24"/>
        </w:rPr>
        <w:t>were issued</w:t>
      </w:r>
      <w:r w:rsidR="00FB32DE">
        <w:rPr>
          <w:rFonts w:ascii="Times New Roman" w:hAnsi="Times New Roman" w:cs="Times New Roman"/>
          <w:sz w:val="24"/>
          <w:szCs w:val="24"/>
        </w:rPr>
        <w:t xml:space="preserve"> after the expiration of the prescription period of 6 years that is set out in s 47 (1) of the Income Tax Act for the reopening of assessments.</w:t>
      </w:r>
    </w:p>
    <w:p w:rsidR="0047632E" w:rsidRDefault="0047632E" w:rsidP="005210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w:t>
      </w:r>
      <w:r w:rsidR="00D41241">
        <w:rPr>
          <w:rFonts w:ascii="Times New Roman" w:hAnsi="Times New Roman" w:cs="Times New Roman"/>
          <w:sz w:val="24"/>
          <w:szCs w:val="24"/>
        </w:rPr>
        <w:t xml:space="preserve">also </w:t>
      </w:r>
      <w:r>
        <w:rPr>
          <w:rFonts w:ascii="Times New Roman" w:hAnsi="Times New Roman" w:cs="Times New Roman"/>
          <w:sz w:val="24"/>
          <w:szCs w:val="24"/>
        </w:rPr>
        <w:t xml:space="preserve">common cause that the respondent specifically justified the re-opening of the 2009 and 2010 tax years on the basis of misrepresentation in paras </w:t>
      </w:r>
      <w:r w:rsidR="00AE35E5">
        <w:rPr>
          <w:rFonts w:ascii="Times New Roman" w:hAnsi="Times New Roman" w:cs="Times New Roman"/>
          <w:sz w:val="24"/>
          <w:szCs w:val="24"/>
        </w:rPr>
        <w:t xml:space="preserve">1.2.4, 1.2.5, </w:t>
      </w:r>
      <w:r w:rsidR="00B722CF">
        <w:rPr>
          <w:rFonts w:ascii="Times New Roman" w:hAnsi="Times New Roman" w:cs="Times New Roman"/>
          <w:sz w:val="24"/>
          <w:szCs w:val="24"/>
        </w:rPr>
        <w:t xml:space="preserve">1.2.6, </w:t>
      </w:r>
      <w:r>
        <w:rPr>
          <w:rFonts w:ascii="Times New Roman" w:hAnsi="Times New Roman" w:cs="Times New Roman"/>
          <w:sz w:val="24"/>
          <w:szCs w:val="24"/>
        </w:rPr>
        <w:t>1.2.7 and 3.2.2 of the determination to the objection of 17 January 2018</w:t>
      </w:r>
      <w:r w:rsidR="00D41241">
        <w:rPr>
          <w:rFonts w:ascii="Times New Roman" w:hAnsi="Times New Roman" w:cs="Times New Roman"/>
          <w:sz w:val="24"/>
          <w:szCs w:val="24"/>
        </w:rPr>
        <w:t>,</w:t>
      </w:r>
      <w:r>
        <w:rPr>
          <w:rFonts w:ascii="Times New Roman" w:hAnsi="Times New Roman" w:cs="Times New Roman"/>
          <w:sz w:val="24"/>
          <w:szCs w:val="24"/>
        </w:rPr>
        <w:t xml:space="preserve"> in these words:</w:t>
      </w:r>
    </w:p>
    <w:p w:rsidR="00AE35E5" w:rsidRDefault="00AE35E5" w:rsidP="0048799D">
      <w:pPr>
        <w:spacing w:after="0" w:line="240" w:lineRule="auto"/>
        <w:ind w:left="1440" w:hanging="720"/>
        <w:jc w:val="both"/>
        <w:rPr>
          <w:rFonts w:ascii="Times New Roman" w:hAnsi="Times New Roman" w:cs="Times New Roman"/>
        </w:rPr>
      </w:pPr>
      <w:r w:rsidRPr="00521041">
        <w:rPr>
          <w:rFonts w:ascii="Times New Roman" w:hAnsi="Times New Roman" w:cs="Times New Roman"/>
        </w:rPr>
        <w:t>“1.2.4</w:t>
      </w:r>
      <w:r w:rsidRPr="00521041">
        <w:rPr>
          <w:rFonts w:ascii="Times New Roman" w:hAnsi="Times New Roman" w:cs="Times New Roman"/>
        </w:rPr>
        <w:tab/>
        <w:t xml:space="preserve">The company however claimed non-deductible expenses including provisions for sundry creditors, provisions for unpaid leave, entertainment expenses, gifts, administration and professional services fees and bad debts expenses which had not proven to be bad thereby misrepresenting the magnitude of its taxable income. </w:t>
      </w:r>
    </w:p>
    <w:p w:rsidR="0048799D" w:rsidRPr="00521041" w:rsidRDefault="0048799D" w:rsidP="0048799D">
      <w:pPr>
        <w:spacing w:after="0" w:line="240" w:lineRule="auto"/>
        <w:ind w:left="1440" w:hanging="720"/>
        <w:jc w:val="both"/>
        <w:rPr>
          <w:rFonts w:ascii="Times New Roman" w:hAnsi="Times New Roman" w:cs="Times New Roman"/>
        </w:rPr>
      </w:pPr>
    </w:p>
    <w:p w:rsidR="00AE35E5" w:rsidRDefault="00AE35E5" w:rsidP="0048799D">
      <w:pPr>
        <w:spacing w:after="0" w:line="240" w:lineRule="auto"/>
        <w:ind w:left="1440" w:hanging="720"/>
        <w:jc w:val="both"/>
        <w:rPr>
          <w:rFonts w:ascii="Times New Roman" w:hAnsi="Times New Roman" w:cs="Times New Roman"/>
        </w:rPr>
      </w:pPr>
      <w:r w:rsidRPr="00521041">
        <w:rPr>
          <w:rFonts w:ascii="Times New Roman" w:hAnsi="Times New Roman" w:cs="Times New Roman"/>
        </w:rPr>
        <w:t>1.2.5</w:t>
      </w:r>
      <w:r w:rsidRPr="00521041">
        <w:rPr>
          <w:rFonts w:ascii="Times New Roman" w:hAnsi="Times New Roman" w:cs="Times New Roman"/>
        </w:rPr>
        <w:tab/>
        <w:t>The total</w:t>
      </w:r>
      <w:r w:rsidR="00C61E4B" w:rsidRPr="00521041">
        <w:rPr>
          <w:rFonts w:ascii="Times New Roman" w:hAnsi="Times New Roman" w:cs="Times New Roman"/>
        </w:rPr>
        <w:t xml:space="preserve"> expenses that were claimed by Appellant</w:t>
      </w:r>
      <w:r w:rsidRPr="00521041">
        <w:rPr>
          <w:rFonts w:ascii="Times New Roman" w:hAnsi="Times New Roman" w:cs="Times New Roman"/>
        </w:rPr>
        <w:t xml:space="preserve"> am</w:t>
      </w:r>
      <w:r w:rsidR="00C61E4B" w:rsidRPr="00521041">
        <w:rPr>
          <w:rFonts w:ascii="Times New Roman" w:hAnsi="Times New Roman" w:cs="Times New Roman"/>
        </w:rPr>
        <w:t xml:space="preserve">ounted to $996 497.70 for 2009 and </w:t>
      </w:r>
      <w:r w:rsidRPr="00521041">
        <w:rPr>
          <w:rFonts w:ascii="Times New Roman" w:hAnsi="Times New Roman" w:cs="Times New Roman"/>
        </w:rPr>
        <w:t>$304 788.94 for</w:t>
      </w:r>
      <w:r w:rsidR="00C61E4B" w:rsidRPr="00521041">
        <w:rPr>
          <w:rFonts w:ascii="Times New Roman" w:hAnsi="Times New Roman" w:cs="Times New Roman"/>
        </w:rPr>
        <w:t xml:space="preserve"> 2010</w:t>
      </w:r>
      <w:r w:rsidRPr="00521041">
        <w:rPr>
          <w:rFonts w:ascii="Times New Roman" w:hAnsi="Times New Roman" w:cs="Times New Roman"/>
        </w:rPr>
        <w:t>.</w:t>
      </w:r>
    </w:p>
    <w:p w:rsidR="0048799D" w:rsidRPr="00521041" w:rsidRDefault="0048799D" w:rsidP="0048799D">
      <w:pPr>
        <w:spacing w:after="0" w:line="240" w:lineRule="auto"/>
        <w:ind w:left="1440" w:hanging="720"/>
        <w:jc w:val="both"/>
        <w:rPr>
          <w:rFonts w:ascii="Times New Roman" w:hAnsi="Times New Roman" w:cs="Times New Roman"/>
        </w:rPr>
      </w:pPr>
    </w:p>
    <w:p w:rsidR="00F63DC7" w:rsidRDefault="00F63DC7" w:rsidP="0048799D">
      <w:pPr>
        <w:spacing w:after="0" w:line="240" w:lineRule="auto"/>
        <w:ind w:left="1440" w:hanging="720"/>
        <w:jc w:val="both"/>
        <w:rPr>
          <w:rFonts w:ascii="Times New Roman" w:hAnsi="Times New Roman" w:cs="Times New Roman"/>
        </w:rPr>
      </w:pPr>
      <w:r w:rsidRPr="00521041">
        <w:rPr>
          <w:rFonts w:ascii="Times New Roman" w:hAnsi="Times New Roman" w:cs="Times New Roman"/>
        </w:rPr>
        <w:t>1.2.6</w:t>
      </w:r>
      <w:r w:rsidRPr="00521041">
        <w:rPr>
          <w:rFonts w:ascii="Times New Roman" w:hAnsi="Times New Roman" w:cs="Times New Roman"/>
        </w:rPr>
        <w:tab/>
        <w:t xml:space="preserve">I have taken note of the decided cases cited in your objection letter and all cited cases highlighted the need for </w:t>
      </w:r>
      <w:r w:rsidR="00332681" w:rsidRPr="00521041">
        <w:rPr>
          <w:rFonts w:ascii="Times New Roman" w:hAnsi="Times New Roman" w:cs="Times New Roman"/>
        </w:rPr>
        <w:t>fraud, misrepresentation or wil</w:t>
      </w:r>
      <w:r w:rsidRPr="00521041">
        <w:rPr>
          <w:rFonts w:ascii="Times New Roman" w:hAnsi="Times New Roman" w:cs="Times New Roman"/>
        </w:rPr>
        <w:t>ful non-disclosure of facts to obtain in order to allow amending assessments beyond the prescription period, I fully concur with the premise.</w:t>
      </w:r>
    </w:p>
    <w:p w:rsidR="0048799D" w:rsidRPr="00521041" w:rsidRDefault="0048799D" w:rsidP="0048799D">
      <w:pPr>
        <w:spacing w:after="0" w:line="240" w:lineRule="auto"/>
        <w:ind w:left="1440" w:hanging="720"/>
        <w:jc w:val="both"/>
        <w:rPr>
          <w:rFonts w:ascii="Times New Roman" w:hAnsi="Times New Roman" w:cs="Times New Roman"/>
        </w:rPr>
      </w:pPr>
    </w:p>
    <w:p w:rsidR="0047632E" w:rsidRDefault="0047632E" w:rsidP="0048799D">
      <w:pPr>
        <w:spacing w:after="0" w:line="240" w:lineRule="auto"/>
        <w:ind w:left="1440" w:hanging="720"/>
        <w:jc w:val="both"/>
        <w:rPr>
          <w:rFonts w:ascii="Times New Roman" w:hAnsi="Times New Roman" w:cs="Times New Roman"/>
        </w:rPr>
      </w:pPr>
      <w:r w:rsidRPr="00521041">
        <w:rPr>
          <w:rFonts w:ascii="Times New Roman" w:hAnsi="Times New Roman" w:cs="Times New Roman"/>
        </w:rPr>
        <w:t>“1.2.7</w:t>
      </w:r>
      <w:r w:rsidRPr="00521041">
        <w:rPr>
          <w:rFonts w:ascii="Times New Roman" w:hAnsi="Times New Roman" w:cs="Times New Roman"/>
        </w:rPr>
        <w:tab/>
        <w:t>It is my considered view that the improper and u</w:t>
      </w:r>
      <w:r w:rsidR="000E63B6" w:rsidRPr="00521041">
        <w:rPr>
          <w:rFonts w:ascii="Times New Roman" w:hAnsi="Times New Roman" w:cs="Times New Roman"/>
        </w:rPr>
        <w:t>njustified claims by Appellant</w:t>
      </w:r>
      <w:r w:rsidRPr="00521041">
        <w:rPr>
          <w:rFonts w:ascii="Times New Roman" w:hAnsi="Times New Roman" w:cs="Times New Roman"/>
        </w:rPr>
        <w:t xml:space="preserve"> in the income tax returns constitute misrepresentation of facts as highl</w:t>
      </w:r>
      <w:r w:rsidR="000E63B6" w:rsidRPr="00521041">
        <w:rPr>
          <w:rFonts w:ascii="Times New Roman" w:hAnsi="Times New Roman" w:cs="Times New Roman"/>
        </w:rPr>
        <w:t>ighted in 1.2.4 and 1.2.5 above.</w:t>
      </w:r>
    </w:p>
    <w:p w:rsidR="0048799D" w:rsidRPr="00521041" w:rsidRDefault="0048799D" w:rsidP="0048799D">
      <w:pPr>
        <w:spacing w:after="0" w:line="240" w:lineRule="auto"/>
        <w:ind w:left="1440" w:hanging="720"/>
        <w:jc w:val="both"/>
        <w:rPr>
          <w:rFonts w:ascii="Times New Roman" w:hAnsi="Times New Roman" w:cs="Times New Roman"/>
        </w:rPr>
      </w:pPr>
    </w:p>
    <w:p w:rsidR="0047632E" w:rsidRDefault="0047632E" w:rsidP="0048799D">
      <w:pPr>
        <w:spacing w:after="0" w:line="240" w:lineRule="auto"/>
        <w:ind w:left="1440" w:hanging="720"/>
        <w:jc w:val="both"/>
        <w:rPr>
          <w:rFonts w:ascii="Times New Roman" w:hAnsi="Times New Roman" w:cs="Times New Roman"/>
        </w:rPr>
      </w:pPr>
      <w:r w:rsidRPr="00521041">
        <w:rPr>
          <w:rFonts w:ascii="Times New Roman" w:hAnsi="Times New Roman" w:cs="Times New Roman"/>
        </w:rPr>
        <w:t>3.2.2</w:t>
      </w:r>
      <w:r w:rsidR="002659A1" w:rsidRPr="00521041">
        <w:rPr>
          <w:rFonts w:ascii="Times New Roman" w:hAnsi="Times New Roman" w:cs="Times New Roman"/>
        </w:rPr>
        <w:t>:</w:t>
      </w:r>
      <w:r w:rsidR="002659A1" w:rsidRPr="00521041">
        <w:rPr>
          <w:rFonts w:ascii="Times New Roman" w:hAnsi="Times New Roman" w:cs="Times New Roman"/>
        </w:rPr>
        <w:tab/>
      </w:r>
      <w:r w:rsidRPr="00521041">
        <w:rPr>
          <w:rFonts w:ascii="Times New Roman" w:hAnsi="Times New Roman" w:cs="Times New Roman"/>
        </w:rPr>
        <w:t>The prescribed period was opened due to misrepresentation of facts. This therefore warrants the charging of additional tax in terms of s 46 of the Income Tax Act.”</w:t>
      </w:r>
    </w:p>
    <w:p w:rsidR="0048799D" w:rsidRPr="00521041" w:rsidRDefault="0048799D" w:rsidP="0048799D">
      <w:pPr>
        <w:spacing w:after="0" w:line="240" w:lineRule="auto"/>
        <w:ind w:left="1440" w:hanging="720"/>
        <w:jc w:val="both"/>
        <w:rPr>
          <w:rFonts w:ascii="Times New Roman" w:hAnsi="Times New Roman" w:cs="Times New Roman"/>
        </w:rPr>
      </w:pPr>
    </w:p>
    <w:p w:rsidR="007204FB" w:rsidRPr="00521041" w:rsidRDefault="00763A55" w:rsidP="00521041">
      <w:pPr>
        <w:spacing w:after="0" w:line="360" w:lineRule="auto"/>
        <w:ind w:firstLine="720"/>
        <w:jc w:val="both"/>
        <w:rPr>
          <w:rFonts w:ascii="Times New Roman" w:hAnsi="Times New Roman" w:cs="Times New Roman"/>
        </w:rPr>
      </w:pPr>
      <w:r>
        <w:rPr>
          <w:rFonts w:ascii="Times New Roman" w:hAnsi="Times New Roman" w:cs="Times New Roman"/>
          <w:sz w:val="24"/>
          <w:szCs w:val="24"/>
        </w:rPr>
        <w:t>T</w:t>
      </w:r>
      <w:r w:rsidR="007204FB">
        <w:rPr>
          <w:rFonts w:ascii="Times New Roman" w:hAnsi="Times New Roman" w:cs="Times New Roman"/>
          <w:sz w:val="24"/>
          <w:szCs w:val="24"/>
        </w:rPr>
        <w:t xml:space="preserve">he appellant </w:t>
      </w:r>
      <w:r>
        <w:rPr>
          <w:rFonts w:ascii="Times New Roman" w:hAnsi="Times New Roman" w:cs="Times New Roman"/>
          <w:sz w:val="24"/>
          <w:szCs w:val="24"/>
        </w:rPr>
        <w:t xml:space="preserve">averred that it </w:t>
      </w:r>
      <w:r w:rsidR="007204FB">
        <w:rPr>
          <w:rFonts w:ascii="Times New Roman" w:hAnsi="Times New Roman" w:cs="Times New Roman"/>
          <w:sz w:val="24"/>
          <w:szCs w:val="24"/>
        </w:rPr>
        <w:t xml:space="preserve">attached </w:t>
      </w:r>
      <w:r>
        <w:rPr>
          <w:rFonts w:ascii="Times New Roman" w:hAnsi="Times New Roman" w:cs="Times New Roman"/>
          <w:sz w:val="24"/>
          <w:szCs w:val="24"/>
        </w:rPr>
        <w:t xml:space="preserve">to the tax returns </w:t>
      </w:r>
      <w:r w:rsidR="005B5F51">
        <w:rPr>
          <w:rFonts w:ascii="Times New Roman" w:hAnsi="Times New Roman" w:cs="Times New Roman"/>
          <w:sz w:val="24"/>
          <w:szCs w:val="24"/>
        </w:rPr>
        <w:t>the</w:t>
      </w:r>
      <w:r w:rsidR="007204FB">
        <w:rPr>
          <w:rFonts w:ascii="Times New Roman" w:hAnsi="Times New Roman" w:cs="Times New Roman"/>
          <w:sz w:val="24"/>
          <w:szCs w:val="24"/>
        </w:rPr>
        <w:t xml:space="preserve"> financial statements comprising an annual report and an independent auditor’s repor</w:t>
      </w:r>
      <w:r>
        <w:rPr>
          <w:rFonts w:ascii="Times New Roman" w:hAnsi="Times New Roman" w:cs="Times New Roman"/>
          <w:sz w:val="24"/>
          <w:szCs w:val="24"/>
        </w:rPr>
        <w:t xml:space="preserve">t, in which the questioned </w:t>
      </w:r>
      <w:r w:rsidR="005B5F51">
        <w:rPr>
          <w:rFonts w:ascii="Times New Roman" w:hAnsi="Times New Roman" w:cs="Times New Roman"/>
          <w:sz w:val="24"/>
          <w:szCs w:val="24"/>
        </w:rPr>
        <w:t>expenses were enumerated. This was disputed by the respondent. The</w:t>
      </w:r>
      <w:r w:rsidR="007204FB">
        <w:rPr>
          <w:rFonts w:ascii="Times New Roman" w:hAnsi="Times New Roman" w:cs="Times New Roman"/>
          <w:sz w:val="24"/>
          <w:szCs w:val="24"/>
        </w:rPr>
        <w:t xml:space="preserve"> appellant</w:t>
      </w:r>
      <w:r w:rsidR="005B5F51">
        <w:rPr>
          <w:rFonts w:ascii="Times New Roman" w:hAnsi="Times New Roman" w:cs="Times New Roman"/>
          <w:sz w:val="24"/>
          <w:szCs w:val="24"/>
        </w:rPr>
        <w:t xml:space="preserve"> thus asserted in paragraph 6 of its </w:t>
      </w:r>
      <w:r w:rsidR="005B5F51" w:rsidRPr="00521041">
        <w:rPr>
          <w:rFonts w:ascii="Times New Roman" w:hAnsi="Times New Roman" w:cs="Times New Roman"/>
        </w:rPr>
        <w:t>summary of evidence,</w:t>
      </w:r>
      <w:r w:rsidR="007204FB" w:rsidRPr="00521041">
        <w:rPr>
          <w:rFonts w:ascii="Times New Roman" w:hAnsi="Times New Roman" w:cs="Times New Roman"/>
        </w:rPr>
        <w:t xml:space="preserve"> fi</w:t>
      </w:r>
      <w:r w:rsidR="005B5F51" w:rsidRPr="00521041">
        <w:rPr>
          <w:rFonts w:ascii="Times New Roman" w:hAnsi="Times New Roman" w:cs="Times New Roman"/>
        </w:rPr>
        <w:t>led on 29 February 2018,</w:t>
      </w:r>
      <w:r w:rsidR="007204FB" w:rsidRPr="00521041">
        <w:rPr>
          <w:rFonts w:ascii="Times New Roman" w:hAnsi="Times New Roman" w:cs="Times New Roman"/>
        </w:rPr>
        <w:t xml:space="preserve"> that:</w:t>
      </w:r>
    </w:p>
    <w:p w:rsidR="00DD26C3" w:rsidRPr="00521041" w:rsidRDefault="007204FB" w:rsidP="00521041">
      <w:pPr>
        <w:spacing w:after="0" w:line="240" w:lineRule="auto"/>
        <w:ind w:left="720"/>
        <w:jc w:val="both"/>
        <w:rPr>
          <w:rFonts w:ascii="Times New Roman" w:hAnsi="Times New Roman" w:cs="Times New Roman"/>
        </w:rPr>
      </w:pPr>
      <w:r w:rsidRPr="00521041">
        <w:rPr>
          <w:rFonts w:ascii="Times New Roman" w:hAnsi="Times New Roman" w:cs="Times New Roman"/>
        </w:rPr>
        <w:t>“From the appellant’s case and the Commissioner’s case filed of record, respondent has accepted that proof of the inclusion of the aforementioned financial statements cures the allegation of misrepresentation which enti</w:t>
      </w:r>
      <w:r w:rsidR="00616EDF" w:rsidRPr="00521041">
        <w:rPr>
          <w:rFonts w:ascii="Times New Roman" w:hAnsi="Times New Roman" w:cs="Times New Roman"/>
        </w:rPr>
        <w:t>t</w:t>
      </w:r>
      <w:r w:rsidRPr="00521041">
        <w:rPr>
          <w:rFonts w:ascii="Times New Roman" w:hAnsi="Times New Roman" w:cs="Times New Roman"/>
        </w:rPr>
        <w:t>led the respondent to reassess the applicant (sic)</w:t>
      </w:r>
      <w:r w:rsidR="00616EDF" w:rsidRPr="00521041">
        <w:rPr>
          <w:rFonts w:ascii="Times New Roman" w:hAnsi="Times New Roman" w:cs="Times New Roman"/>
        </w:rPr>
        <w:t>.”</w:t>
      </w:r>
    </w:p>
    <w:p w:rsidR="00CC1405" w:rsidRDefault="00CC1405" w:rsidP="00521041">
      <w:pPr>
        <w:spacing w:line="360" w:lineRule="auto"/>
        <w:jc w:val="both"/>
        <w:rPr>
          <w:rFonts w:ascii="Times New Roman" w:hAnsi="Times New Roman" w:cs="Times New Roman"/>
          <w:sz w:val="24"/>
          <w:szCs w:val="24"/>
        </w:rPr>
      </w:pPr>
    </w:p>
    <w:p w:rsidR="00CC1405" w:rsidRDefault="00CC1405"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regards to the first issue, the appellan</w:t>
      </w:r>
      <w:r w:rsidR="00C85324">
        <w:rPr>
          <w:rFonts w:ascii="Times New Roman" w:hAnsi="Times New Roman" w:cs="Times New Roman"/>
          <w:sz w:val="24"/>
          <w:szCs w:val="24"/>
        </w:rPr>
        <w:t>t contended that it had not wil</w:t>
      </w:r>
      <w:r>
        <w:rPr>
          <w:rFonts w:ascii="Times New Roman" w:hAnsi="Times New Roman" w:cs="Times New Roman"/>
          <w:sz w:val="24"/>
          <w:szCs w:val="24"/>
        </w:rPr>
        <w:t xml:space="preserve">fully misrepresented the questioned expenses in each respective tax year while the respondent contended that it had </w:t>
      </w:r>
      <w:r>
        <w:rPr>
          <w:rFonts w:ascii="Times New Roman" w:hAnsi="Times New Roman" w:cs="Times New Roman"/>
          <w:sz w:val="24"/>
          <w:szCs w:val="24"/>
        </w:rPr>
        <w:lastRenderedPageBreak/>
        <w:t xml:space="preserve">actually misrepresented these expenses, as envisaged by proviso (ii) to section 47 (1) of the Income Tax Act. </w:t>
      </w:r>
    </w:p>
    <w:p w:rsidR="00A10037" w:rsidRDefault="00CC1405"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second issue, </w:t>
      </w:r>
      <w:r w:rsidR="00D41D97">
        <w:rPr>
          <w:rFonts w:ascii="Times New Roman" w:hAnsi="Times New Roman" w:cs="Times New Roman"/>
          <w:sz w:val="24"/>
          <w:szCs w:val="24"/>
        </w:rPr>
        <w:t>t</w:t>
      </w:r>
      <w:r w:rsidR="00A10037">
        <w:rPr>
          <w:rFonts w:ascii="Times New Roman" w:hAnsi="Times New Roman" w:cs="Times New Roman"/>
          <w:sz w:val="24"/>
          <w:szCs w:val="24"/>
        </w:rPr>
        <w:t>he appellant contended that the reopening of the assessments was unlawful because the respondent did not</w:t>
      </w:r>
      <w:r w:rsidR="004B62F5">
        <w:rPr>
          <w:rFonts w:ascii="Times New Roman" w:hAnsi="Times New Roman" w:cs="Times New Roman"/>
          <w:sz w:val="24"/>
          <w:szCs w:val="24"/>
        </w:rPr>
        <w:t>,</w:t>
      </w:r>
      <w:r w:rsidR="00A10037">
        <w:rPr>
          <w:rFonts w:ascii="Times New Roman" w:hAnsi="Times New Roman" w:cs="Times New Roman"/>
          <w:sz w:val="24"/>
          <w:szCs w:val="24"/>
        </w:rPr>
        <w:t xml:space="preserve"> </w:t>
      </w:r>
      <w:r w:rsidR="008B1127">
        <w:rPr>
          <w:rFonts w:ascii="Times New Roman" w:hAnsi="Times New Roman" w:cs="Times New Roman"/>
          <w:sz w:val="24"/>
          <w:szCs w:val="24"/>
        </w:rPr>
        <w:t>in the main</w:t>
      </w:r>
      <w:r w:rsidR="004B62F5">
        <w:rPr>
          <w:rFonts w:ascii="Times New Roman" w:hAnsi="Times New Roman" w:cs="Times New Roman"/>
          <w:sz w:val="24"/>
          <w:szCs w:val="24"/>
        </w:rPr>
        <w:t>,</w:t>
      </w:r>
      <w:r w:rsidR="008B1127">
        <w:rPr>
          <w:rFonts w:ascii="Times New Roman" w:hAnsi="Times New Roman" w:cs="Times New Roman"/>
          <w:sz w:val="24"/>
          <w:szCs w:val="24"/>
        </w:rPr>
        <w:t xml:space="preserve"> </w:t>
      </w:r>
      <w:r w:rsidR="00A10037">
        <w:rPr>
          <w:rFonts w:ascii="Times New Roman" w:hAnsi="Times New Roman" w:cs="Times New Roman"/>
          <w:sz w:val="24"/>
          <w:szCs w:val="24"/>
        </w:rPr>
        <w:t xml:space="preserve">justify the reopening of the </w:t>
      </w:r>
      <w:r w:rsidR="004A4A11">
        <w:rPr>
          <w:rFonts w:ascii="Times New Roman" w:hAnsi="Times New Roman" w:cs="Times New Roman"/>
          <w:sz w:val="24"/>
          <w:szCs w:val="24"/>
        </w:rPr>
        <w:t xml:space="preserve">statutorily </w:t>
      </w:r>
      <w:r w:rsidR="00A10037">
        <w:rPr>
          <w:rFonts w:ascii="Times New Roman" w:hAnsi="Times New Roman" w:cs="Times New Roman"/>
          <w:sz w:val="24"/>
          <w:szCs w:val="24"/>
        </w:rPr>
        <w:t xml:space="preserve">prescribed self-assessment </w:t>
      </w:r>
      <w:r w:rsidR="007A5E78">
        <w:rPr>
          <w:rFonts w:ascii="Times New Roman" w:hAnsi="Times New Roman" w:cs="Times New Roman"/>
          <w:sz w:val="24"/>
          <w:szCs w:val="24"/>
        </w:rPr>
        <w:t>returns as required by s 37A (13</w:t>
      </w:r>
      <w:r w:rsidR="00A10037">
        <w:rPr>
          <w:rFonts w:ascii="Times New Roman" w:hAnsi="Times New Roman" w:cs="Times New Roman"/>
          <w:sz w:val="24"/>
          <w:szCs w:val="24"/>
        </w:rPr>
        <w:t xml:space="preserve">) of the Income Tax Act </w:t>
      </w:r>
      <w:r w:rsidR="0065136F">
        <w:rPr>
          <w:rFonts w:ascii="Times New Roman" w:hAnsi="Times New Roman" w:cs="Times New Roman"/>
          <w:sz w:val="24"/>
          <w:szCs w:val="24"/>
        </w:rPr>
        <w:t>before commencing investigations</w:t>
      </w:r>
      <w:r w:rsidR="008B1127">
        <w:rPr>
          <w:rFonts w:ascii="Times New Roman" w:hAnsi="Times New Roman" w:cs="Times New Roman"/>
          <w:sz w:val="24"/>
          <w:szCs w:val="24"/>
        </w:rPr>
        <w:t xml:space="preserve"> alternatively, specify at the time of issuing the amended assessments that they were based on misrepresentation, </w:t>
      </w:r>
      <w:r w:rsidR="00A10037">
        <w:rPr>
          <w:rFonts w:ascii="Times New Roman" w:hAnsi="Times New Roman" w:cs="Times New Roman"/>
          <w:sz w:val="24"/>
          <w:szCs w:val="24"/>
        </w:rPr>
        <w:t>but only did so as an afterthought in the determination to the objection.</w:t>
      </w:r>
      <w:r w:rsidR="00D41D97">
        <w:rPr>
          <w:rFonts w:ascii="Times New Roman" w:hAnsi="Times New Roman" w:cs="Times New Roman"/>
          <w:sz w:val="24"/>
          <w:szCs w:val="24"/>
        </w:rPr>
        <w:t xml:space="preserve"> The respondent made the contrary contention that the </w:t>
      </w:r>
      <w:r w:rsidR="004449AC">
        <w:rPr>
          <w:rFonts w:ascii="Times New Roman" w:hAnsi="Times New Roman" w:cs="Times New Roman"/>
          <w:sz w:val="24"/>
          <w:szCs w:val="24"/>
        </w:rPr>
        <w:t>reasons for reopening the assessments were provided to the respo</w:t>
      </w:r>
      <w:r w:rsidR="007A5E78">
        <w:rPr>
          <w:rFonts w:ascii="Times New Roman" w:hAnsi="Times New Roman" w:cs="Times New Roman"/>
          <w:sz w:val="24"/>
          <w:szCs w:val="24"/>
        </w:rPr>
        <w:t>ndent at the point of contact at</w:t>
      </w:r>
      <w:r w:rsidR="004449AC">
        <w:rPr>
          <w:rFonts w:ascii="Times New Roman" w:hAnsi="Times New Roman" w:cs="Times New Roman"/>
          <w:sz w:val="24"/>
          <w:szCs w:val="24"/>
        </w:rPr>
        <w:t xml:space="preserve"> the commencement of the investigations and in the detailed letter of 8 November 2016, prior to both the amended assessments of 6 January 2017, and the further amended assessments of 10 October 2017.</w:t>
      </w:r>
    </w:p>
    <w:p w:rsidR="007D6FC6" w:rsidRDefault="007D6FC6" w:rsidP="00521041">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Issues</w:t>
      </w:r>
    </w:p>
    <w:p w:rsidR="007D6FC6" w:rsidRDefault="007D6FC6" w:rsidP="0052104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or not there was any misrepresentation entitling the respondent to reassess the appellant after the expiry of the six year prescription period?</w:t>
      </w:r>
    </w:p>
    <w:p w:rsidR="007D6FC6" w:rsidRDefault="007D6FC6" w:rsidP="0052104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what stage is the respondent legally obliged to communicate to the appellant that it is reassessing the appellant </w:t>
      </w:r>
      <w:r w:rsidR="00B4040A">
        <w:rPr>
          <w:rFonts w:ascii="Times New Roman" w:hAnsi="Times New Roman" w:cs="Times New Roman"/>
          <w:sz w:val="24"/>
          <w:szCs w:val="24"/>
        </w:rPr>
        <w:t>on account of misrepresentation?</w:t>
      </w:r>
    </w:p>
    <w:p w:rsidR="00F6535A" w:rsidRDefault="00F6535A" w:rsidP="00521041">
      <w:pPr>
        <w:spacing w:after="0" w:line="360" w:lineRule="auto"/>
        <w:jc w:val="both"/>
        <w:rPr>
          <w:rFonts w:ascii="Times New Roman" w:hAnsi="Times New Roman" w:cs="Times New Roman"/>
          <w:sz w:val="24"/>
          <w:szCs w:val="24"/>
          <w:u w:val="single"/>
        </w:rPr>
      </w:pPr>
      <w:r w:rsidRPr="00F6535A">
        <w:rPr>
          <w:rFonts w:ascii="Times New Roman" w:hAnsi="Times New Roman" w:cs="Times New Roman"/>
          <w:sz w:val="24"/>
          <w:szCs w:val="24"/>
          <w:u w:val="single"/>
        </w:rPr>
        <w:t>Determination of the issues</w:t>
      </w:r>
    </w:p>
    <w:p w:rsidR="0031092E" w:rsidRPr="0031092E" w:rsidRDefault="0031092E" w:rsidP="00521041">
      <w:pPr>
        <w:spacing w:after="0" w:line="360" w:lineRule="auto"/>
        <w:jc w:val="both"/>
        <w:rPr>
          <w:rFonts w:ascii="Times New Roman" w:hAnsi="Times New Roman" w:cs="Times New Roman"/>
          <w:i/>
          <w:sz w:val="24"/>
          <w:szCs w:val="24"/>
        </w:rPr>
      </w:pPr>
      <w:r w:rsidRPr="0031092E">
        <w:rPr>
          <w:rFonts w:ascii="Times New Roman" w:hAnsi="Times New Roman" w:cs="Times New Roman"/>
          <w:i/>
          <w:sz w:val="24"/>
          <w:szCs w:val="24"/>
        </w:rPr>
        <w:t>At what stage is the respondent legally obliged to communicate to the appellant that it is reassessing the appellant on account of misrepresentation.</w:t>
      </w:r>
    </w:p>
    <w:p w:rsidR="007F2326" w:rsidRDefault="00B35412" w:rsidP="0052104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it convenient to determine the second issue first in view of the contention by the appellant that the re-assessments subsequent to the self-assessments of 2009 to 2014 were all unlawful and invalid for failure to abide by the peremptory provisions of s 37A (13) of the Income Tax Act </w:t>
      </w:r>
      <w:r w:rsidRPr="00783F26">
        <w:rPr>
          <w:rFonts w:ascii="Times New Roman" w:hAnsi="Times New Roman" w:cs="Times New Roman"/>
          <w:i/>
          <w:sz w:val="24"/>
          <w:szCs w:val="24"/>
        </w:rPr>
        <w:t>[Chapter 23:06].</w:t>
      </w:r>
      <w:r>
        <w:rPr>
          <w:rFonts w:ascii="Times New Roman" w:hAnsi="Times New Roman" w:cs="Times New Roman"/>
          <w:sz w:val="24"/>
          <w:szCs w:val="24"/>
        </w:rPr>
        <w:t xml:space="preserve"> Self-assessments were introduced in 2006 and inserted in the Income Tax Act by Act No. 12 of 2006</w:t>
      </w:r>
      <w:r w:rsidR="001C4633">
        <w:rPr>
          <w:rFonts w:ascii="Times New Roman" w:hAnsi="Times New Roman" w:cs="Times New Roman"/>
          <w:sz w:val="24"/>
          <w:szCs w:val="24"/>
        </w:rPr>
        <w:t xml:space="preserve">. In terms of s 37A (1), the Commissioner-General publishes a notice whereby he calls upon specified taxpayers to submit income tax assessments by a specified date within four months of the calendar year tax end. </w:t>
      </w:r>
      <w:r w:rsidR="002D1B3A">
        <w:rPr>
          <w:rFonts w:ascii="Times New Roman" w:hAnsi="Times New Roman" w:cs="Times New Roman"/>
          <w:sz w:val="24"/>
          <w:szCs w:val="24"/>
        </w:rPr>
        <w:t>The assessment is furnished in a prescribed form and the tax payer computes the income tax or refund of income tax payable</w:t>
      </w:r>
      <w:r w:rsidR="002218F5">
        <w:rPr>
          <w:rFonts w:ascii="Times New Roman" w:hAnsi="Times New Roman" w:cs="Times New Roman"/>
          <w:sz w:val="24"/>
          <w:szCs w:val="24"/>
        </w:rPr>
        <w:t>.</w:t>
      </w:r>
      <w:r w:rsidR="002D1B3A">
        <w:rPr>
          <w:rFonts w:ascii="Times New Roman" w:hAnsi="Times New Roman" w:cs="Times New Roman"/>
          <w:sz w:val="24"/>
          <w:szCs w:val="24"/>
        </w:rPr>
        <w:t xml:space="preserve"> </w:t>
      </w:r>
      <w:r w:rsidR="003068D7">
        <w:rPr>
          <w:rFonts w:ascii="Times New Roman" w:hAnsi="Times New Roman" w:cs="Times New Roman"/>
          <w:sz w:val="24"/>
          <w:szCs w:val="24"/>
        </w:rPr>
        <w:t xml:space="preserve">In terms of subsection (5), the taxpayer is required to affirm and declare by his or her or its signature the </w:t>
      </w:r>
      <w:r w:rsidR="002218F5">
        <w:rPr>
          <w:rFonts w:ascii="Times New Roman" w:hAnsi="Times New Roman" w:cs="Times New Roman"/>
          <w:sz w:val="24"/>
          <w:szCs w:val="24"/>
        </w:rPr>
        <w:t>completeness and</w:t>
      </w:r>
      <w:r w:rsidR="003068D7">
        <w:rPr>
          <w:rFonts w:ascii="Times New Roman" w:hAnsi="Times New Roman" w:cs="Times New Roman"/>
          <w:sz w:val="24"/>
          <w:szCs w:val="24"/>
        </w:rPr>
        <w:t xml:space="preserve"> </w:t>
      </w:r>
      <w:r w:rsidR="00E4343F">
        <w:rPr>
          <w:rFonts w:ascii="Times New Roman" w:hAnsi="Times New Roman" w:cs="Times New Roman"/>
          <w:sz w:val="24"/>
          <w:szCs w:val="24"/>
        </w:rPr>
        <w:t xml:space="preserve">accuracy </w:t>
      </w:r>
      <w:r w:rsidR="003068D7">
        <w:rPr>
          <w:rFonts w:ascii="Times New Roman" w:hAnsi="Times New Roman" w:cs="Times New Roman"/>
          <w:sz w:val="24"/>
          <w:szCs w:val="24"/>
        </w:rPr>
        <w:t>of the information recorded in the self-assessment form.</w:t>
      </w:r>
      <w:r w:rsidR="007C7B59">
        <w:rPr>
          <w:rFonts w:ascii="Times New Roman" w:hAnsi="Times New Roman" w:cs="Times New Roman"/>
          <w:sz w:val="24"/>
          <w:szCs w:val="24"/>
        </w:rPr>
        <w:t xml:space="preserve"> Subs (10) deems the computed amount to be the tax payable on the disclosed taxable income </w:t>
      </w:r>
      <w:r w:rsidR="005829A6">
        <w:rPr>
          <w:rFonts w:ascii="Times New Roman" w:hAnsi="Times New Roman" w:cs="Times New Roman"/>
          <w:sz w:val="24"/>
          <w:szCs w:val="24"/>
        </w:rPr>
        <w:t xml:space="preserve">in the </w:t>
      </w:r>
      <w:r w:rsidR="002218F5">
        <w:rPr>
          <w:rFonts w:ascii="Times New Roman" w:hAnsi="Times New Roman" w:cs="Times New Roman"/>
          <w:sz w:val="24"/>
          <w:szCs w:val="24"/>
        </w:rPr>
        <w:t>self-</w:t>
      </w:r>
      <w:r w:rsidR="002218F5">
        <w:rPr>
          <w:rFonts w:ascii="Times New Roman" w:hAnsi="Times New Roman" w:cs="Times New Roman"/>
          <w:sz w:val="24"/>
          <w:szCs w:val="24"/>
        </w:rPr>
        <w:lastRenderedPageBreak/>
        <w:t>assessment return, which must be</w:t>
      </w:r>
      <w:r w:rsidR="005829A6">
        <w:rPr>
          <w:rFonts w:ascii="Times New Roman" w:hAnsi="Times New Roman" w:cs="Times New Roman"/>
          <w:sz w:val="24"/>
          <w:szCs w:val="24"/>
        </w:rPr>
        <w:t xml:space="preserve"> accompanied by the relevant </w:t>
      </w:r>
      <w:r w:rsidR="002218F5">
        <w:rPr>
          <w:rFonts w:ascii="Times New Roman" w:hAnsi="Times New Roman" w:cs="Times New Roman"/>
          <w:sz w:val="24"/>
          <w:szCs w:val="24"/>
        </w:rPr>
        <w:t xml:space="preserve">supporting </w:t>
      </w:r>
      <w:r w:rsidR="005829A6">
        <w:rPr>
          <w:rFonts w:ascii="Times New Roman" w:hAnsi="Times New Roman" w:cs="Times New Roman"/>
          <w:sz w:val="24"/>
          <w:szCs w:val="24"/>
        </w:rPr>
        <w:t>documents</w:t>
      </w:r>
      <w:r w:rsidR="002218F5">
        <w:rPr>
          <w:rFonts w:ascii="Times New Roman" w:hAnsi="Times New Roman" w:cs="Times New Roman"/>
          <w:sz w:val="24"/>
          <w:szCs w:val="24"/>
        </w:rPr>
        <w:t xml:space="preserve"> of the computations</w:t>
      </w:r>
      <w:r w:rsidR="005829A6">
        <w:rPr>
          <w:rFonts w:ascii="Times New Roman" w:hAnsi="Times New Roman" w:cs="Times New Roman"/>
          <w:sz w:val="24"/>
          <w:szCs w:val="24"/>
        </w:rPr>
        <w:t xml:space="preserve">. </w:t>
      </w:r>
      <w:r w:rsidR="002218F5">
        <w:rPr>
          <w:rFonts w:ascii="Times New Roman" w:hAnsi="Times New Roman" w:cs="Times New Roman"/>
          <w:sz w:val="24"/>
          <w:szCs w:val="24"/>
        </w:rPr>
        <w:t>B</w:t>
      </w:r>
      <w:r w:rsidR="00681534">
        <w:rPr>
          <w:rFonts w:ascii="Times New Roman" w:hAnsi="Times New Roman" w:cs="Times New Roman"/>
          <w:sz w:val="24"/>
          <w:szCs w:val="24"/>
        </w:rPr>
        <w:t>y virtue of subs (11)</w:t>
      </w:r>
      <w:r w:rsidR="00BE76EE">
        <w:rPr>
          <w:rFonts w:ascii="Times New Roman" w:hAnsi="Times New Roman" w:cs="Times New Roman"/>
          <w:sz w:val="24"/>
          <w:szCs w:val="24"/>
        </w:rPr>
        <w:t>,</w:t>
      </w:r>
      <w:r w:rsidR="00681534">
        <w:rPr>
          <w:rFonts w:ascii="Times New Roman" w:hAnsi="Times New Roman" w:cs="Times New Roman"/>
          <w:sz w:val="24"/>
          <w:szCs w:val="24"/>
        </w:rPr>
        <w:t xml:space="preserve"> the self-assessment return furnished in terms of subs (1) is ascribed to the Commissioner-General</w:t>
      </w:r>
      <w:r w:rsidR="002218F5">
        <w:rPr>
          <w:rFonts w:ascii="Times New Roman" w:hAnsi="Times New Roman" w:cs="Times New Roman"/>
          <w:sz w:val="24"/>
          <w:szCs w:val="24"/>
        </w:rPr>
        <w:t xml:space="preserve"> as at the lat</w:t>
      </w:r>
      <w:r w:rsidR="00D343C7">
        <w:rPr>
          <w:rFonts w:ascii="Times New Roman" w:hAnsi="Times New Roman" w:cs="Times New Roman"/>
          <w:sz w:val="24"/>
          <w:szCs w:val="24"/>
        </w:rPr>
        <w:t>er of either the due date or actual date of the furnishing of the return</w:t>
      </w:r>
      <w:r w:rsidR="00681534">
        <w:rPr>
          <w:rFonts w:ascii="Times New Roman" w:hAnsi="Times New Roman" w:cs="Times New Roman"/>
          <w:sz w:val="24"/>
          <w:szCs w:val="24"/>
        </w:rPr>
        <w:t xml:space="preserve">. </w:t>
      </w:r>
    </w:p>
    <w:p w:rsidR="00B35412" w:rsidRDefault="00D63705" w:rsidP="0052104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resolution of the second issue revolves upon the construction of subs (12) and (13) of s 37A of the Act, which provide that:</w:t>
      </w:r>
    </w:p>
    <w:p w:rsidR="00DB0F35" w:rsidRPr="00521041" w:rsidRDefault="00D63705" w:rsidP="00521041">
      <w:pPr>
        <w:autoSpaceDE w:val="0"/>
        <w:autoSpaceDN w:val="0"/>
        <w:adjustRightInd w:val="0"/>
        <w:spacing w:after="0" w:line="360" w:lineRule="auto"/>
        <w:ind w:left="1440" w:hanging="720"/>
        <w:jc w:val="both"/>
        <w:rPr>
          <w:rFonts w:ascii="Times New Roman" w:hAnsi="Times New Roman" w:cs="Times New Roman"/>
          <w:u w:val="single"/>
        </w:rPr>
      </w:pPr>
      <w:r w:rsidRPr="00521041">
        <w:rPr>
          <w:rFonts w:ascii="Times New Roman" w:hAnsi="Times New Roman" w:cs="Times New Roman"/>
        </w:rPr>
        <w:t>“</w:t>
      </w:r>
      <w:r w:rsidR="00DB0F35" w:rsidRPr="00521041">
        <w:rPr>
          <w:rFonts w:ascii="Times New Roman" w:hAnsi="Times New Roman" w:cs="Times New Roman"/>
        </w:rPr>
        <w:t xml:space="preserve">(12) </w:t>
      </w:r>
      <w:r w:rsidR="00DB0F35" w:rsidRPr="00521041">
        <w:rPr>
          <w:rFonts w:ascii="Times New Roman" w:hAnsi="Times New Roman" w:cs="Times New Roman"/>
        </w:rPr>
        <w:tab/>
      </w:r>
      <w:r w:rsidR="00DB0F35" w:rsidRPr="00521041">
        <w:rPr>
          <w:rFonts w:ascii="Times New Roman" w:hAnsi="Times New Roman" w:cs="Times New Roman"/>
          <w:u w:val="single"/>
        </w:rPr>
        <w:t>Notwithstanding subsection (1), the Commissioner-General may make an assessment under section 46 and 47 on a specified taxpayer in any case in which the Commissioner-General considers necessary</w:t>
      </w:r>
      <w:r w:rsidR="00DB0F35" w:rsidRPr="00521041">
        <w:rPr>
          <w:rFonts w:ascii="Times New Roman" w:hAnsi="Times New Roman" w:cs="Times New Roman"/>
        </w:rPr>
        <w:t>.</w:t>
      </w:r>
    </w:p>
    <w:p w:rsidR="00DB0F35" w:rsidRPr="00521041" w:rsidRDefault="007734AF" w:rsidP="00521041">
      <w:pPr>
        <w:autoSpaceDE w:val="0"/>
        <w:autoSpaceDN w:val="0"/>
        <w:adjustRightInd w:val="0"/>
        <w:spacing w:after="0" w:line="360" w:lineRule="auto"/>
        <w:ind w:left="1440" w:hanging="720"/>
        <w:jc w:val="both"/>
        <w:rPr>
          <w:rFonts w:ascii="Times New Roman" w:hAnsi="Times New Roman" w:cs="Times New Roman"/>
        </w:rPr>
      </w:pPr>
      <w:r w:rsidRPr="00521041">
        <w:rPr>
          <w:rFonts w:ascii="Times New Roman" w:hAnsi="Times New Roman" w:cs="Times New Roman"/>
        </w:rPr>
        <w:t xml:space="preserve">  </w:t>
      </w:r>
      <w:r w:rsidR="00DB0F35" w:rsidRPr="00521041">
        <w:rPr>
          <w:rFonts w:ascii="Times New Roman" w:hAnsi="Times New Roman" w:cs="Times New Roman"/>
        </w:rPr>
        <w:t xml:space="preserve">(13) </w:t>
      </w:r>
      <w:r w:rsidR="00DB0F35" w:rsidRPr="00521041">
        <w:rPr>
          <w:rFonts w:ascii="Times New Roman" w:hAnsi="Times New Roman" w:cs="Times New Roman"/>
        </w:rPr>
        <w:tab/>
      </w:r>
      <w:r w:rsidR="00DB0F35" w:rsidRPr="00521041">
        <w:rPr>
          <w:rFonts w:ascii="Times New Roman" w:hAnsi="Times New Roman" w:cs="Times New Roman"/>
          <w:u w:val="single"/>
        </w:rPr>
        <w:t>Where the Commissioner-General raises an assessment in terms of subsection (12), the Commissioner-General shall include with the assessment a statement of reasons as to why the Commissioner-General considered it necessary to make such an assessment</w:t>
      </w:r>
      <w:r w:rsidR="00DB0F35" w:rsidRPr="00521041">
        <w:rPr>
          <w:rFonts w:ascii="Times New Roman" w:hAnsi="Times New Roman" w:cs="Times New Roman"/>
        </w:rPr>
        <w:t>.</w:t>
      </w:r>
      <w:r w:rsidR="00521041">
        <w:rPr>
          <w:rFonts w:ascii="Times New Roman" w:hAnsi="Times New Roman" w:cs="Times New Roman"/>
        </w:rPr>
        <w:t>”</w:t>
      </w:r>
    </w:p>
    <w:p w:rsidR="00DB0F35" w:rsidRPr="00005C2B" w:rsidRDefault="00DB0F35" w:rsidP="00521041">
      <w:pPr>
        <w:autoSpaceDE w:val="0"/>
        <w:autoSpaceDN w:val="0"/>
        <w:adjustRightInd w:val="0"/>
        <w:spacing w:after="0" w:line="360" w:lineRule="auto"/>
        <w:ind w:left="720" w:firstLine="720"/>
        <w:jc w:val="both"/>
        <w:rPr>
          <w:rFonts w:ascii="Times New Roman" w:hAnsi="Times New Roman" w:cs="Times New Roman"/>
          <w:sz w:val="21"/>
          <w:szCs w:val="21"/>
        </w:rPr>
      </w:pPr>
    </w:p>
    <w:p w:rsidR="00863D4B" w:rsidRDefault="00E30592" w:rsidP="0052104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4A4AA6">
        <w:rPr>
          <w:rFonts w:ascii="Times New Roman" w:hAnsi="Times New Roman" w:cs="Times New Roman"/>
          <w:sz w:val="24"/>
          <w:szCs w:val="24"/>
        </w:rPr>
        <w:t xml:space="preserve">t is apparent </w:t>
      </w:r>
      <w:r>
        <w:rPr>
          <w:rFonts w:ascii="Times New Roman" w:hAnsi="Times New Roman" w:cs="Times New Roman"/>
          <w:sz w:val="24"/>
          <w:szCs w:val="24"/>
        </w:rPr>
        <w:t>th</w:t>
      </w:r>
      <w:r w:rsidR="00061F01">
        <w:rPr>
          <w:rFonts w:ascii="Times New Roman" w:hAnsi="Times New Roman" w:cs="Times New Roman"/>
          <w:sz w:val="24"/>
          <w:szCs w:val="24"/>
        </w:rPr>
        <w:t>at th</w:t>
      </w:r>
      <w:r>
        <w:rPr>
          <w:rFonts w:ascii="Times New Roman" w:hAnsi="Times New Roman" w:cs="Times New Roman"/>
          <w:sz w:val="24"/>
          <w:szCs w:val="24"/>
        </w:rPr>
        <w:t xml:space="preserve">e Commissioner-General is empowered </w:t>
      </w:r>
      <w:r w:rsidR="004A4AA6">
        <w:rPr>
          <w:rFonts w:ascii="Times New Roman" w:hAnsi="Times New Roman" w:cs="Times New Roman"/>
          <w:sz w:val="24"/>
          <w:szCs w:val="24"/>
        </w:rPr>
        <w:t xml:space="preserve">by subs (12) </w:t>
      </w:r>
      <w:r>
        <w:rPr>
          <w:rFonts w:ascii="Times New Roman" w:hAnsi="Times New Roman" w:cs="Times New Roman"/>
          <w:sz w:val="24"/>
          <w:szCs w:val="24"/>
        </w:rPr>
        <w:t xml:space="preserve">to revisit the self-assessment, which he is deemed to have made, if the provisions of either s 46 or s 47 of the Act are met. Section 46 is designed to </w:t>
      </w:r>
      <w:r w:rsidR="008C2800">
        <w:rPr>
          <w:rFonts w:ascii="Times New Roman" w:hAnsi="Times New Roman" w:cs="Times New Roman"/>
          <w:sz w:val="24"/>
          <w:szCs w:val="24"/>
        </w:rPr>
        <w:t xml:space="preserve">whip into line a taxpayer who has under paid tax by defaulting to render a return, or omitting a taxable amount from the return or </w:t>
      </w:r>
      <w:r w:rsidR="00044BDD">
        <w:rPr>
          <w:rFonts w:ascii="Times New Roman" w:hAnsi="Times New Roman" w:cs="Times New Roman"/>
          <w:sz w:val="24"/>
          <w:szCs w:val="24"/>
        </w:rPr>
        <w:t>inserting an incorrect amo</w:t>
      </w:r>
      <w:r w:rsidR="00C45FEC">
        <w:rPr>
          <w:rFonts w:ascii="Times New Roman" w:hAnsi="Times New Roman" w:cs="Times New Roman"/>
          <w:sz w:val="24"/>
          <w:szCs w:val="24"/>
        </w:rPr>
        <w:t>unt in the return, or providing</w:t>
      </w:r>
      <w:r w:rsidR="00044BDD">
        <w:rPr>
          <w:rFonts w:ascii="Times New Roman" w:hAnsi="Times New Roman" w:cs="Times New Roman"/>
          <w:sz w:val="24"/>
          <w:szCs w:val="24"/>
        </w:rPr>
        <w:t xml:space="preserve"> </w:t>
      </w:r>
      <w:r w:rsidR="00061F01">
        <w:rPr>
          <w:rFonts w:ascii="Times New Roman" w:hAnsi="Times New Roman" w:cs="Times New Roman"/>
          <w:sz w:val="24"/>
          <w:szCs w:val="24"/>
        </w:rPr>
        <w:t xml:space="preserve">incorrect </w:t>
      </w:r>
      <w:r w:rsidR="00044BDD">
        <w:rPr>
          <w:rFonts w:ascii="Times New Roman" w:hAnsi="Times New Roman" w:cs="Times New Roman"/>
          <w:sz w:val="24"/>
          <w:szCs w:val="24"/>
        </w:rPr>
        <w:t>fact</w:t>
      </w:r>
      <w:r w:rsidR="00C45FEC">
        <w:rPr>
          <w:rFonts w:ascii="Times New Roman" w:hAnsi="Times New Roman" w:cs="Times New Roman"/>
          <w:sz w:val="24"/>
          <w:szCs w:val="24"/>
        </w:rPr>
        <w:t>s</w:t>
      </w:r>
      <w:r w:rsidR="00044BDD">
        <w:rPr>
          <w:rFonts w:ascii="Times New Roman" w:hAnsi="Times New Roman" w:cs="Times New Roman"/>
          <w:sz w:val="24"/>
          <w:szCs w:val="24"/>
        </w:rPr>
        <w:t xml:space="preserve"> </w:t>
      </w:r>
      <w:r w:rsidR="00C45FEC">
        <w:rPr>
          <w:rFonts w:ascii="Times New Roman" w:hAnsi="Times New Roman" w:cs="Times New Roman"/>
          <w:sz w:val="24"/>
          <w:szCs w:val="24"/>
        </w:rPr>
        <w:t>or</w:t>
      </w:r>
      <w:r w:rsidR="00044BDD">
        <w:rPr>
          <w:rFonts w:ascii="Times New Roman" w:hAnsi="Times New Roman" w:cs="Times New Roman"/>
          <w:sz w:val="24"/>
          <w:szCs w:val="24"/>
        </w:rPr>
        <w:t xml:space="preserve"> </w:t>
      </w:r>
      <w:r w:rsidR="00061F01">
        <w:rPr>
          <w:rFonts w:ascii="Times New Roman" w:hAnsi="Times New Roman" w:cs="Times New Roman"/>
          <w:sz w:val="24"/>
          <w:szCs w:val="24"/>
        </w:rPr>
        <w:t xml:space="preserve">incorrect </w:t>
      </w:r>
      <w:r w:rsidR="00044BDD">
        <w:rPr>
          <w:rFonts w:ascii="Times New Roman" w:hAnsi="Times New Roman" w:cs="Times New Roman"/>
          <w:sz w:val="24"/>
          <w:szCs w:val="24"/>
        </w:rPr>
        <w:t>particu</w:t>
      </w:r>
      <w:r w:rsidR="00C45FEC">
        <w:rPr>
          <w:rFonts w:ascii="Times New Roman" w:hAnsi="Times New Roman" w:cs="Times New Roman"/>
          <w:sz w:val="24"/>
          <w:szCs w:val="24"/>
        </w:rPr>
        <w:t>lars.</w:t>
      </w:r>
      <w:r w:rsidR="001869EE">
        <w:rPr>
          <w:rFonts w:ascii="Times New Roman" w:hAnsi="Times New Roman" w:cs="Times New Roman"/>
          <w:sz w:val="24"/>
          <w:szCs w:val="24"/>
        </w:rPr>
        <w:t xml:space="preserve"> </w:t>
      </w:r>
      <w:r w:rsidR="00AA53BB">
        <w:rPr>
          <w:rFonts w:ascii="Times New Roman" w:hAnsi="Times New Roman" w:cs="Times New Roman"/>
          <w:sz w:val="24"/>
          <w:szCs w:val="24"/>
        </w:rPr>
        <w:t>A</w:t>
      </w:r>
      <w:r w:rsidR="00F12B30">
        <w:rPr>
          <w:rFonts w:ascii="Times New Roman" w:hAnsi="Times New Roman" w:cs="Times New Roman"/>
          <w:sz w:val="24"/>
          <w:szCs w:val="24"/>
        </w:rPr>
        <w:t>gain, s 47 empowers the Commi</w:t>
      </w:r>
      <w:r w:rsidR="004E0383">
        <w:rPr>
          <w:rFonts w:ascii="Times New Roman" w:hAnsi="Times New Roman" w:cs="Times New Roman"/>
          <w:sz w:val="24"/>
          <w:szCs w:val="24"/>
        </w:rPr>
        <w:t>ssioner to reopen an assessment</w:t>
      </w:r>
      <w:r w:rsidR="00061F01">
        <w:rPr>
          <w:rFonts w:ascii="Times New Roman" w:hAnsi="Times New Roman" w:cs="Times New Roman"/>
          <w:sz w:val="24"/>
          <w:szCs w:val="24"/>
        </w:rPr>
        <w:t xml:space="preserve"> in which the incorrect amount of tax has been paid</w:t>
      </w:r>
      <w:r w:rsidR="004E0383">
        <w:rPr>
          <w:rFonts w:ascii="Times New Roman" w:hAnsi="Times New Roman" w:cs="Times New Roman"/>
          <w:sz w:val="24"/>
          <w:szCs w:val="24"/>
        </w:rPr>
        <w:t xml:space="preserve">. In both instances, the Commissioner must </w:t>
      </w:r>
      <w:r w:rsidR="006A2883">
        <w:rPr>
          <w:rFonts w:ascii="Times New Roman" w:hAnsi="Times New Roman" w:cs="Times New Roman"/>
          <w:sz w:val="24"/>
          <w:szCs w:val="24"/>
        </w:rPr>
        <w:t xml:space="preserve">in addition to the underpaid principal tax </w:t>
      </w:r>
      <w:r w:rsidR="004E0383">
        <w:rPr>
          <w:rFonts w:ascii="Times New Roman" w:hAnsi="Times New Roman" w:cs="Times New Roman"/>
          <w:sz w:val="24"/>
          <w:szCs w:val="24"/>
        </w:rPr>
        <w:t xml:space="preserve">impose a dollar for dollar penalty unless he is satisfied that the taxpayer was not motivated by an intention to avoid or evade the payment of the correct </w:t>
      </w:r>
      <w:r w:rsidR="00061F01">
        <w:rPr>
          <w:rFonts w:ascii="Times New Roman" w:hAnsi="Times New Roman" w:cs="Times New Roman"/>
          <w:sz w:val="24"/>
          <w:szCs w:val="24"/>
        </w:rPr>
        <w:t xml:space="preserve">amount of </w:t>
      </w:r>
      <w:r w:rsidR="004E0383">
        <w:rPr>
          <w:rFonts w:ascii="Times New Roman" w:hAnsi="Times New Roman" w:cs="Times New Roman"/>
          <w:sz w:val="24"/>
          <w:szCs w:val="24"/>
        </w:rPr>
        <w:t>tax</w:t>
      </w:r>
      <w:r w:rsidR="00061F01">
        <w:rPr>
          <w:rFonts w:ascii="Times New Roman" w:hAnsi="Times New Roman" w:cs="Times New Roman"/>
          <w:sz w:val="24"/>
          <w:szCs w:val="24"/>
        </w:rPr>
        <w:t xml:space="preserve"> chargeable</w:t>
      </w:r>
      <w:r w:rsidR="004E0383">
        <w:rPr>
          <w:rFonts w:ascii="Times New Roman" w:hAnsi="Times New Roman" w:cs="Times New Roman"/>
          <w:sz w:val="24"/>
          <w:szCs w:val="24"/>
        </w:rPr>
        <w:t>.</w:t>
      </w:r>
    </w:p>
    <w:p w:rsidR="002F56DD" w:rsidRDefault="004A4AA6" w:rsidP="0052104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Subs (13), in peremptory language, requires the Commissioner-General to provide written reasons for re-opening the initial assessment with the </w:t>
      </w:r>
      <w:r w:rsidR="009602D9">
        <w:rPr>
          <w:rFonts w:ascii="Times New Roman" w:hAnsi="Times New Roman" w:cs="Times New Roman"/>
          <w:sz w:val="24"/>
          <w:szCs w:val="24"/>
        </w:rPr>
        <w:t xml:space="preserve">amended </w:t>
      </w:r>
      <w:r w:rsidR="000001D5">
        <w:rPr>
          <w:rFonts w:ascii="Times New Roman" w:hAnsi="Times New Roman" w:cs="Times New Roman"/>
          <w:sz w:val="24"/>
          <w:szCs w:val="24"/>
        </w:rPr>
        <w:t>assessment. As worded, the subsection does not require the Commissioner to specifically state that he is re-opening the prescribed</w:t>
      </w:r>
      <w:r w:rsidR="00375078">
        <w:rPr>
          <w:rFonts w:ascii="Times New Roman" w:hAnsi="Times New Roman" w:cs="Times New Roman"/>
          <w:sz w:val="24"/>
          <w:szCs w:val="24"/>
        </w:rPr>
        <w:t xml:space="preserve"> </w:t>
      </w:r>
      <w:r w:rsidR="000001D5">
        <w:rPr>
          <w:rFonts w:ascii="Times New Roman" w:hAnsi="Times New Roman" w:cs="Times New Roman"/>
          <w:sz w:val="24"/>
          <w:szCs w:val="24"/>
        </w:rPr>
        <w:t>self-assessment by reason of either fraud, or misrepresentation or w</w:t>
      </w:r>
      <w:r w:rsidR="00282FCB">
        <w:rPr>
          <w:rFonts w:ascii="Times New Roman" w:hAnsi="Times New Roman" w:cs="Times New Roman"/>
          <w:sz w:val="24"/>
          <w:szCs w:val="24"/>
        </w:rPr>
        <w:t>il</w:t>
      </w:r>
      <w:r w:rsidR="00767ECE">
        <w:rPr>
          <w:rFonts w:ascii="Times New Roman" w:hAnsi="Times New Roman" w:cs="Times New Roman"/>
          <w:sz w:val="24"/>
          <w:szCs w:val="24"/>
        </w:rPr>
        <w:t xml:space="preserve">ful non-disclosure of facts. In my view, the provision of reasons is an internationally recognized administrative best practice which </w:t>
      </w:r>
      <w:r w:rsidR="00F90324">
        <w:rPr>
          <w:rFonts w:ascii="Times New Roman" w:hAnsi="Times New Roman" w:cs="Times New Roman"/>
          <w:sz w:val="24"/>
          <w:szCs w:val="24"/>
        </w:rPr>
        <w:t xml:space="preserve">not only protects the taxpayer from arbitrary action but also affords him the opportunity to challenge the decision from an informed position. </w:t>
      </w:r>
      <w:r w:rsidR="00863D4B">
        <w:rPr>
          <w:rFonts w:ascii="Times New Roman" w:hAnsi="Times New Roman" w:cs="Times New Roman"/>
          <w:sz w:val="24"/>
          <w:szCs w:val="24"/>
        </w:rPr>
        <w:t xml:space="preserve"> In </w:t>
      </w:r>
      <w:r>
        <w:rPr>
          <w:rFonts w:ascii="Times New Roman" w:hAnsi="Times New Roman" w:cs="Times New Roman"/>
          <w:sz w:val="24"/>
          <w:szCs w:val="24"/>
        </w:rPr>
        <w:t>practice, the Commissioner-General only makes a reassessment after conducting an investigation or audit on the taxpayer’s compliance with</w:t>
      </w:r>
      <w:r w:rsidR="00620ACA">
        <w:rPr>
          <w:rFonts w:ascii="Times New Roman" w:hAnsi="Times New Roman" w:cs="Times New Roman"/>
          <w:sz w:val="24"/>
          <w:szCs w:val="24"/>
        </w:rPr>
        <w:t xml:space="preserve"> all the tax heads chargeable in Zimbabwe. The investigation is initiated by a letter </w:t>
      </w:r>
      <w:r w:rsidR="00620ACA">
        <w:rPr>
          <w:rFonts w:ascii="Times New Roman" w:hAnsi="Times New Roman" w:cs="Times New Roman"/>
          <w:sz w:val="24"/>
          <w:szCs w:val="24"/>
        </w:rPr>
        <w:lastRenderedPageBreak/>
        <w:t xml:space="preserve">from the Commissioner-General introducing and identifying the investigators and their terms of reference.  </w:t>
      </w:r>
      <w:r w:rsidR="00FE4490">
        <w:rPr>
          <w:rFonts w:ascii="Times New Roman" w:hAnsi="Times New Roman" w:cs="Times New Roman"/>
          <w:sz w:val="24"/>
          <w:szCs w:val="24"/>
        </w:rPr>
        <w:t>Thereafter, the investigators and the taxpayer interact and dialogue</w:t>
      </w:r>
      <w:r>
        <w:rPr>
          <w:rFonts w:ascii="Times New Roman" w:hAnsi="Times New Roman" w:cs="Times New Roman"/>
          <w:sz w:val="24"/>
          <w:szCs w:val="24"/>
        </w:rPr>
        <w:t xml:space="preserve"> </w:t>
      </w:r>
      <w:r w:rsidR="00FE4490">
        <w:rPr>
          <w:rFonts w:ascii="Times New Roman" w:hAnsi="Times New Roman" w:cs="Times New Roman"/>
          <w:sz w:val="24"/>
          <w:szCs w:val="24"/>
        </w:rPr>
        <w:t>until the investigators reach a final position. It is during that final p</w:t>
      </w:r>
      <w:r w:rsidR="002F56DD">
        <w:rPr>
          <w:rFonts w:ascii="Times New Roman" w:hAnsi="Times New Roman" w:cs="Times New Roman"/>
          <w:sz w:val="24"/>
          <w:szCs w:val="24"/>
        </w:rPr>
        <w:t>osition that the investigators provide a trial run of the impending r</w:t>
      </w:r>
      <w:r w:rsidR="002F41B1">
        <w:rPr>
          <w:rFonts w:ascii="Times New Roman" w:hAnsi="Times New Roman" w:cs="Times New Roman"/>
          <w:sz w:val="24"/>
          <w:szCs w:val="24"/>
        </w:rPr>
        <w:t>e-assessment, which encompass</w:t>
      </w:r>
      <w:r w:rsidR="002F56DD">
        <w:rPr>
          <w:rFonts w:ascii="Times New Roman" w:hAnsi="Times New Roman" w:cs="Times New Roman"/>
          <w:sz w:val="24"/>
          <w:szCs w:val="24"/>
        </w:rPr>
        <w:t xml:space="preserve"> detailed schedules of the income tax computations and their respective justifications in a separate letter. </w:t>
      </w:r>
      <w:r w:rsidR="00DB296E">
        <w:rPr>
          <w:rFonts w:ascii="Times New Roman" w:hAnsi="Times New Roman" w:cs="Times New Roman"/>
          <w:sz w:val="24"/>
          <w:szCs w:val="24"/>
        </w:rPr>
        <w:t xml:space="preserve">The parties may thereafter conduct further discussions centered </w:t>
      </w:r>
      <w:r w:rsidR="007D757A">
        <w:rPr>
          <w:rFonts w:ascii="Times New Roman" w:hAnsi="Times New Roman" w:cs="Times New Roman"/>
          <w:sz w:val="24"/>
          <w:szCs w:val="24"/>
        </w:rPr>
        <w:t>on</w:t>
      </w:r>
      <w:r w:rsidR="00857267">
        <w:rPr>
          <w:rFonts w:ascii="Times New Roman" w:hAnsi="Times New Roman" w:cs="Times New Roman"/>
          <w:sz w:val="24"/>
          <w:szCs w:val="24"/>
        </w:rPr>
        <w:t xml:space="preserve"> further</w:t>
      </w:r>
      <w:r w:rsidR="00DB296E">
        <w:rPr>
          <w:rFonts w:ascii="Times New Roman" w:hAnsi="Times New Roman" w:cs="Times New Roman"/>
          <w:sz w:val="24"/>
          <w:szCs w:val="24"/>
        </w:rPr>
        <w:t xml:space="preserve"> points of disagreement.</w:t>
      </w:r>
      <w:r w:rsidR="00857267">
        <w:rPr>
          <w:rFonts w:ascii="Times New Roman" w:hAnsi="Times New Roman" w:cs="Times New Roman"/>
          <w:sz w:val="24"/>
          <w:szCs w:val="24"/>
        </w:rPr>
        <w:t xml:space="preserve"> </w:t>
      </w:r>
      <w:r w:rsidR="00E4007F">
        <w:rPr>
          <w:rFonts w:ascii="Times New Roman" w:hAnsi="Times New Roman" w:cs="Times New Roman"/>
          <w:sz w:val="24"/>
          <w:szCs w:val="24"/>
        </w:rPr>
        <w:t>All the</w:t>
      </w:r>
      <w:r w:rsidR="002F56DD">
        <w:rPr>
          <w:rFonts w:ascii="Times New Roman" w:hAnsi="Times New Roman" w:cs="Times New Roman"/>
          <w:sz w:val="24"/>
          <w:szCs w:val="24"/>
        </w:rPr>
        <w:t xml:space="preserve">se interactions </w:t>
      </w:r>
      <w:r w:rsidR="00E4007F">
        <w:rPr>
          <w:rFonts w:ascii="Times New Roman" w:hAnsi="Times New Roman" w:cs="Times New Roman"/>
          <w:sz w:val="24"/>
          <w:szCs w:val="24"/>
        </w:rPr>
        <w:t xml:space="preserve">afford the taxpayer the opportunity to </w:t>
      </w:r>
      <w:r w:rsidR="000B2B9D">
        <w:rPr>
          <w:rFonts w:ascii="Times New Roman" w:hAnsi="Times New Roman" w:cs="Times New Roman"/>
          <w:sz w:val="24"/>
          <w:szCs w:val="24"/>
        </w:rPr>
        <w:t>be heard on contentious</w:t>
      </w:r>
      <w:r w:rsidR="00E4007F">
        <w:rPr>
          <w:rFonts w:ascii="Times New Roman" w:hAnsi="Times New Roman" w:cs="Times New Roman"/>
          <w:sz w:val="24"/>
          <w:szCs w:val="24"/>
        </w:rPr>
        <w:t xml:space="preserve"> factual and legal contentions</w:t>
      </w:r>
      <w:r w:rsidR="002F41B1">
        <w:rPr>
          <w:rFonts w:ascii="Times New Roman" w:hAnsi="Times New Roman" w:cs="Times New Roman"/>
          <w:sz w:val="24"/>
          <w:szCs w:val="24"/>
        </w:rPr>
        <w:t>.</w:t>
      </w:r>
      <w:r w:rsidR="000B2B9D">
        <w:rPr>
          <w:rFonts w:ascii="Times New Roman" w:hAnsi="Times New Roman" w:cs="Times New Roman"/>
          <w:sz w:val="24"/>
          <w:szCs w:val="24"/>
        </w:rPr>
        <w:t xml:space="preserve"> </w:t>
      </w:r>
      <w:r w:rsidR="00337B0F">
        <w:rPr>
          <w:rFonts w:ascii="Times New Roman" w:hAnsi="Times New Roman" w:cs="Times New Roman"/>
          <w:sz w:val="24"/>
          <w:szCs w:val="24"/>
        </w:rPr>
        <w:t>Often</w:t>
      </w:r>
      <w:r w:rsidR="002F41B1">
        <w:rPr>
          <w:rFonts w:ascii="Times New Roman" w:hAnsi="Times New Roman" w:cs="Times New Roman"/>
          <w:sz w:val="24"/>
          <w:szCs w:val="24"/>
        </w:rPr>
        <w:t>,</w:t>
      </w:r>
      <w:r w:rsidR="00A005DB">
        <w:rPr>
          <w:rFonts w:ascii="Times New Roman" w:hAnsi="Times New Roman" w:cs="Times New Roman"/>
          <w:sz w:val="24"/>
          <w:szCs w:val="24"/>
        </w:rPr>
        <w:t xml:space="preserve"> the investigators close the dialogue by issuing re-assessments with an accompanying letter, which may or may not regurgitate explanations provided in prior correspondence that form the basis of the re-assessments.   </w:t>
      </w:r>
      <w:r w:rsidR="00E4007F">
        <w:rPr>
          <w:rFonts w:ascii="Times New Roman" w:hAnsi="Times New Roman" w:cs="Times New Roman"/>
          <w:sz w:val="24"/>
          <w:szCs w:val="24"/>
        </w:rPr>
        <w:t xml:space="preserve"> </w:t>
      </w:r>
    </w:p>
    <w:p w:rsidR="00AE6F52" w:rsidRDefault="00E4007F" w:rsidP="0052104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the</w:t>
      </w:r>
      <w:r w:rsidR="00E11DA9">
        <w:rPr>
          <w:rFonts w:ascii="Times New Roman" w:hAnsi="Times New Roman" w:cs="Times New Roman"/>
          <w:sz w:val="24"/>
          <w:szCs w:val="24"/>
        </w:rPr>
        <w:t xml:space="preserve"> investigators reached their putative final position by letter of 8 N</w:t>
      </w:r>
      <w:r w:rsidR="002F56DD">
        <w:rPr>
          <w:rFonts w:ascii="Times New Roman" w:hAnsi="Times New Roman" w:cs="Times New Roman"/>
          <w:sz w:val="24"/>
          <w:szCs w:val="24"/>
        </w:rPr>
        <w:t>ovember 2016, which not only embodied the explanations for the impending re-assessments but was accompanied</w:t>
      </w:r>
      <w:r w:rsidR="00737D11">
        <w:rPr>
          <w:rFonts w:ascii="Times New Roman" w:hAnsi="Times New Roman" w:cs="Times New Roman"/>
          <w:sz w:val="24"/>
          <w:szCs w:val="24"/>
        </w:rPr>
        <w:t xml:space="preserve"> by the detailed</w:t>
      </w:r>
      <w:r w:rsidR="002F56DD">
        <w:rPr>
          <w:rFonts w:ascii="Times New Roman" w:hAnsi="Times New Roman" w:cs="Times New Roman"/>
          <w:sz w:val="24"/>
          <w:szCs w:val="24"/>
        </w:rPr>
        <w:t xml:space="preserve"> income tax </w:t>
      </w:r>
      <w:r w:rsidR="00737D11">
        <w:rPr>
          <w:rFonts w:ascii="Times New Roman" w:hAnsi="Times New Roman" w:cs="Times New Roman"/>
          <w:sz w:val="24"/>
          <w:szCs w:val="24"/>
        </w:rPr>
        <w:t xml:space="preserve">expenditure </w:t>
      </w:r>
      <w:r w:rsidR="00A570F2">
        <w:rPr>
          <w:rFonts w:ascii="Times New Roman" w:hAnsi="Times New Roman" w:cs="Times New Roman"/>
          <w:sz w:val="24"/>
          <w:szCs w:val="24"/>
        </w:rPr>
        <w:t xml:space="preserve">line </w:t>
      </w:r>
      <w:r w:rsidR="002F56DD">
        <w:rPr>
          <w:rFonts w:ascii="Times New Roman" w:hAnsi="Times New Roman" w:cs="Times New Roman"/>
          <w:sz w:val="24"/>
          <w:szCs w:val="24"/>
        </w:rPr>
        <w:t>computations. The appellant conte</w:t>
      </w:r>
      <w:r w:rsidR="00A005DB">
        <w:rPr>
          <w:rFonts w:ascii="Times New Roman" w:hAnsi="Times New Roman" w:cs="Times New Roman"/>
          <w:sz w:val="24"/>
          <w:szCs w:val="24"/>
        </w:rPr>
        <w:t>nded that the re-assessments were invalidated by the absence of the statement of reasons envisioned in s 37A (13)</w:t>
      </w:r>
      <w:r w:rsidR="00337B0F">
        <w:rPr>
          <w:rFonts w:ascii="Times New Roman" w:hAnsi="Times New Roman" w:cs="Times New Roman"/>
          <w:sz w:val="24"/>
          <w:szCs w:val="24"/>
        </w:rPr>
        <w:t>,</w:t>
      </w:r>
      <w:r w:rsidR="00A005DB">
        <w:rPr>
          <w:rFonts w:ascii="Times New Roman" w:hAnsi="Times New Roman" w:cs="Times New Roman"/>
          <w:sz w:val="24"/>
          <w:szCs w:val="24"/>
        </w:rPr>
        <w:t xml:space="preserve"> while the respondent made the contrary submission that the re-assessments were validated by the letter of 8 November 2016, which constituted the envisaged statement of reasons preceding the impending re-assessments in question. </w:t>
      </w:r>
    </w:p>
    <w:p w:rsidR="007A3F4E" w:rsidRDefault="00A005DB" w:rsidP="0052104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 that the letter of 8 November 2016 constituted the statement of reasons prescri</w:t>
      </w:r>
      <w:r w:rsidR="00345E03">
        <w:rPr>
          <w:rFonts w:ascii="Times New Roman" w:hAnsi="Times New Roman" w:cs="Times New Roman"/>
          <w:sz w:val="24"/>
          <w:szCs w:val="24"/>
        </w:rPr>
        <w:t>bed in s 37A (13</w:t>
      </w:r>
      <w:r>
        <w:rPr>
          <w:rFonts w:ascii="Times New Roman" w:hAnsi="Times New Roman" w:cs="Times New Roman"/>
          <w:sz w:val="24"/>
          <w:szCs w:val="24"/>
        </w:rPr>
        <w:t xml:space="preserve">) of the Act. </w:t>
      </w:r>
      <w:r w:rsidR="005F0BF0">
        <w:rPr>
          <w:rFonts w:ascii="Times New Roman" w:hAnsi="Times New Roman" w:cs="Times New Roman"/>
          <w:sz w:val="24"/>
          <w:szCs w:val="24"/>
        </w:rPr>
        <w:t>That letter was in conformity with the Commissioner’s generally prevailing practice. It also provided reasons on which the Commissioner acted</w:t>
      </w:r>
      <w:r w:rsidR="00737D11">
        <w:rPr>
          <w:rFonts w:ascii="Times New Roman" w:hAnsi="Times New Roman" w:cs="Times New Roman"/>
          <w:sz w:val="24"/>
          <w:szCs w:val="24"/>
        </w:rPr>
        <w:t xml:space="preserve">. </w:t>
      </w:r>
      <w:r w:rsidR="005F0BF0">
        <w:rPr>
          <w:rFonts w:ascii="Times New Roman" w:hAnsi="Times New Roman" w:cs="Times New Roman"/>
          <w:sz w:val="24"/>
          <w:szCs w:val="24"/>
        </w:rPr>
        <w:t xml:space="preserve"> </w:t>
      </w:r>
      <w:r w:rsidR="00737D11">
        <w:rPr>
          <w:rFonts w:ascii="Times New Roman" w:hAnsi="Times New Roman" w:cs="Times New Roman"/>
          <w:sz w:val="24"/>
          <w:szCs w:val="24"/>
        </w:rPr>
        <w:t xml:space="preserve">In any event, the </w:t>
      </w:r>
      <w:r w:rsidR="00C82E47">
        <w:rPr>
          <w:rFonts w:ascii="Times New Roman" w:hAnsi="Times New Roman" w:cs="Times New Roman"/>
          <w:sz w:val="24"/>
          <w:szCs w:val="24"/>
        </w:rPr>
        <w:t>letter</w:t>
      </w:r>
      <w:r w:rsidR="00965FEA">
        <w:rPr>
          <w:rFonts w:ascii="Times New Roman" w:hAnsi="Times New Roman" w:cs="Times New Roman"/>
          <w:sz w:val="24"/>
          <w:szCs w:val="24"/>
        </w:rPr>
        <w:t xml:space="preserve"> from</w:t>
      </w:r>
      <w:r w:rsidR="00C82E47">
        <w:rPr>
          <w:rFonts w:ascii="Times New Roman" w:hAnsi="Times New Roman" w:cs="Times New Roman"/>
          <w:sz w:val="24"/>
          <w:szCs w:val="24"/>
        </w:rPr>
        <w:t xml:space="preserve"> the appellant’s tax advisors of 14 November 2016, </w:t>
      </w:r>
      <w:r w:rsidR="00737D11">
        <w:rPr>
          <w:rFonts w:ascii="Times New Roman" w:hAnsi="Times New Roman" w:cs="Times New Roman"/>
          <w:sz w:val="24"/>
          <w:szCs w:val="24"/>
        </w:rPr>
        <w:t>wherein they requested</w:t>
      </w:r>
      <w:r w:rsidR="00C82E47">
        <w:rPr>
          <w:rFonts w:ascii="Times New Roman" w:hAnsi="Times New Roman" w:cs="Times New Roman"/>
          <w:sz w:val="24"/>
          <w:szCs w:val="24"/>
        </w:rPr>
        <w:t xml:space="preserve"> time to “analyze the computations and study the explanation given in the letter”, and the</w:t>
      </w:r>
      <w:r w:rsidR="00737D11">
        <w:rPr>
          <w:rFonts w:ascii="Times New Roman" w:hAnsi="Times New Roman" w:cs="Times New Roman"/>
          <w:sz w:val="24"/>
          <w:szCs w:val="24"/>
        </w:rPr>
        <w:t>ir</w:t>
      </w:r>
      <w:r w:rsidR="00C82E47">
        <w:rPr>
          <w:rFonts w:ascii="Times New Roman" w:hAnsi="Times New Roman" w:cs="Times New Roman"/>
          <w:sz w:val="24"/>
          <w:szCs w:val="24"/>
        </w:rPr>
        <w:t xml:space="preserve"> subsequent</w:t>
      </w:r>
      <w:r w:rsidR="0061348E">
        <w:rPr>
          <w:rFonts w:ascii="Times New Roman" w:hAnsi="Times New Roman" w:cs="Times New Roman"/>
          <w:sz w:val="24"/>
          <w:szCs w:val="24"/>
        </w:rPr>
        <w:t xml:space="preserve"> detailed </w:t>
      </w:r>
      <w:r w:rsidR="00737D11">
        <w:rPr>
          <w:rFonts w:ascii="Times New Roman" w:hAnsi="Times New Roman" w:cs="Times New Roman"/>
          <w:sz w:val="24"/>
          <w:szCs w:val="24"/>
        </w:rPr>
        <w:t>21 paged response</w:t>
      </w:r>
      <w:r w:rsidR="0065618B">
        <w:rPr>
          <w:rFonts w:ascii="Times New Roman" w:hAnsi="Times New Roman" w:cs="Times New Roman"/>
          <w:sz w:val="24"/>
          <w:szCs w:val="24"/>
        </w:rPr>
        <w:t xml:space="preserve"> of 9 December 2016</w:t>
      </w:r>
      <w:r w:rsidR="0065618B">
        <w:rPr>
          <w:rStyle w:val="FootnoteReference"/>
          <w:rFonts w:ascii="Times New Roman" w:hAnsi="Times New Roman" w:cs="Times New Roman"/>
          <w:sz w:val="24"/>
          <w:szCs w:val="24"/>
        </w:rPr>
        <w:footnoteReference w:id="7"/>
      </w:r>
      <w:r w:rsidR="0065618B">
        <w:rPr>
          <w:rFonts w:ascii="Times New Roman" w:hAnsi="Times New Roman" w:cs="Times New Roman"/>
          <w:sz w:val="24"/>
          <w:szCs w:val="24"/>
        </w:rPr>
        <w:t>, showed that the appellant understood and acted upon th</w:t>
      </w:r>
      <w:r w:rsidR="00737D11">
        <w:rPr>
          <w:rFonts w:ascii="Times New Roman" w:hAnsi="Times New Roman" w:cs="Times New Roman"/>
          <w:sz w:val="24"/>
          <w:szCs w:val="24"/>
        </w:rPr>
        <w:t>ose explanations</w:t>
      </w:r>
      <w:r w:rsidR="0065618B">
        <w:rPr>
          <w:rFonts w:ascii="Times New Roman" w:hAnsi="Times New Roman" w:cs="Times New Roman"/>
          <w:sz w:val="24"/>
          <w:szCs w:val="24"/>
        </w:rPr>
        <w:t>.</w:t>
      </w:r>
      <w:r w:rsidR="000D263F">
        <w:rPr>
          <w:rFonts w:ascii="Times New Roman" w:hAnsi="Times New Roman" w:cs="Times New Roman"/>
          <w:sz w:val="24"/>
          <w:szCs w:val="24"/>
        </w:rPr>
        <w:t xml:space="preserve"> That the appellant understood the explanation</w:t>
      </w:r>
      <w:r w:rsidR="00737D11">
        <w:rPr>
          <w:rFonts w:ascii="Times New Roman" w:hAnsi="Times New Roman" w:cs="Times New Roman"/>
          <w:sz w:val="24"/>
          <w:szCs w:val="24"/>
        </w:rPr>
        <w:t>s was further confirmed</w:t>
      </w:r>
      <w:r w:rsidR="00F91A86">
        <w:rPr>
          <w:rFonts w:ascii="Times New Roman" w:hAnsi="Times New Roman" w:cs="Times New Roman"/>
          <w:sz w:val="24"/>
          <w:szCs w:val="24"/>
        </w:rPr>
        <w:t xml:space="preserve"> by </w:t>
      </w:r>
      <w:r w:rsidR="000D263F">
        <w:rPr>
          <w:rFonts w:ascii="Times New Roman" w:hAnsi="Times New Roman" w:cs="Times New Roman"/>
          <w:sz w:val="24"/>
          <w:szCs w:val="24"/>
        </w:rPr>
        <w:t xml:space="preserve">the admission made in that letter of </w:t>
      </w:r>
      <w:r w:rsidR="00737D11">
        <w:rPr>
          <w:rFonts w:ascii="Times New Roman" w:hAnsi="Times New Roman" w:cs="Times New Roman"/>
          <w:sz w:val="24"/>
          <w:szCs w:val="24"/>
        </w:rPr>
        <w:t>9 December 2016</w:t>
      </w:r>
      <w:r w:rsidR="00B12D45">
        <w:rPr>
          <w:rFonts w:ascii="Times New Roman" w:hAnsi="Times New Roman" w:cs="Times New Roman"/>
          <w:sz w:val="24"/>
          <w:szCs w:val="24"/>
        </w:rPr>
        <w:t>,</w:t>
      </w:r>
      <w:r w:rsidR="00737D11">
        <w:rPr>
          <w:rFonts w:ascii="Times New Roman" w:hAnsi="Times New Roman" w:cs="Times New Roman"/>
          <w:sz w:val="24"/>
          <w:szCs w:val="24"/>
        </w:rPr>
        <w:t xml:space="preserve"> that it owed </w:t>
      </w:r>
      <w:r w:rsidR="000D263F">
        <w:rPr>
          <w:rFonts w:ascii="Times New Roman" w:hAnsi="Times New Roman" w:cs="Times New Roman"/>
          <w:sz w:val="24"/>
          <w:szCs w:val="24"/>
        </w:rPr>
        <w:t>an additional principal tax obligation of US$693 520.71 in respect of the 2010 and 2011 tax years, which was quantified by the investigators in their letter of 16 December 2016</w:t>
      </w:r>
      <w:r w:rsidR="000D263F">
        <w:rPr>
          <w:rStyle w:val="FootnoteReference"/>
          <w:rFonts w:ascii="Times New Roman" w:hAnsi="Times New Roman" w:cs="Times New Roman"/>
          <w:sz w:val="24"/>
          <w:szCs w:val="24"/>
        </w:rPr>
        <w:footnoteReference w:id="8"/>
      </w:r>
      <w:r w:rsidR="00F92BCD">
        <w:rPr>
          <w:rFonts w:ascii="Times New Roman" w:hAnsi="Times New Roman" w:cs="Times New Roman"/>
          <w:sz w:val="24"/>
          <w:szCs w:val="24"/>
        </w:rPr>
        <w:t>.</w:t>
      </w:r>
      <w:r w:rsidR="007670A4">
        <w:rPr>
          <w:rFonts w:ascii="Times New Roman" w:hAnsi="Times New Roman" w:cs="Times New Roman"/>
          <w:sz w:val="24"/>
          <w:szCs w:val="24"/>
        </w:rPr>
        <w:t xml:space="preserve">  Again, in the objection of 6 February 2017, which was withdrawn</w:t>
      </w:r>
      <w:r w:rsidR="00B12D45">
        <w:rPr>
          <w:rFonts w:ascii="Times New Roman" w:hAnsi="Times New Roman" w:cs="Times New Roman"/>
          <w:sz w:val="24"/>
          <w:szCs w:val="24"/>
        </w:rPr>
        <w:t xml:space="preserve"> by consent</w:t>
      </w:r>
      <w:r w:rsidR="007670A4">
        <w:rPr>
          <w:rFonts w:ascii="Times New Roman" w:hAnsi="Times New Roman" w:cs="Times New Roman"/>
          <w:sz w:val="24"/>
          <w:szCs w:val="24"/>
        </w:rPr>
        <w:t xml:space="preserve"> on</w:t>
      </w:r>
      <w:r w:rsidR="00F91A86">
        <w:rPr>
          <w:rFonts w:ascii="Times New Roman" w:hAnsi="Times New Roman" w:cs="Times New Roman"/>
          <w:sz w:val="24"/>
          <w:szCs w:val="24"/>
        </w:rPr>
        <w:t xml:space="preserve"> 13</w:t>
      </w:r>
      <w:r w:rsidR="007670A4">
        <w:rPr>
          <w:rFonts w:ascii="Times New Roman" w:hAnsi="Times New Roman" w:cs="Times New Roman"/>
          <w:sz w:val="24"/>
          <w:szCs w:val="24"/>
        </w:rPr>
        <w:t xml:space="preserve"> February 2017</w:t>
      </w:r>
      <w:r w:rsidR="00F91A86">
        <w:rPr>
          <w:rStyle w:val="FootnoteReference"/>
          <w:rFonts w:ascii="Times New Roman" w:hAnsi="Times New Roman" w:cs="Times New Roman"/>
          <w:sz w:val="24"/>
          <w:szCs w:val="24"/>
        </w:rPr>
        <w:footnoteReference w:id="9"/>
      </w:r>
      <w:r w:rsidR="007670A4">
        <w:rPr>
          <w:rFonts w:ascii="Times New Roman" w:hAnsi="Times New Roman" w:cs="Times New Roman"/>
          <w:sz w:val="24"/>
          <w:szCs w:val="24"/>
        </w:rPr>
        <w:t xml:space="preserve">, the appellant understood </w:t>
      </w:r>
      <w:r w:rsidR="007670A4">
        <w:rPr>
          <w:rFonts w:ascii="Times New Roman" w:hAnsi="Times New Roman" w:cs="Times New Roman"/>
          <w:sz w:val="24"/>
          <w:szCs w:val="24"/>
        </w:rPr>
        <w:lastRenderedPageBreak/>
        <w:t>the explanations in the letter of 8 November 2016 constituted the statement of reasons for the reassessments</w:t>
      </w:r>
      <w:r w:rsidR="00F91A86">
        <w:rPr>
          <w:rStyle w:val="FootnoteReference"/>
          <w:rFonts w:ascii="Times New Roman" w:hAnsi="Times New Roman" w:cs="Times New Roman"/>
          <w:sz w:val="24"/>
          <w:szCs w:val="24"/>
        </w:rPr>
        <w:footnoteReference w:id="10"/>
      </w:r>
      <w:r w:rsidR="007670A4">
        <w:rPr>
          <w:rFonts w:ascii="Times New Roman" w:hAnsi="Times New Roman" w:cs="Times New Roman"/>
          <w:sz w:val="24"/>
          <w:szCs w:val="24"/>
        </w:rPr>
        <w:t xml:space="preserve">. </w:t>
      </w:r>
      <w:r w:rsidR="000D263F">
        <w:rPr>
          <w:rFonts w:ascii="Times New Roman" w:hAnsi="Times New Roman" w:cs="Times New Roman"/>
          <w:sz w:val="24"/>
          <w:szCs w:val="24"/>
        </w:rPr>
        <w:t xml:space="preserve"> </w:t>
      </w:r>
      <w:r w:rsidR="0061348E">
        <w:rPr>
          <w:rFonts w:ascii="Times New Roman" w:hAnsi="Times New Roman" w:cs="Times New Roman"/>
          <w:sz w:val="24"/>
          <w:szCs w:val="24"/>
        </w:rPr>
        <w:t xml:space="preserve"> </w:t>
      </w:r>
    </w:p>
    <w:p w:rsidR="003F2861" w:rsidRDefault="0061348E"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conceded at the pre-trial hearing that it bore the onus to establish whether or not this was done. </w:t>
      </w:r>
      <w:r w:rsidR="00530526">
        <w:rPr>
          <w:rFonts w:ascii="Times New Roman" w:hAnsi="Times New Roman" w:cs="Times New Roman"/>
          <w:sz w:val="24"/>
          <w:szCs w:val="24"/>
        </w:rPr>
        <w:t xml:space="preserve">The purported failure to provide </w:t>
      </w:r>
      <w:r w:rsidR="00465BE6">
        <w:rPr>
          <w:rFonts w:ascii="Times New Roman" w:hAnsi="Times New Roman" w:cs="Times New Roman"/>
          <w:sz w:val="24"/>
          <w:szCs w:val="24"/>
        </w:rPr>
        <w:t>in the</w:t>
      </w:r>
      <w:r w:rsidR="00530526">
        <w:rPr>
          <w:rFonts w:ascii="Times New Roman" w:hAnsi="Times New Roman" w:cs="Times New Roman"/>
          <w:sz w:val="24"/>
          <w:szCs w:val="24"/>
        </w:rPr>
        <w:t xml:space="preserve"> statement of reasons </w:t>
      </w:r>
      <w:r w:rsidR="00465BE6">
        <w:rPr>
          <w:rFonts w:ascii="Times New Roman" w:hAnsi="Times New Roman" w:cs="Times New Roman"/>
          <w:sz w:val="24"/>
          <w:szCs w:val="24"/>
        </w:rPr>
        <w:t xml:space="preserve">that the reassessment was based on misrepresentation </w:t>
      </w:r>
      <w:r w:rsidR="00530526">
        <w:rPr>
          <w:rFonts w:ascii="Times New Roman" w:hAnsi="Times New Roman" w:cs="Times New Roman"/>
          <w:sz w:val="24"/>
          <w:szCs w:val="24"/>
        </w:rPr>
        <w:t xml:space="preserve">was never raised in any correspondence between the parties prior to the </w:t>
      </w:r>
      <w:r w:rsidR="00345E03">
        <w:rPr>
          <w:rFonts w:ascii="Times New Roman" w:hAnsi="Times New Roman" w:cs="Times New Roman"/>
          <w:sz w:val="24"/>
          <w:szCs w:val="24"/>
        </w:rPr>
        <w:t>letter of objection</w:t>
      </w:r>
      <w:r w:rsidR="00530526">
        <w:rPr>
          <w:rFonts w:ascii="Times New Roman" w:hAnsi="Times New Roman" w:cs="Times New Roman"/>
          <w:sz w:val="24"/>
          <w:szCs w:val="24"/>
        </w:rPr>
        <w:t xml:space="preserve">. </w:t>
      </w:r>
      <w:r w:rsidR="00F00497">
        <w:rPr>
          <w:rFonts w:ascii="Times New Roman" w:hAnsi="Times New Roman" w:cs="Times New Roman"/>
          <w:sz w:val="24"/>
          <w:szCs w:val="24"/>
        </w:rPr>
        <w:t xml:space="preserve">The reassessments that form the subject of the objection, whose determination was appealed to this Court were issued on 10 October 2017. The letter accompanying those amended assessments was not produced by the respondent in the rule 11 documents nor </w:t>
      </w:r>
      <w:r w:rsidR="007A3F4E">
        <w:rPr>
          <w:rFonts w:ascii="Times New Roman" w:hAnsi="Times New Roman" w:cs="Times New Roman"/>
          <w:sz w:val="24"/>
          <w:szCs w:val="24"/>
        </w:rPr>
        <w:t xml:space="preserve">discovered and produced </w:t>
      </w:r>
      <w:r w:rsidR="00F00497">
        <w:rPr>
          <w:rFonts w:ascii="Times New Roman" w:hAnsi="Times New Roman" w:cs="Times New Roman"/>
          <w:sz w:val="24"/>
          <w:szCs w:val="24"/>
        </w:rPr>
        <w:t xml:space="preserve">by the appellant in its case. That letter would have demonstrated whether the respondent provided reasons for the re-assessments. The pleadings, however, established that the respondent last provided detailed explanations </w:t>
      </w:r>
      <w:r w:rsidR="007A3F4E">
        <w:rPr>
          <w:rFonts w:ascii="Times New Roman" w:hAnsi="Times New Roman" w:cs="Times New Roman"/>
          <w:sz w:val="24"/>
          <w:szCs w:val="24"/>
        </w:rPr>
        <w:t xml:space="preserve">for the impending reassessments </w:t>
      </w:r>
      <w:r w:rsidR="00F00497">
        <w:rPr>
          <w:rFonts w:ascii="Times New Roman" w:hAnsi="Times New Roman" w:cs="Times New Roman"/>
          <w:sz w:val="24"/>
          <w:szCs w:val="24"/>
        </w:rPr>
        <w:t>on 8 November 2016</w:t>
      </w:r>
      <w:r w:rsidR="007A3F4E">
        <w:rPr>
          <w:rFonts w:ascii="Times New Roman" w:hAnsi="Times New Roman" w:cs="Times New Roman"/>
          <w:sz w:val="24"/>
          <w:szCs w:val="24"/>
        </w:rPr>
        <w:t>. From</w:t>
      </w:r>
      <w:r w:rsidR="00F00497">
        <w:rPr>
          <w:rFonts w:ascii="Times New Roman" w:hAnsi="Times New Roman" w:cs="Times New Roman"/>
          <w:sz w:val="24"/>
          <w:szCs w:val="24"/>
        </w:rPr>
        <w:t xml:space="preserve"> that</w:t>
      </w:r>
      <w:r w:rsidR="007A3F4E">
        <w:rPr>
          <w:rFonts w:ascii="Times New Roman" w:hAnsi="Times New Roman" w:cs="Times New Roman"/>
          <w:sz w:val="24"/>
          <w:szCs w:val="24"/>
        </w:rPr>
        <w:t xml:space="preserve"> date until the 10 October 2017, the parties dissipated their energies on</w:t>
      </w:r>
      <w:r w:rsidR="00F00497">
        <w:rPr>
          <w:rFonts w:ascii="Times New Roman" w:hAnsi="Times New Roman" w:cs="Times New Roman"/>
          <w:sz w:val="24"/>
          <w:szCs w:val="24"/>
        </w:rPr>
        <w:t xml:space="preserve"> the correctness of the computations based on those explanations.  Thus, even without the letter accompanying the amended assessments, of 10 October 2017, which form the basis of the present appeal, I am satisfied that the appellant understood the explanations given on 8 November 2016 to constitute the statement of reasons for the reassessments that were </w:t>
      </w:r>
      <w:r w:rsidR="003F2861">
        <w:rPr>
          <w:rFonts w:ascii="Times New Roman" w:hAnsi="Times New Roman" w:cs="Times New Roman"/>
          <w:sz w:val="24"/>
          <w:szCs w:val="24"/>
        </w:rPr>
        <w:t>finally is</w:t>
      </w:r>
      <w:r w:rsidR="00F00497">
        <w:rPr>
          <w:rFonts w:ascii="Times New Roman" w:hAnsi="Times New Roman" w:cs="Times New Roman"/>
          <w:sz w:val="24"/>
          <w:szCs w:val="24"/>
        </w:rPr>
        <w:t xml:space="preserve">sued on 10 October 2017.  </w:t>
      </w:r>
      <w:r w:rsidR="003F2861">
        <w:rPr>
          <w:rFonts w:ascii="Times New Roman" w:hAnsi="Times New Roman" w:cs="Times New Roman"/>
          <w:sz w:val="24"/>
          <w:szCs w:val="24"/>
        </w:rPr>
        <w:t>S 37A (13) simply requires the Commissioner-General to give a statement of reasons. It does not require him to provide incontrovertible reasons. Thus</w:t>
      </w:r>
      <w:r w:rsidR="009E1B0F">
        <w:rPr>
          <w:rFonts w:ascii="Times New Roman" w:hAnsi="Times New Roman" w:cs="Times New Roman"/>
          <w:sz w:val="24"/>
          <w:szCs w:val="24"/>
        </w:rPr>
        <w:t>,</w:t>
      </w:r>
      <w:r w:rsidR="003F2861">
        <w:rPr>
          <w:rFonts w:ascii="Times New Roman" w:hAnsi="Times New Roman" w:cs="Times New Roman"/>
          <w:sz w:val="24"/>
          <w:szCs w:val="24"/>
        </w:rPr>
        <w:t xml:space="preserve"> whether those reasons eventual</w:t>
      </w:r>
      <w:r w:rsidR="009E1B0F">
        <w:rPr>
          <w:rFonts w:ascii="Times New Roman" w:hAnsi="Times New Roman" w:cs="Times New Roman"/>
          <w:sz w:val="24"/>
          <w:szCs w:val="24"/>
        </w:rPr>
        <w:t>ly pa</w:t>
      </w:r>
      <w:r w:rsidR="003F2861">
        <w:rPr>
          <w:rFonts w:ascii="Times New Roman" w:hAnsi="Times New Roman" w:cs="Times New Roman"/>
          <w:sz w:val="24"/>
          <w:szCs w:val="24"/>
        </w:rPr>
        <w:t>ss muster the test of legal validity is not a relevant consideration. I am satisfied that the letter of 8 November 2016 constituted the st</w:t>
      </w:r>
      <w:r w:rsidR="009E1B0F">
        <w:rPr>
          <w:rFonts w:ascii="Times New Roman" w:hAnsi="Times New Roman" w:cs="Times New Roman"/>
          <w:sz w:val="24"/>
          <w:szCs w:val="24"/>
        </w:rPr>
        <w:t>atement of reasons contemplated in</w:t>
      </w:r>
      <w:r w:rsidR="00D626BC">
        <w:rPr>
          <w:rFonts w:ascii="Times New Roman" w:hAnsi="Times New Roman" w:cs="Times New Roman"/>
          <w:sz w:val="24"/>
          <w:szCs w:val="24"/>
        </w:rPr>
        <w:t xml:space="preserve"> </w:t>
      </w:r>
      <w:r w:rsidR="003F2861">
        <w:rPr>
          <w:rFonts w:ascii="Times New Roman" w:hAnsi="Times New Roman" w:cs="Times New Roman"/>
          <w:sz w:val="24"/>
          <w:szCs w:val="24"/>
        </w:rPr>
        <w:t>s 37A (13). The s</w:t>
      </w:r>
      <w:r w:rsidR="007A3F4E">
        <w:rPr>
          <w:rFonts w:ascii="Times New Roman" w:hAnsi="Times New Roman" w:cs="Times New Roman"/>
          <w:sz w:val="24"/>
          <w:szCs w:val="24"/>
        </w:rPr>
        <w:t>ubmission of unlawfulness moved</w:t>
      </w:r>
      <w:r w:rsidR="003F2861">
        <w:rPr>
          <w:rFonts w:ascii="Times New Roman" w:hAnsi="Times New Roman" w:cs="Times New Roman"/>
          <w:sz w:val="24"/>
          <w:szCs w:val="24"/>
        </w:rPr>
        <w:t xml:space="preserve"> by Mr </w:t>
      </w:r>
      <w:r w:rsidR="003F2861" w:rsidRPr="003F2861">
        <w:rPr>
          <w:rFonts w:ascii="Times New Roman" w:hAnsi="Times New Roman" w:cs="Times New Roman"/>
          <w:i/>
          <w:sz w:val="24"/>
          <w:szCs w:val="24"/>
        </w:rPr>
        <w:t>M</w:t>
      </w:r>
      <w:r w:rsidR="003F2861">
        <w:rPr>
          <w:rFonts w:ascii="Times New Roman" w:hAnsi="Times New Roman" w:cs="Times New Roman"/>
          <w:i/>
          <w:sz w:val="24"/>
          <w:szCs w:val="24"/>
        </w:rPr>
        <w:t xml:space="preserve">atinenga </w:t>
      </w:r>
      <w:r w:rsidR="003F2861" w:rsidRPr="003F2861">
        <w:rPr>
          <w:rFonts w:ascii="Times New Roman" w:hAnsi="Times New Roman" w:cs="Times New Roman"/>
          <w:sz w:val="24"/>
          <w:szCs w:val="24"/>
        </w:rPr>
        <w:t>that was</w:t>
      </w:r>
      <w:r w:rsidR="003F2861">
        <w:rPr>
          <w:rFonts w:ascii="Times New Roman" w:hAnsi="Times New Roman" w:cs="Times New Roman"/>
          <w:i/>
          <w:sz w:val="24"/>
          <w:szCs w:val="24"/>
        </w:rPr>
        <w:t xml:space="preserve"> </w:t>
      </w:r>
      <w:r w:rsidR="003F2861">
        <w:rPr>
          <w:rFonts w:ascii="Times New Roman" w:hAnsi="Times New Roman" w:cs="Times New Roman"/>
          <w:sz w:val="24"/>
          <w:szCs w:val="24"/>
        </w:rPr>
        <w:t>predicate</w:t>
      </w:r>
      <w:r w:rsidR="007A3F4E">
        <w:rPr>
          <w:rFonts w:ascii="Times New Roman" w:hAnsi="Times New Roman" w:cs="Times New Roman"/>
          <w:sz w:val="24"/>
          <w:szCs w:val="24"/>
        </w:rPr>
        <w:t xml:space="preserve">d upon the purported failure of </w:t>
      </w:r>
      <w:r w:rsidR="003F2861">
        <w:rPr>
          <w:rFonts w:ascii="Times New Roman" w:hAnsi="Times New Roman" w:cs="Times New Roman"/>
          <w:sz w:val="24"/>
          <w:szCs w:val="24"/>
        </w:rPr>
        <w:t xml:space="preserve">the respondent to abide by the provisions of s 37A (13) is devoid of merit. It </w:t>
      </w:r>
      <w:r w:rsidR="00996370">
        <w:rPr>
          <w:rFonts w:ascii="Times New Roman" w:hAnsi="Times New Roman" w:cs="Times New Roman"/>
          <w:sz w:val="24"/>
          <w:szCs w:val="24"/>
        </w:rPr>
        <w:t>must fail</w:t>
      </w:r>
      <w:r w:rsidR="003F2861">
        <w:rPr>
          <w:rFonts w:ascii="Times New Roman" w:hAnsi="Times New Roman" w:cs="Times New Roman"/>
          <w:sz w:val="24"/>
          <w:szCs w:val="24"/>
        </w:rPr>
        <w:t>.</w:t>
      </w:r>
    </w:p>
    <w:p w:rsidR="00757FA8" w:rsidRDefault="00757FA8"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referred on appeal erroneously presupposes that the respondent is legally required to specifically indicate in his statement of reasons that the reassessment is based on fraud, misrepresentation or non-disclosure of facts. Such an averment appears to be based on th</w:t>
      </w:r>
      <w:r w:rsidR="00FF3454">
        <w:rPr>
          <w:rFonts w:ascii="Times New Roman" w:hAnsi="Times New Roman" w:cs="Times New Roman"/>
          <w:sz w:val="24"/>
          <w:szCs w:val="24"/>
        </w:rPr>
        <w:t>e interpretation rendered to</w:t>
      </w:r>
      <w:r>
        <w:rPr>
          <w:rFonts w:ascii="Times New Roman" w:hAnsi="Times New Roman" w:cs="Times New Roman"/>
          <w:sz w:val="24"/>
          <w:szCs w:val="24"/>
        </w:rPr>
        <w:t xml:space="preserve"> section </w:t>
      </w:r>
      <w:r w:rsidR="00B67B0E">
        <w:rPr>
          <w:rFonts w:ascii="Times New Roman" w:hAnsi="Times New Roman" w:cs="Times New Roman"/>
          <w:sz w:val="24"/>
          <w:szCs w:val="24"/>
        </w:rPr>
        <w:t>79 (1) of</w:t>
      </w:r>
      <w:r>
        <w:rPr>
          <w:rFonts w:ascii="Times New Roman" w:hAnsi="Times New Roman" w:cs="Times New Roman"/>
          <w:sz w:val="24"/>
          <w:szCs w:val="24"/>
        </w:rPr>
        <w:t xml:space="preserve"> the South African Income Tax Act, which is equivalen</w:t>
      </w:r>
      <w:r w:rsidR="0098790C">
        <w:rPr>
          <w:rFonts w:ascii="Times New Roman" w:hAnsi="Times New Roman" w:cs="Times New Roman"/>
          <w:sz w:val="24"/>
          <w:szCs w:val="24"/>
        </w:rPr>
        <w:t>t to proviso (ii) of s 47(1)</w:t>
      </w:r>
      <w:r>
        <w:rPr>
          <w:rFonts w:ascii="Times New Roman" w:hAnsi="Times New Roman" w:cs="Times New Roman"/>
          <w:sz w:val="24"/>
          <w:szCs w:val="24"/>
        </w:rPr>
        <w:t xml:space="preserve"> of our Income Tax Act. The sentiments expressed in </w:t>
      </w:r>
      <w:r w:rsidR="002B17D7">
        <w:rPr>
          <w:rFonts w:ascii="Times New Roman" w:hAnsi="Times New Roman" w:cs="Times New Roman"/>
          <w:sz w:val="24"/>
          <w:szCs w:val="24"/>
        </w:rPr>
        <w:t>the South</w:t>
      </w:r>
      <w:r>
        <w:rPr>
          <w:rFonts w:ascii="Times New Roman" w:hAnsi="Times New Roman" w:cs="Times New Roman"/>
          <w:sz w:val="24"/>
          <w:szCs w:val="24"/>
        </w:rPr>
        <w:t xml:space="preserve"> Africa</w:t>
      </w:r>
      <w:r w:rsidR="002B17D7">
        <w:rPr>
          <w:rFonts w:ascii="Times New Roman" w:hAnsi="Times New Roman" w:cs="Times New Roman"/>
          <w:sz w:val="24"/>
          <w:szCs w:val="24"/>
        </w:rPr>
        <w:t>n</w:t>
      </w:r>
      <w:r>
        <w:rPr>
          <w:rFonts w:ascii="Times New Roman" w:hAnsi="Times New Roman" w:cs="Times New Roman"/>
          <w:sz w:val="24"/>
          <w:szCs w:val="24"/>
        </w:rPr>
        <w:t xml:space="preserve"> case</w:t>
      </w:r>
      <w:r w:rsidR="002B17D7">
        <w:rPr>
          <w:rFonts w:ascii="Times New Roman" w:hAnsi="Times New Roman" w:cs="Times New Roman"/>
          <w:sz w:val="24"/>
          <w:szCs w:val="24"/>
        </w:rPr>
        <w:t xml:space="preserve">s, such as </w:t>
      </w:r>
      <w:r w:rsidR="002B17D7" w:rsidRPr="002B17D7">
        <w:rPr>
          <w:rFonts w:ascii="Times New Roman" w:hAnsi="Times New Roman" w:cs="Times New Roman"/>
          <w:i/>
          <w:sz w:val="24"/>
          <w:szCs w:val="24"/>
        </w:rPr>
        <w:t>ITC 1454</w:t>
      </w:r>
      <w:r w:rsidR="002B17D7">
        <w:rPr>
          <w:rFonts w:ascii="Times New Roman" w:hAnsi="Times New Roman" w:cs="Times New Roman"/>
          <w:sz w:val="24"/>
          <w:szCs w:val="24"/>
        </w:rPr>
        <w:t xml:space="preserve"> (1988) 51 SATC 107 at 108-11 and </w:t>
      </w:r>
      <w:r w:rsidR="002B17D7" w:rsidRPr="002B17D7">
        <w:rPr>
          <w:rFonts w:ascii="Times New Roman" w:hAnsi="Times New Roman" w:cs="Times New Roman"/>
          <w:i/>
          <w:sz w:val="24"/>
          <w:szCs w:val="24"/>
        </w:rPr>
        <w:t>ITC</w:t>
      </w:r>
      <w:r w:rsidR="002B17D7">
        <w:rPr>
          <w:rFonts w:ascii="Times New Roman" w:hAnsi="Times New Roman" w:cs="Times New Roman"/>
          <w:i/>
          <w:sz w:val="24"/>
          <w:szCs w:val="24"/>
        </w:rPr>
        <w:t xml:space="preserve"> 1685</w:t>
      </w:r>
      <w:r w:rsidR="002B17D7">
        <w:rPr>
          <w:rFonts w:ascii="Times New Roman" w:hAnsi="Times New Roman" w:cs="Times New Roman"/>
          <w:sz w:val="24"/>
          <w:szCs w:val="24"/>
        </w:rPr>
        <w:t xml:space="preserve"> 62 SATC 424 at 431-2</w:t>
      </w:r>
      <w:r>
        <w:rPr>
          <w:rFonts w:ascii="Times New Roman" w:hAnsi="Times New Roman" w:cs="Times New Roman"/>
          <w:sz w:val="24"/>
          <w:szCs w:val="24"/>
        </w:rPr>
        <w:t xml:space="preserve"> do </w:t>
      </w:r>
      <w:r>
        <w:rPr>
          <w:rFonts w:ascii="Times New Roman" w:hAnsi="Times New Roman" w:cs="Times New Roman"/>
          <w:sz w:val="24"/>
          <w:szCs w:val="24"/>
        </w:rPr>
        <w:lastRenderedPageBreak/>
        <w:t>not seem to have been directed to the equivalent, if any, of our s 37A</w:t>
      </w:r>
      <w:r w:rsidR="00FF3454">
        <w:rPr>
          <w:rFonts w:ascii="Times New Roman" w:hAnsi="Times New Roman" w:cs="Times New Roman"/>
          <w:sz w:val="24"/>
          <w:szCs w:val="24"/>
        </w:rPr>
        <w:t xml:space="preserve"> (13</w:t>
      </w:r>
      <w:r>
        <w:rPr>
          <w:rFonts w:ascii="Times New Roman" w:hAnsi="Times New Roman" w:cs="Times New Roman"/>
          <w:sz w:val="24"/>
          <w:szCs w:val="24"/>
        </w:rPr>
        <w:t xml:space="preserve">).  Those sentiments, are to that extent distinguishable and would not apply to our situation in the absence of proof that they were directed to the interpretation of </w:t>
      </w:r>
      <w:r w:rsidR="00FF3454">
        <w:rPr>
          <w:rFonts w:ascii="Times New Roman" w:hAnsi="Times New Roman" w:cs="Times New Roman"/>
          <w:sz w:val="24"/>
          <w:szCs w:val="24"/>
        </w:rPr>
        <w:t>wording similar to s 37A (13</w:t>
      </w:r>
      <w:r w:rsidR="00F437BB">
        <w:rPr>
          <w:rFonts w:ascii="Times New Roman" w:hAnsi="Times New Roman" w:cs="Times New Roman"/>
          <w:sz w:val="24"/>
          <w:szCs w:val="24"/>
        </w:rPr>
        <w:t xml:space="preserve">) of our Income Tax Act. </w:t>
      </w:r>
      <w:r w:rsidR="003F2E85">
        <w:rPr>
          <w:rFonts w:ascii="Times New Roman" w:hAnsi="Times New Roman" w:cs="Times New Roman"/>
          <w:sz w:val="24"/>
          <w:szCs w:val="24"/>
        </w:rPr>
        <w:t xml:space="preserve">It seems to me that the basis for reassessment required by s 37A </w:t>
      </w:r>
      <w:r w:rsidR="00FF3454">
        <w:rPr>
          <w:rFonts w:ascii="Times New Roman" w:hAnsi="Times New Roman" w:cs="Times New Roman"/>
          <w:sz w:val="24"/>
          <w:szCs w:val="24"/>
        </w:rPr>
        <w:t>(13</w:t>
      </w:r>
      <w:r w:rsidR="003F2E85">
        <w:rPr>
          <w:rFonts w:ascii="Times New Roman" w:hAnsi="Times New Roman" w:cs="Times New Roman"/>
          <w:sz w:val="24"/>
          <w:szCs w:val="24"/>
        </w:rPr>
        <w:t xml:space="preserve">) was fully met by the letter </w:t>
      </w:r>
      <w:r w:rsidR="00941A80">
        <w:rPr>
          <w:rFonts w:ascii="Times New Roman" w:hAnsi="Times New Roman" w:cs="Times New Roman"/>
          <w:sz w:val="24"/>
          <w:szCs w:val="24"/>
        </w:rPr>
        <w:t xml:space="preserve">of </w:t>
      </w:r>
      <w:r w:rsidR="003F2E85">
        <w:rPr>
          <w:rFonts w:ascii="Times New Roman" w:hAnsi="Times New Roman" w:cs="Times New Roman"/>
          <w:sz w:val="24"/>
          <w:szCs w:val="24"/>
        </w:rPr>
        <w:t xml:space="preserve">8 November 2016, upon which all the letters pertaining to the amended assessments were predicated. </w:t>
      </w:r>
      <w:r>
        <w:rPr>
          <w:rFonts w:ascii="Times New Roman" w:hAnsi="Times New Roman" w:cs="Times New Roman"/>
          <w:sz w:val="24"/>
          <w:szCs w:val="24"/>
        </w:rPr>
        <w:t xml:space="preserve"> </w:t>
      </w:r>
    </w:p>
    <w:p w:rsidR="00FF3454" w:rsidRDefault="00F808EB" w:rsidP="00521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7D211C">
        <w:rPr>
          <w:rFonts w:ascii="Times New Roman" w:hAnsi="Times New Roman" w:cs="Times New Roman"/>
          <w:sz w:val="24"/>
          <w:szCs w:val="24"/>
        </w:rPr>
        <w:t xml:space="preserve">does not appear to me </w:t>
      </w:r>
      <w:r>
        <w:rPr>
          <w:rFonts w:ascii="Times New Roman" w:hAnsi="Times New Roman" w:cs="Times New Roman"/>
          <w:sz w:val="24"/>
          <w:szCs w:val="24"/>
        </w:rPr>
        <w:t>that</w:t>
      </w:r>
      <w:r w:rsidR="00FF3454">
        <w:rPr>
          <w:rFonts w:ascii="Times New Roman" w:hAnsi="Times New Roman" w:cs="Times New Roman"/>
          <w:sz w:val="24"/>
          <w:szCs w:val="24"/>
        </w:rPr>
        <w:t xml:space="preserve"> C</w:t>
      </w:r>
      <w:r w:rsidR="007D211C">
        <w:rPr>
          <w:rFonts w:ascii="Times New Roman" w:hAnsi="Times New Roman" w:cs="Times New Roman"/>
          <w:sz w:val="24"/>
          <w:szCs w:val="24"/>
        </w:rPr>
        <w:t xml:space="preserve">ommissioner is </w:t>
      </w:r>
      <w:r w:rsidR="008A22C9">
        <w:rPr>
          <w:rFonts w:ascii="Times New Roman" w:hAnsi="Times New Roman" w:cs="Times New Roman"/>
          <w:sz w:val="24"/>
          <w:szCs w:val="24"/>
        </w:rPr>
        <w:t>required to specially</w:t>
      </w:r>
      <w:r w:rsidR="00FF3454">
        <w:rPr>
          <w:rFonts w:ascii="Times New Roman" w:hAnsi="Times New Roman" w:cs="Times New Roman"/>
          <w:sz w:val="24"/>
          <w:szCs w:val="24"/>
        </w:rPr>
        <w:t xml:space="preserve"> inform the taxpayer that he is reopening a prescribed assessment by reason of fraud, or misrepresentation or non-disclosu</w:t>
      </w:r>
      <w:r w:rsidR="00FB0AAF">
        <w:rPr>
          <w:rFonts w:ascii="Times New Roman" w:hAnsi="Times New Roman" w:cs="Times New Roman"/>
          <w:sz w:val="24"/>
          <w:szCs w:val="24"/>
        </w:rPr>
        <w:t>re of fact</w:t>
      </w:r>
      <w:r w:rsidR="006C7CF0">
        <w:rPr>
          <w:rFonts w:ascii="Times New Roman" w:hAnsi="Times New Roman" w:cs="Times New Roman"/>
          <w:sz w:val="24"/>
          <w:szCs w:val="24"/>
        </w:rPr>
        <w:t xml:space="preserve">s </w:t>
      </w:r>
      <w:r w:rsidR="006B674F">
        <w:rPr>
          <w:rFonts w:ascii="Times New Roman" w:hAnsi="Times New Roman" w:cs="Times New Roman"/>
          <w:sz w:val="24"/>
          <w:szCs w:val="24"/>
        </w:rPr>
        <w:t xml:space="preserve">at </w:t>
      </w:r>
      <w:r w:rsidR="006C7CF0">
        <w:rPr>
          <w:rFonts w:ascii="Times New Roman" w:hAnsi="Times New Roman" w:cs="Times New Roman"/>
          <w:sz w:val="24"/>
          <w:szCs w:val="24"/>
        </w:rPr>
        <w:t xml:space="preserve">any time prior to </w:t>
      </w:r>
      <w:r w:rsidR="00FB0AAF">
        <w:rPr>
          <w:rFonts w:ascii="Times New Roman" w:hAnsi="Times New Roman" w:cs="Times New Roman"/>
          <w:sz w:val="24"/>
          <w:szCs w:val="24"/>
        </w:rPr>
        <w:t>issuing the amended assessments</w:t>
      </w:r>
      <w:r w:rsidR="006C7CF0">
        <w:rPr>
          <w:rFonts w:ascii="Times New Roman" w:hAnsi="Times New Roman" w:cs="Times New Roman"/>
          <w:sz w:val="24"/>
          <w:szCs w:val="24"/>
        </w:rPr>
        <w:t xml:space="preserve"> or even during the issuing of the amended assessments</w:t>
      </w:r>
      <w:r w:rsidR="00FB0AAF">
        <w:rPr>
          <w:rFonts w:ascii="Times New Roman" w:hAnsi="Times New Roman" w:cs="Times New Roman"/>
          <w:sz w:val="24"/>
          <w:szCs w:val="24"/>
        </w:rPr>
        <w:t>.</w:t>
      </w:r>
      <w:r w:rsidR="00FF3454">
        <w:rPr>
          <w:rFonts w:ascii="Times New Roman" w:hAnsi="Times New Roman" w:cs="Times New Roman"/>
          <w:sz w:val="24"/>
          <w:szCs w:val="24"/>
        </w:rPr>
        <w:t xml:space="preserve"> </w:t>
      </w:r>
      <w:r w:rsidR="007D211C">
        <w:rPr>
          <w:rFonts w:ascii="Times New Roman" w:hAnsi="Times New Roman" w:cs="Times New Roman"/>
          <w:sz w:val="24"/>
          <w:szCs w:val="24"/>
        </w:rPr>
        <w:t xml:space="preserve">All that s 47 (1) requires of him </w:t>
      </w:r>
      <w:r w:rsidR="008A22C9">
        <w:rPr>
          <w:rFonts w:ascii="Times New Roman" w:hAnsi="Times New Roman" w:cs="Times New Roman"/>
          <w:sz w:val="24"/>
          <w:szCs w:val="24"/>
        </w:rPr>
        <w:t xml:space="preserve">is </w:t>
      </w:r>
      <w:r w:rsidR="007D211C">
        <w:rPr>
          <w:rFonts w:ascii="Times New Roman" w:hAnsi="Times New Roman" w:cs="Times New Roman"/>
          <w:sz w:val="24"/>
          <w:szCs w:val="24"/>
        </w:rPr>
        <w:t xml:space="preserve">to </w:t>
      </w:r>
      <w:r w:rsidR="006C7CF0">
        <w:rPr>
          <w:rFonts w:ascii="Times New Roman" w:hAnsi="Times New Roman" w:cs="Times New Roman"/>
          <w:sz w:val="24"/>
          <w:szCs w:val="24"/>
        </w:rPr>
        <w:t>be satisfied of the presence</w:t>
      </w:r>
      <w:r w:rsidR="008A22C9">
        <w:rPr>
          <w:rFonts w:ascii="Times New Roman" w:hAnsi="Times New Roman" w:cs="Times New Roman"/>
          <w:sz w:val="24"/>
          <w:szCs w:val="24"/>
        </w:rPr>
        <w:t xml:space="preserve"> of </w:t>
      </w:r>
      <w:r w:rsidR="007D211C">
        <w:rPr>
          <w:rFonts w:ascii="Times New Roman" w:hAnsi="Times New Roman" w:cs="Times New Roman"/>
          <w:sz w:val="24"/>
          <w:szCs w:val="24"/>
        </w:rPr>
        <w:t xml:space="preserve">any one of the three preconditions enumerated in </w:t>
      </w:r>
      <w:r w:rsidR="008A22C9">
        <w:rPr>
          <w:rFonts w:ascii="Times New Roman" w:hAnsi="Times New Roman" w:cs="Times New Roman"/>
          <w:sz w:val="24"/>
          <w:szCs w:val="24"/>
        </w:rPr>
        <w:t xml:space="preserve"> (ii) of s 47 (1) of the Income Tax Act</w:t>
      </w:r>
      <w:r w:rsidR="006C7CF0">
        <w:rPr>
          <w:rFonts w:ascii="Times New Roman" w:hAnsi="Times New Roman" w:cs="Times New Roman"/>
          <w:sz w:val="24"/>
          <w:szCs w:val="24"/>
        </w:rPr>
        <w:t>, before exercising the legal power conferred on him to reopen any self-assessment</w:t>
      </w:r>
      <w:r w:rsidR="008A22C9">
        <w:rPr>
          <w:rFonts w:ascii="Times New Roman" w:hAnsi="Times New Roman" w:cs="Times New Roman"/>
          <w:sz w:val="24"/>
          <w:szCs w:val="24"/>
        </w:rPr>
        <w:t xml:space="preserve">.  </w:t>
      </w:r>
    </w:p>
    <w:p w:rsidR="00126A2B" w:rsidRDefault="00126A2B" w:rsidP="00521041">
      <w:pPr>
        <w:spacing w:after="0" w:line="360" w:lineRule="auto"/>
        <w:jc w:val="both"/>
        <w:rPr>
          <w:rFonts w:ascii="Times New Roman" w:hAnsi="Times New Roman" w:cs="Times New Roman"/>
          <w:i/>
          <w:sz w:val="24"/>
          <w:szCs w:val="24"/>
        </w:rPr>
      </w:pPr>
      <w:r w:rsidRPr="00126A2B">
        <w:rPr>
          <w:rFonts w:ascii="Times New Roman" w:hAnsi="Times New Roman" w:cs="Times New Roman"/>
          <w:i/>
          <w:sz w:val="24"/>
          <w:szCs w:val="24"/>
        </w:rPr>
        <w:t>Whether or not there was any misrepresentation entitling the respondent to reassess the appellant after the expiry of the six year prescription period?</w:t>
      </w:r>
    </w:p>
    <w:p w:rsidR="004646A0" w:rsidRDefault="008F5DDF"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already determined the meaning and legal import of “misrepresentation” i</w:t>
      </w:r>
      <w:r w:rsidR="00C64BE1">
        <w:rPr>
          <w:rFonts w:ascii="Times New Roman" w:hAnsi="Times New Roman" w:cs="Times New Roman"/>
          <w:sz w:val="24"/>
          <w:szCs w:val="24"/>
        </w:rPr>
        <w:t xml:space="preserve">n </w:t>
      </w:r>
      <w:r w:rsidR="007E083E" w:rsidRPr="007E083E">
        <w:rPr>
          <w:rFonts w:ascii="Times New Roman" w:hAnsi="Times New Roman" w:cs="Times New Roman"/>
          <w:i/>
          <w:sz w:val="24"/>
          <w:szCs w:val="24"/>
        </w:rPr>
        <w:t>NT Zimbabwe (Pvt) Ltd v Zimbabwe Revenue Authority</w:t>
      </w:r>
      <w:r w:rsidR="007E083E">
        <w:rPr>
          <w:rFonts w:ascii="Times New Roman" w:hAnsi="Times New Roman" w:cs="Times New Roman"/>
          <w:sz w:val="24"/>
          <w:szCs w:val="24"/>
        </w:rPr>
        <w:t xml:space="preserve"> HH</w:t>
      </w:r>
      <w:r w:rsidR="004646A0">
        <w:rPr>
          <w:rFonts w:ascii="Times New Roman" w:hAnsi="Times New Roman" w:cs="Times New Roman"/>
          <w:sz w:val="24"/>
          <w:szCs w:val="24"/>
        </w:rPr>
        <w:t xml:space="preserve"> 257/2020 at p 4 of the cyclostyled judgment</w:t>
      </w:r>
      <w:r>
        <w:rPr>
          <w:rFonts w:ascii="Times New Roman" w:hAnsi="Times New Roman" w:cs="Times New Roman"/>
          <w:sz w:val="24"/>
          <w:szCs w:val="24"/>
        </w:rPr>
        <w:t xml:space="preserve"> in the following manner:</w:t>
      </w:r>
    </w:p>
    <w:p w:rsidR="00F91342" w:rsidRDefault="00C64BE1" w:rsidP="00521041">
      <w:pPr>
        <w:spacing w:after="0" w:line="240" w:lineRule="auto"/>
        <w:ind w:left="720" w:firstLine="60"/>
        <w:jc w:val="both"/>
        <w:rPr>
          <w:rFonts w:ascii="Times New Roman" w:hAnsi="Times New Roman" w:cs="Times New Roman"/>
        </w:rPr>
      </w:pPr>
      <w:r w:rsidRPr="00521041">
        <w:rPr>
          <w:rFonts w:ascii="Times New Roman" w:hAnsi="Times New Roman" w:cs="Times New Roman"/>
        </w:rPr>
        <w:t>“</w:t>
      </w:r>
      <w:r w:rsidR="00F91342" w:rsidRPr="00521041">
        <w:rPr>
          <w:rFonts w:ascii="Times New Roman" w:hAnsi="Times New Roman" w:cs="Times New Roman"/>
        </w:rPr>
        <w:t xml:space="preserve">The resolution of the matter revolves upon the meaning of the word “misrepresentation”, enshrined in proviso (ii) of s 47 (1) of the Income Tax Act.  I also had occasion to construe the meaning of “misrepresentation” in </w:t>
      </w:r>
      <w:r w:rsidR="00F91342" w:rsidRPr="00521041">
        <w:rPr>
          <w:rFonts w:ascii="Times New Roman" w:hAnsi="Times New Roman" w:cs="Times New Roman"/>
          <w:i/>
        </w:rPr>
        <w:t xml:space="preserve">DEB (Pvt) Ltd </w:t>
      </w:r>
      <w:r w:rsidR="00F91342" w:rsidRPr="00521041">
        <w:rPr>
          <w:rFonts w:ascii="Times New Roman" w:hAnsi="Times New Roman" w:cs="Times New Roman"/>
        </w:rPr>
        <w:t xml:space="preserve">v </w:t>
      </w:r>
      <w:r w:rsidR="00F91342" w:rsidRPr="00521041">
        <w:rPr>
          <w:rFonts w:ascii="Times New Roman" w:hAnsi="Times New Roman" w:cs="Times New Roman"/>
          <w:i/>
        </w:rPr>
        <w:t xml:space="preserve">Zimra </w:t>
      </w:r>
      <w:r w:rsidR="00F91342" w:rsidRPr="00521041">
        <w:rPr>
          <w:rFonts w:ascii="Times New Roman" w:hAnsi="Times New Roman" w:cs="Times New Roman"/>
        </w:rPr>
        <w:t>HH 664/2019 at p 12</w:t>
      </w:r>
      <w:r w:rsidR="00F91342" w:rsidRPr="00521041">
        <w:rPr>
          <w:rFonts w:ascii="Times New Roman" w:hAnsi="Times New Roman" w:cs="Times New Roman"/>
          <w:i/>
        </w:rPr>
        <w:t xml:space="preserve">, MAN Ltd </w:t>
      </w:r>
      <w:r w:rsidR="00F91342" w:rsidRPr="00521041">
        <w:rPr>
          <w:rFonts w:ascii="Times New Roman" w:hAnsi="Times New Roman" w:cs="Times New Roman"/>
        </w:rPr>
        <w:t xml:space="preserve">v </w:t>
      </w:r>
      <w:r w:rsidR="00F91342" w:rsidRPr="00521041">
        <w:rPr>
          <w:rFonts w:ascii="Times New Roman" w:hAnsi="Times New Roman" w:cs="Times New Roman"/>
          <w:i/>
        </w:rPr>
        <w:t xml:space="preserve">Zimra </w:t>
      </w:r>
      <w:r w:rsidR="00F91342" w:rsidRPr="00521041">
        <w:rPr>
          <w:rFonts w:ascii="Times New Roman" w:hAnsi="Times New Roman" w:cs="Times New Roman"/>
        </w:rPr>
        <w:t xml:space="preserve">HH 78/2010 at p 7 and </w:t>
      </w:r>
      <w:r w:rsidR="00F91342" w:rsidRPr="00521041">
        <w:rPr>
          <w:rFonts w:ascii="Times New Roman" w:hAnsi="Times New Roman" w:cs="Times New Roman"/>
          <w:i/>
        </w:rPr>
        <w:t>SZ (Pvt) Ltd v Zimra</w:t>
      </w:r>
      <w:r w:rsidR="00F91342" w:rsidRPr="00521041">
        <w:rPr>
          <w:rFonts w:ascii="Times New Roman" w:hAnsi="Times New Roman" w:cs="Times New Roman"/>
        </w:rPr>
        <w:t xml:space="preserve"> HH 142/2020 at page 8.  I accorded a wider meaning to the word, which was unaffected by the state of mind of the taxpayer. The essence of my finding was that the making of any incorrect statement, which was prejudicial to the fiscus, constituted the “misrepresentation” contemplated by proviso (ii) to s 47 (1) of the Income Tax Act.  That finding, which I still maintain, accords with the submissions made on the point by Mr </w:t>
      </w:r>
      <w:r w:rsidR="00F91342" w:rsidRPr="00521041">
        <w:rPr>
          <w:rFonts w:ascii="Times New Roman" w:hAnsi="Times New Roman" w:cs="Times New Roman"/>
          <w:i/>
        </w:rPr>
        <w:t>Bhebhe</w:t>
      </w:r>
      <w:r w:rsidR="00F91342" w:rsidRPr="00521041">
        <w:rPr>
          <w:rFonts w:ascii="Times New Roman" w:hAnsi="Times New Roman" w:cs="Times New Roman"/>
        </w:rPr>
        <w:t xml:space="preserve"> and is contrary to all the submissions made by Mr </w:t>
      </w:r>
      <w:r w:rsidR="00F91342" w:rsidRPr="00521041">
        <w:rPr>
          <w:rFonts w:ascii="Times New Roman" w:hAnsi="Times New Roman" w:cs="Times New Roman"/>
          <w:i/>
        </w:rPr>
        <w:t>de Bourbon</w:t>
      </w:r>
      <w:r w:rsidR="00F91342" w:rsidRPr="00521041">
        <w:rPr>
          <w:rFonts w:ascii="Times New Roman" w:hAnsi="Times New Roman" w:cs="Times New Roman"/>
        </w:rPr>
        <w:t>. It seems to me that “misrepresentation” encompasses the activities of the taxpayer which are excluded from “fraud” and “wilful non-disclosure of facts”; otherwise to preface misrepresentation with wilful or any other state of mind would render “misrepresentation” meaningless. After all, the avowed architectural scheme of our Income Tax Act is to ensure that all taxpayers pay their correct and fair share of the tax burden.</w:t>
      </w:r>
      <w:r w:rsidRPr="00521041">
        <w:rPr>
          <w:rFonts w:ascii="Times New Roman" w:hAnsi="Times New Roman" w:cs="Times New Roman"/>
        </w:rPr>
        <w:t>”</w:t>
      </w:r>
    </w:p>
    <w:p w:rsidR="00521041" w:rsidRPr="00521041" w:rsidRDefault="00521041" w:rsidP="00521041">
      <w:pPr>
        <w:spacing w:after="0" w:line="240" w:lineRule="auto"/>
        <w:ind w:left="720" w:firstLine="60"/>
        <w:jc w:val="both"/>
        <w:rPr>
          <w:rFonts w:ascii="Times New Roman" w:hAnsi="Times New Roman" w:cs="Times New Roman"/>
          <w:i/>
        </w:rPr>
      </w:pPr>
    </w:p>
    <w:p w:rsidR="00126A2B" w:rsidRDefault="005327CB"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position at law is that the Commissioner is especially precluded by proviso (ii) to s 47 (1) of the Income Tax Act from reopening an initial assessment which is at least 6 years old, unless he is satisfied that it was based on fr</w:t>
      </w:r>
      <w:r w:rsidR="00806F9A">
        <w:rPr>
          <w:rFonts w:ascii="Times New Roman" w:hAnsi="Times New Roman" w:cs="Times New Roman"/>
          <w:sz w:val="24"/>
          <w:szCs w:val="24"/>
        </w:rPr>
        <w:t>aud or misrepresentation or wil</w:t>
      </w:r>
      <w:r>
        <w:rPr>
          <w:rFonts w:ascii="Times New Roman" w:hAnsi="Times New Roman" w:cs="Times New Roman"/>
          <w:sz w:val="24"/>
          <w:szCs w:val="24"/>
        </w:rPr>
        <w:t xml:space="preserve">ful non-disclosure of facts.  </w:t>
      </w:r>
      <w:r w:rsidR="00B80A93">
        <w:rPr>
          <w:rFonts w:ascii="Times New Roman" w:hAnsi="Times New Roman" w:cs="Times New Roman"/>
          <w:sz w:val="24"/>
          <w:szCs w:val="24"/>
        </w:rPr>
        <w:t>Prescription commences to run from “</w:t>
      </w:r>
      <w:r w:rsidR="00B80A93" w:rsidRPr="00B80A93">
        <w:rPr>
          <w:rFonts w:ascii="Times New Roman" w:hAnsi="Times New Roman" w:cs="Times New Roman"/>
          <w:sz w:val="24"/>
          <w:szCs w:val="24"/>
        </w:rPr>
        <w:t>the end of the relevant year of assessment</w:t>
      </w:r>
      <w:r w:rsidR="00B80A93">
        <w:rPr>
          <w:rFonts w:ascii="Times New Roman" w:hAnsi="Times New Roman" w:cs="Times New Roman"/>
          <w:sz w:val="24"/>
          <w:szCs w:val="24"/>
        </w:rPr>
        <w:t>”.</w:t>
      </w:r>
      <w:r w:rsidRPr="00B80A93">
        <w:rPr>
          <w:rFonts w:ascii="Times New Roman" w:hAnsi="Times New Roman" w:cs="Times New Roman"/>
          <w:sz w:val="24"/>
          <w:szCs w:val="24"/>
        </w:rPr>
        <w:t xml:space="preserve"> </w:t>
      </w:r>
      <w:r w:rsidR="00CA2AB8">
        <w:rPr>
          <w:rFonts w:ascii="Times New Roman" w:hAnsi="Times New Roman" w:cs="Times New Roman"/>
          <w:sz w:val="24"/>
          <w:szCs w:val="24"/>
        </w:rPr>
        <w:t xml:space="preserve">I agree with the sentiments expressed by CLOETE J  in </w:t>
      </w:r>
      <w:r w:rsidR="00CA2AB8" w:rsidRPr="00CA2AB8">
        <w:rPr>
          <w:rFonts w:ascii="Times New Roman" w:hAnsi="Times New Roman" w:cs="Times New Roman"/>
          <w:i/>
          <w:sz w:val="24"/>
          <w:szCs w:val="24"/>
        </w:rPr>
        <w:t>CSARS v Brummeria Rennaissance (Pty) Ltd</w:t>
      </w:r>
      <w:r w:rsidR="00017CF2">
        <w:rPr>
          <w:rFonts w:ascii="Times New Roman" w:hAnsi="Times New Roman" w:cs="Times New Roman"/>
          <w:sz w:val="24"/>
          <w:szCs w:val="24"/>
        </w:rPr>
        <w:t xml:space="preserve"> 69 SATC 20</w:t>
      </w:r>
      <w:r w:rsidR="00CA2AB8">
        <w:rPr>
          <w:rFonts w:ascii="Times New Roman" w:hAnsi="Times New Roman" w:cs="Times New Roman"/>
          <w:sz w:val="24"/>
          <w:szCs w:val="24"/>
        </w:rPr>
        <w:t>5</w:t>
      </w:r>
      <w:r w:rsidR="00A72D62">
        <w:rPr>
          <w:rFonts w:ascii="Times New Roman" w:hAnsi="Times New Roman" w:cs="Times New Roman"/>
          <w:sz w:val="24"/>
          <w:szCs w:val="24"/>
        </w:rPr>
        <w:t xml:space="preserve">, </w:t>
      </w:r>
      <w:r w:rsidR="00A72D62" w:rsidRPr="00A72D62">
        <w:rPr>
          <w:rFonts w:ascii="Times New Roman" w:hAnsi="Times New Roman" w:cs="Times New Roman"/>
          <w:sz w:val="24"/>
          <w:szCs w:val="24"/>
        </w:rPr>
        <w:t>20</w:t>
      </w:r>
      <w:r w:rsidR="0014355B">
        <w:rPr>
          <w:rFonts w:ascii="Times New Roman" w:hAnsi="Times New Roman" w:cs="Times New Roman"/>
          <w:sz w:val="24"/>
          <w:szCs w:val="24"/>
        </w:rPr>
        <w:t>07 (6) SA 601 (SCA) at para</w:t>
      </w:r>
      <w:r w:rsidR="00A72D62">
        <w:rPr>
          <w:rFonts w:ascii="Times New Roman" w:hAnsi="Times New Roman" w:cs="Times New Roman"/>
          <w:sz w:val="24"/>
          <w:szCs w:val="24"/>
        </w:rPr>
        <w:t xml:space="preserve"> 26</w:t>
      </w:r>
      <w:r w:rsidR="00CA2AB8" w:rsidRPr="00A72D62">
        <w:rPr>
          <w:rFonts w:ascii="Times New Roman" w:hAnsi="Times New Roman" w:cs="Times New Roman"/>
          <w:sz w:val="24"/>
          <w:szCs w:val="24"/>
        </w:rPr>
        <w:t xml:space="preserve"> that</w:t>
      </w:r>
      <w:r w:rsidR="00CA2AB8">
        <w:rPr>
          <w:rFonts w:ascii="Times New Roman" w:hAnsi="Times New Roman" w:cs="Times New Roman"/>
          <w:sz w:val="24"/>
          <w:szCs w:val="24"/>
        </w:rPr>
        <w:t>:</w:t>
      </w:r>
    </w:p>
    <w:p w:rsidR="00CA2AB8" w:rsidRDefault="00CA2AB8" w:rsidP="00521041">
      <w:pPr>
        <w:spacing w:after="0" w:line="240" w:lineRule="auto"/>
        <w:ind w:left="720"/>
        <w:jc w:val="both"/>
        <w:rPr>
          <w:rFonts w:ascii="Times New Roman" w:hAnsi="Times New Roman" w:cs="Times New Roman"/>
        </w:rPr>
      </w:pPr>
      <w:r w:rsidRPr="00521041">
        <w:rPr>
          <w:rFonts w:ascii="Times New Roman" w:hAnsi="Times New Roman" w:cs="Times New Roman"/>
        </w:rPr>
        <w:lastRenderedPageBreak/>
        <w:t xml:space="preserve">“It is obviously in the public interest that the Commissioner should collect tax that is payable by a taxpayer. But it is also in the public interest that disputes should come to an end-interest </w:t>
      </w:r>
      <w:r w:rsidRPr="00521041">
        <w:rPr>
          <w:rFonts w:ascii="Times New Roman" w:hAnsi="Times New Roman" w:cs="Times New Roman"/>
          <w:i/>
        </w:rPr>
        <w:t xml:space="preserve">reipublicae ut sit finis litium, </w:t>
      </w:r>
      <w:r w:rsidRPr="00521041">
        <w:rPr>
          <w:rFonts w:ascii="Times New Roman" w:hAnsi="Times New Roman" w:cs="Times New Roman"/>
        </w:rPr>
        <w:t xml:space="preserve">and it would be unfair to an honest taxpayer if the Commissioner were to be allowed to continue to change the basis upon which the taxpayer were assessed until the Commissioner got it right-memories fade, witnesses become unavailable, documents are lost. That is why section 79 (1) seeks to achieve a balance; it allows the Commissioner three years to collect tax, which the legislature regarded as a fair period of time, </w:t>
      </w:r>
      <w:r w:rsidRPr="00521041">
        <w:rPr>
          <w:rFonts w:ascii="Times New Roman" w:hAnsi="Times New Roman" w:cs="Times New Roman"/>
          <w:u w:val="single"/>
        </w:rPr>
        <w:t xml:space="preserve">but it does not protect a taxpayer guilty of fraud, </w:t>
      </w:r>
      <w:r w:rsidR="00F72F44" w:rsidRPr="00521041">
        <w:rPr>
          <w:rFonts w:ascii="Times New Roman" w:hAnsi="Times New Roman" w:cs="Times New Roman"/>
          <w:u w:val="single"/>
        </w:rPr>
        <w:t>misrepresentation or non-disclosure.</w:t>
      </w:r>
      <w:r w:rsidR="00F72F44" w:rsidRPr="00521041">
        <w:rPr>
          <w:rFonts w:ascii="Times New Roman" w:hAnsi="Times New Roman" w:cs="Times New Roman"/>
        </w:rPr>
        <w:t>”</w:t>
      </w:r>
      <w:r w:rsidRPr="00521041">
        <w:rPr>
          <w:rFonts w:ascii="Times New Roman" w:hAnsi="Times New Roman" w:cs="Times New Roman"/>
        </w:rPr>
        <w:t xml:space="preserve"> </w:t>
      </w:r>
      <w:r w:rsidR="00F72F44" w:rsidRPr="00521041">
        <w:rPr>
          <w:rFonts w:ascii="Times New Roman" w:hAnsi="Times New Roman" w:cs="Times New Roman"/>
        </w:rPr>
        <w:t xml:space="preserve"> (My emphasis).</w:t>
      </w:r>
    </w:p>
    <w:p w:rsidR="00521041" w:rsidRPr="00521041" w:rsidRDefault="00521041" w:rsidP="00521041">
      <w:pPr>
        <w:spacing w:after="0" w:line="240" w:lineRule="auto"/>
        <w:ind w:left="720"/>
        <w:jc w:val="both"/>
        <w:rPr>
          <w:rFonts w:ascii="Times New Roman" w:hAnsi="Times New Roman" w:cs="Times New Roman"/>
        </w:rPr>
      </w:pPr>
    </w:p>
    <w:p w:rsidR="00A95F6F" w:rsidRDefault="00F72F44"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sentiments aptly </w:t>
      </w:r>
      <w:r w:rsidR="00995477">
        <w:rPr>
          <w:rFonts w:ascii="Times New Roman" w:hAnsi="Times New Roman" w:cs="Times New Roman"/>
          <w:sz w:val="24"/>
          <w:szCs w:val="24"/>
        </w:rPr>
        <w:t>encapsulate</w:t>
      </w:r>
      <w:r>
        <w:rPr>
          <w:rFonts w:ascii="Times New Roman" w:hAnsi="Times New Roman" w:cs="Times New Roman"/>
          <w:sz w:val="24"/>
          <w:szCs w:val="24"/>
        </w:rPr>
        <w:t xml:space="preserve"> the legislative philosophy behind proviso (ii) to s 47 (1) of our Act. It seeks to balance the interests of revenue collection and those of finality of assessments without protecting a tax payer adjudged by the collector of revenue to be guilty of fraud, </w:t>
      </w:r>
      <w:r w:rsidR="005D3AF0">
        <w:rPr>
          <w:rFonts w:ascii="Times New Roman" w:hAnsi="Times New Roman" w:cs="Times New Roman"/>
          <w:sz w:val="24"/>
          <w:szCs w:val="24"/>
        </w:rPr>
        <w:t>misrepresentation or wil</w:t>
      </w:r>
      <w:r>
        <w:rPr>
          <w:rFonts w:ascii="Times New Roman" w:hAnsi="Times New Roman" w:cs="Times New Roman"/>
          <w:sz w:val="24"/>
          <w:szCs w:val="24"/>
        </w:rPr>
        <w:t>ful non-disclosure of facts. It seems to me that the words that I have underlined in CLOETE J’s formulation underscore the separate and distinct nature of each of the three bases upon which the prescription period can be pierced. I</w:t>
      </w:r>
      <w:r w:rsidR="00EA616A">
        <w:rPr>
          <w:rFonts w:ascii="Times New Roman" w:hAnsi="Times New Roman" w:cs="Times New Roman"/>
          <w:sz w:val="24"/>
          <w:szCs w:val="24"/>
        </w:rPr>
        <w:t>,</w:t>
      </w:r>
      <w:r>
        <w:rPr>
          <w:rFonts w:ascii="Times New Roman" w:hAnsi="Times New Roman" w:cs="Times New Roman"/>
          <w:sz w:val="24"/>
          <w:szCs w:val="24"/>
        </w:rPr>
        <w:t xml:space="preserve"> therefore</w:t>
      </w:r>
      <w:r w:rsidR="00EA616A">
        <w:rPr>
          <w:rFonts w:ascii="Times New Roman" w:hAnsi="Times New Roman" w:cs="Times New Roman"/>
          <w:sz w:val="24"/>
          <w:szCs w:val="24"/>
        </w:rPr>
        <w:t>,</w:t>
      </w:r>
      <w:r>
        <w:rPr>
          <w:rFonts w:ascii="Times New Roman" w:hAnsi="Times New Roman" w:cs="Times New Roman"/>
          <w:sz w:val="24"/>
          <w:szCs w:val="24"/>
        </w:rPr>
        <w:t xml:space="preserve"> agree with Mr </w:t>
      </w:r>
      <w:r w:rsidRPr="00A95F6F">
        <w:rPr>
          <w:rFonts w:ascii="Times New Roman" w:hAnsi="Times New Roman" w:cs="Times New Roman"/>
          <w:i/>
          <w:sz w:val="24"/>
          <w:szCs w:val="24"/>
        </w:rPr>
        <w:t>Magwaliba’s</w:t>
      </w:r>
      <w:r>
        <w:rPr>
          <w:rFonts w:ascii="Times New Roman" w:hAnsi="Times New Roman" w:cs="Times New Roman"/>
          <w:sz w:val="24"/>
          <w:szCs w:val="24"/>
        </w:rPr>
        <w:t xml:space="preserve"> contention that </w:t>
      </w:r>
      <w:r w:rsidR="00A95F6F">
        <w:rPr>
          <w:rFonts w:ascii="Times New Roman" w:hAnsi="Times New Roman" w:cs="Times New Roman"/>
          <w:sz w:val="24"/>
          <w:szCs w:val="24"/>
        </w:rPr>
        <w:t xml:space="preserve">the three </w:t>
      </w:r>
      <w:r w:rsidR="00FC2D60">
        <w:rPr>
          <w:rFonts w:ascii="Times New Roman" w:hAnsi="Times New Roman" w:cs="Times New Roman"/>
          <w:sz w:val="24"/>
          <w:szCs w:val="24"/>
        </w:rPr>
        <w:t>stand-alone</w:t>
      </w:r>
      <w:r w:rsidR="00A95F6F">
        <w:rPr>
          <w:rFonts w:ascii="Times New Roman" w:hAnsi="Times New Roman" w:cs="Times New Roman"/>
          <w:sz w:val="24"/>
          <w:szCs w:val="24"/>
        </w:rPr>
        <w:t xml:space="preserve"> bases for piercing the prescriptive immunity accorded the taxpayer by proviso (ii) are firstly, fraud, secondly misrepr</w:t>
      </w:r>
      <w:r w:rsidR="005D3AF0">
        <w:rPr>
          <w:rFonts w:ascii="Times New Roman" w:hAnsi="Times New Roman" w:cs="Times New Roman"/>
          <w:sz w:val="24"/>
          <w:szCs w:val="24"/>
        </w:rPr>
        <w:t>esentation and thirdly, the wil</w:t>
      </w:r>
      <w:r w:rsidR="00A95F6F">
        <w:rPr>
          <w:rFonts w:ascii="Times New Roman" w:hAnsi="Times New Roman" w:cs="Times New Roman"/>
          <w:sz w:val="24"/>
          <w:szCs w:val="24"/>
        </w:rPr>
        <w:t xml:space="preserve">ful non-disclosure of facts.  I did not hear Mr </w:t>
      </w:r>
      <w:r w:rsidR="00A95F6F" w:rsidRPr="00A95F6F">
        <w:rPr>
          <w:rFonts w:ascii="Times New Roman" w:hAnsi="Times New Roman" w:cs="Times New Roman"/>
          <w:i/>
          <w:sz w:val="24"/>
          <w:szCs w:val="24"/>
        </w:rPr>
        <w:t>Matinenga</w:t>
      </w:r>
      <w:r w:rsidR="00A95F6F">
        <w:rPr>
          <w:rFonts w:ascii="Times New Roman" w:hAnsi="Times New Roman" w:cs="Times New Roman"/>
          <w:sz w:val="24"/>
          <w:szCs w:val="24"/>
        </w:rPr>
        <w:t xml:space="preserve"> make any contrary submission.</w:t>
      </w:r>
    </w:p>
    <w:p w:rsidR="00F72F44" w:rsidRPr="00CA2AB8" w:rsidRDefault="00A95F6F"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communication prior to the objection of 27 October 2017 and in that objection and subsequent grounds of appeal, appellant’s case and in both oral and written submissions, the appellant contended that the Commissioner was precluded from reassessing i</w:t>
      </w:r>
      <w:r w:rsidR="008274D6">
        <w:rPr>
          <w:rFonts w:ascii="Times New Roman" w:hAnsi="Times New Roman" w:cs="Times New Roman"/>
          <w:sz w:val="24"/>
          <w:szCs w:val="24"/>
        </w:rPr>
        <w:t>t in the absence of wil</w:t>
      </w:r>
      <w:r>
        <w:rPr>
          <w:rFonts w:ascii="Times New Roman" w:hAnsi="Times New Roman" w:cs="Times New Roman"/>
          <w:sz w:val="24"/>
          <w:szCs w:val="24"/>
        </w:rPr>
        <w:t xml:space="preserve">ful misrepresentation. </w:t>
      </w:r>
      <w:r w:rsidR="00AE447A">
        <w:rPr>
          <w:rFonts w:ascii="Times New Roman" w:hAnsi="Times New Roman" w:cs="Times New Roman"/>
          <w:sz w:val="24"/>
          <w:szCs w:val="24"/>
        </w:rPr>
        <w:t xml:space="preserve">Mr </w:t>
      </w:r>
      <w:r w:rsidR="00AE447A" w:rsidRPr="008201FB">
        <w:rPr>
          <w:rFonts w:ascii="Times New Roman" w:hAnsi="Times New Roman" w:cs="Times New Roman"/>
          <w:i/>
          <w:sz w:val="24"/>
          <w:szCs w:val="24"/>
        </w:rPr>
        <w:t>Matinenga</w:t>
      </w:r>
      <w:r w:rsidR="00AE447A">
        <w:rPr>
          <w:rFonts w:ascii="Times New Roman" w:hAnsi="Times New Roman" w:cs="Times New Roman"/>
          <w:sz w:val="24"/>
          <w:szCs w:val="24"/>
        </w:rPr>
        <w:t xml:space="preserve"> forcefully argued that the type of misrepresentation en</w:t>
      </w:r>
      <w:r w:rsidR="008274D6">
        <w:rPr>
          <w:rFonts w:ascii="Times New Roman" w:hAnsi="Times New Roman" w:cs="Times New Roman"/>
          <w:sz w:val="24"/>
          <w:szCs w:val="24"/>
        </w:rPr>
        <w:t>visaged by proviso (ii) was wil</w:t>
      </w:r>
      <w:r w:rsidR="00AE447A">
        <w:rPr>
          <w:rFonts w:ascii="Times New Roman" w:hAnsi="Times New Roman" w:cs="Times New Roman"/>
          <w:sz w:val="24"/>
          <w:szCs w:val="24"/>
        </w:rPr>
        <w:t xml:space="preserve">ful as opposed to innocent misrepresentation. </w:t>
      </w:r>
      <w:r w:rsidR="008201FB">
        <w:rPr>
          <w:rFonts w:ascii="Times New Roman" w:hAnsi="Times New Roman" w:cs="Times New Roman"/>
          <w:sz w:val="24"/>
          <w:szCs w:val="24"/>
        </w:rPr>
        <w:t>He contended that the “misrepresentation” attributed to the appellant, being at best innocent in nature, fell outs</w:t>
      </w:r>
      <w:r w:rsidR="00E55C0A">
        <w:rPr>
          <w:rFonts w:ascii="Times New Roman" w:hAnsi="Times New Roman" w:cs="Times New Roman"/>
          <w:sz w:val="24"/>
          <w:szCs w:val="24"/>
        </w:rPr>
        <w:t xml:space="preserve">ide the ambit of proviso (ii). </w:t>
      </w:r>
      <w:r>
        <w:rPr>
          <w:rFonts w:ascii="Times New Roman" w:hAnsi="Times New Roman" w:cs="Times New Roman"/>
          <w:sz w:val="24"/>
          <w:szCs w:val="24"/>
        </w:rPr>
        <w:t>The Commissioner’</w:t>
      </w:r>
      <w:r w:rsidR="00AE447A">
        <w:rPr>
          <w:rFonts w:ascii="Times New Roman" w:hAnsi="Times New Roman" w:cs="Times New Roman"/>
          <w:sz w:val="24"/>
          <w:szCs w:val="24"/>
        </w:rPr>
        <w:t xml:space="preserve">s contrary contention has </w:t>
      </w:r>
      <w:r>
        <w:rPr>
          <w:rFonts w:ascii="Times New Roman" w:hAnsi="Times New Roman" w:cs="Times New Roman"/>
          <w:sz w:val="24"/>
          <w:szCs w:val="24"/>
        </w:rPr>
        <w:t xml:space="preserve">always been that </w:t>
      </w:r>
      <w:r w:rsidR="00AE447A">
        <w:rPr>
          <w:rFonts w:ascii="Times New Roman" w:hAnsi="Times New Roman" w:cs="Times New Roman"/>
          <w:sz w:val="24"/>
          <w:szCs w:val="24"/>
        </w:rPr>
        <w:t>the “misrepresentation” envi</w:t>
      </w:r>
      <w:r w:rsidR="008201FB">
        <w:rPr>
          <w:rFonts w:ascii="Times New Roman" w:hAnsi="Times New Roman" w:cs="Times New Roman"/>
          <w:sz w:val="24"/>
          <w:szCs w:val="24"/>
        </w:rPr>
        <w:t>sioned by the L</w:t>
      </w:r>
      <w:r w:rsidR="00AE447A">
        <w:rPr>
          <w:rFonts w:ascii="Times New Roman" w:hAnsi="Times New Roman" w:cs="Times New Roman"/>
          <w:sz w:val="24"/>
          <w:szCs w:val="24"/>
        </w:rPr>
        <w:t>egislature in proviso (ii) was not delineated by any prece</w:t>
      </w:r>
      <w:r w:rsidR="00847252">
        <w:rPr>
          <w:rFonts w:ascii="Times New Roman" w:hAnsi="Times New Roman" w:cs="Times New Roman"/>
          <w:sz w:val="24"/>
          <w:szCs w:val="24"/>
        </w:rPr>
        <w:t>e</w:t>
      </w:r>
      <w:r w:rsidR="00AE447A">
        <w:rPr>
          <w:rFonts w:ascii="Times New Roman" w:hAnsi="Times New Roman" w:cs="Times New Roman"/>
          <w:sz w:val="24"/>
          <w:szCs w:val="24"/>
        </w:rPr>
        <w:t>ding adjec</w:t>
      </w:r>
      <w:r w:rsidR="00AC6D4B">
        <w:rPr>
          <w:rFonts w:ascii="Times New Roman" w:hAnsi="Times New Roman" w:cs="Times New Roman"/>
          <w:sz w:val="24"/>
          <w:szCs w:val="24"/>
        </w:rPr>
        <w:t>tive such as “fraudulent”, “wil</w:t>
      </w:r>
      <w:r w:rsidR="00AE447A">
        <w:rPr>
          <w:rFonts w:ascii="Times New Roman" w:hAnsi="Times New Roman" w:cs="Times New Roman"/>
          <w:sz w:val="24"/>
          <w:szCs w:val="24"/>
        </w:rPr>
        <w:t xml:space="preserve">ful”, “gross”, “negligent” or “innocent”. </w:t>
      </w:r>
      <w:r w:rsidR="008201FB">
        <w:rPr>
          <w:rFonts w:ascii="Times New Roman" w:hAnsi="Times New Roman" w:cs="Times New Roman"/>
          <w:sz w:val="24"/>
          <w:szCs w:val="24"/>
        </w:rPr>
        <w:t xml:space="preserve">Mr </w:t>
      </w:r>
      <w:r w:rsidR="008201FB" w:rsidRPr="008274D6">
        <w:rPr>
          <w:rFonts w:ascii="Times New Roman" w:hAnsi="Times New Roman" w:cs="Times New Roman"/>
          <w:i/>
          <w:sz w:val="24"/>
          <w:szCs w:val="24"/>
        </w:rPr>
        <w:t>Magwaliba</w:t>
      </w:r>
      <w:r w:rsidR="008201FB" w:rsidRPr="00305E1C">
        <w:rPr>
          <w:rFonts w:ascii="Times New Roman" w:hAnsi="Times New Roman" w:cs="Times New Roman"/>
          <w:sz w:val="24"/>
          <w:szCs w:val="24"/>
        </w:rPr>
        <w:t xml:space="preserve"> </w:t>
      </w:r>
      <w:r w:rsidR="008201FB">
        <w:rPr>
          <w:rFonts w:ascii="Times New Roman" w:hAnsi="Times New Roman" w:cs="Times New Roman"/>
          <w:sz w:val="24"/>
          <w:szCs w:val="24"/>
        </w:rPr>
        <w:t xml:space="preserve">strongly argued that any type of misrepresentation fell within the wide reach of proviso (ii). </w:t>
      </w:r>
      <w:r w:rsidR="00AE447A">
        <w:rPr>
          <w:rFonts w:ascii="Times New Roman" w:hAnsi="Times New Roman" w:cs="Times New Roman"/>
          <w:sz w:val="24"/>
          <w:szCs w:val="24"/>
        </w:rPr>
        <w:t xml:space="preserve"> </w:t>
      </w:r>
    </w:p>
    <w:p w:rsidR="008274D6" w:rsidRDefault="003755EF"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in both the withdrawn and current objection, the appellant raised the issue of prescription </w:t>
      </w:r>
      <w:r w:rsidR="00F54E33">
        <w:rPr>
          <w:rFonts w:ascii="Times New Roman" w:hAnsi="Times New Roman" w:cs="Times New Roman"/>
          <w:sz w:val="24"/>
          <w:szCs w:val="24"/>
        </w:rPr>
        <w:t>against the initial amended assessments of 6 January 2017</w:t>
      </w:r>
      <w:r w:rsidR="006F1437">
        <w:rPr>
          <w:rFonts w:ascii="Times New Roman" w:hAnsi="Times New Roman" w:cs="Times New Roman"/>
          <w:sz w:val="24"/>
          <w:szCs w:val="24"/>
        </w:rPr>
        <w:t>,</w:t>
      </w:r>
      <w:r w:rsidR="00F54E33">
        <w:rPr>
          <w:rFonts w:ascii="Times New Roman" w:hAnsi="Times New Roman" w:cs="Times New Roman"/>
          <w:sz w:val="24"/>
          <w:szCs w:val="24"/>
        </w:rPr>
        <w:t xml:space="preserve"> and the further amended assessments of 10 October 2017</w:t>
      </w:r>
      <w:r w:rsidR="006F1437">
        <w:rPr>
          <w:rFonts w:ascii="Times New Roman" w:hAnsi="Times New Roman" w:cs="Times New Roman"/>
          <w:sz w:val="24"/>
          <w:szCs w:val="24"/>
        </w:rPr>
        <w:t>,</w:t>
      </w:r>
      <w:r w:rsidR="00F54E33">
        <w:rPr>
          <w:rFonts w:ascii="Times New Roman" w:hAnsi="Times New Roman" w:cs="Times New Roman"/>
          <w:sz w:val="24"/>
          <w:szCs w:val="24"/>
        </w:rPr>
        <w:t xml:space="preserve"> </w:t>
      </w:r>
      <w:r>
        <w:rPr>
          <w:rFonts w:ascii="Times New Roman" w:hAnsi="Times New Roman" w:cs="Times New Roman"/>
          <w:sz w:val="24"/>
          <w:szCs w:val="24"/>
        </w:rPr>
        <w:t>in respect of the 2009</w:t>
      </w:r>
      <w:r w:rsidR="00F54E33">
        <w:rPr>
          <w:rFonts w:ascii="Times New Roman" w:hAnsi="Times New Roman" w:cs="Times New Roman"/>
          <w:sz w:val="24"/>
          <w:szCs w:val="24"/>
        </w:rPr>
        <w:t>, 2010 and 2011 tax years</w:t>
      </w:r>
      <w:r>
        <w:rPr>
          <w:rFonts w:ascii="Times New Roman" w:hAnsi="Times New Roman" w:cs="Times New Roman"/>
          <w:sz w:val="24"/>
          <w:szCs w:val="24"/>
        </w:rPr>
        <w:t xml:space="preserve">. </w:t>
      </w:r>
      <w:r w:rsidR="00F76732">
        <w:rPr>
          <w:rFonts w:ascii="Times New Roman" w:hAnsi="Times New Roman" w:cs="Times New Roman"/>
          <w:sz w:val="24"/>
          <w:szCs w:val="24"/>
        </w:rPr>
        <w:t xml:space="preserve">On appeal, the appellant correctly conceded that the 2011 amended assessments had not prescribed when the amended assessments were issued before 31 December 2017. </w:t>
      </w:r>
      <w:r w:rsidR="00CA696C">
        <w:rPr>
          <w:rFonts w:ascii="Times New Roman" w:hAnsi="Times New Roman" w:cs="Times New Roman"/>
          <w:sz w:val="24"/>
          <w:szCs w:val="24"/>
        </w:rPr>
        <w:t xml:space="preserve">It was common cause that </w:t>
      </w:r>
      <w:r w:rsidR="00CA696C">
        <w:rPr>
          <w:rFonts w:ascii="Times New Roman" w:hAnsi="Times New Roman" w:cs="Times New Roman"/>
          <w:sz w:val="24"/>
          <w:szCs w:val="24"/>
        </w:rPr>
        <w:lastRenderedPageBreak/>
        <w:t xml:space="preserve">in the absence of misrepresentation, the 2009 and 2010 self-assessments had prescribed by the time the amended assessments were issued.  It was further common ground that the relevant </w:t>
      </w:r>
      <w:r w:rsidR="008274D6">
        <w:rPr>
          <w:rFonts w:ascii="Times New Roman" w:hAnsi="Times New Roman" w:cs="Times New Roman"/>
          <w:sz w:val="24"/>
          <w:szCs w:val="24"/>
        </w:rPr>
        <w:t xml:space="preserve">supporting </w:t>
      </w:r>
      <w:r w:rsidR="00CA696C">
        <w:rPr>
          <w:rFonts w:ascii="Times New Roman" w:hAnsi="Times New Roman" w:cs="Times New Roman"/>
          <w:sz w:val="24"/>
          <w:szCs w:val="24"/>
        </w:rPr>
        <w:t xml:space="preserve">documents prescribed in s 37A (10) of the Act that where filed together with the self-assessments were the attached tax computations. </w:t>
      </w:r>
    </w:p>
    <w:p w:rsidR="00031BFD" w:rsidRDefault="00CA696C"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averred that it had also attached its audited annual financial s</w:t>
      </w:r>
      <w:r w:rsidR="008274D6">
        <w:rPr>
          <w:rFonts w:ascii="Times New Roman" w:hAnsi="Times New Roman" w:cs="Times New Roman"/>
          <w:sz w:val="24"/>
          <w:szCs w:val="24"/>
        </w:rPr>
        <w:t>tatements, which embodied the “R</w:t>
      </w:r>
      <w:r>
        <w:rPr>
          <w:rFonts w:ascii="Times New Roman" w:hAnsi="Times New Roman" w:cs="Times New Roman"/>
          <w:sz w:val="24"/>
          <w:szCs w:val="24"/>
        </w:rPr>
        <w:t xml:space="preserve">eport of the Independent Auditors.” The sole witness called by the appellant sought to confirm this averment by basing it on what he characterized as the </w:t>
      </w:r>
      <w:r w:rsidR="00CC3101">
        <w:rPr>
          <w:rFonts w:ascii="Times New Roman" w:hAnsi="Times New Roman" w:cs="Times New Roman"/>
          <w:sz w:val="24"/>
          <w:szCs w:val="24"/>
        </w:rPr>
        <w:t>appellant</w:t>
      </w:r>
      <w:r w:rsidR="008274D6">
        <w:rPr>
          <w:rFonts w:ascii="Times New Roman" w:hAnsi="Times New Roman" w:cs="Times New Roman"/>
          <w:sz w:val="24"/>
          <w:szCs w:val="24"/>
        </w:rPr>
        <w:t>’s</w:t>
      </w:r>
      <w:r w:rsidR="00CC3101">
        <w:rPr>
          <w:rFonts w:ascii="Times New Roman" w:hAnsi="Times New Roman" w:cs="Times New Roman"/>
          <w:sz w:val="24"/>
          <w:szCs w:val="24"/>
        </w:rPr>
        <w:t xml:space="preserve"> </w:t>
      </w:r>
      <w:r>
        <w:rPr>
          <w:rFonts w:ascii="Times New Roman" w:hAnsi="Times New Roman" w:cs="Times New Roman"/>
          <w:sz w:val="24"/>
          <w:szCs w:val="24"/>
        </w:rPr>
        <w:t xml:space="preserve">“norms of </w:t>
      </w:r>
      <w:r w:rsidR="00CC3101">
        <w:rPr>
          <w:rFonts w:ascii="Times New Roman" w:hAnsi="Times New Roman" w:cs="Times New Roman"/>
          <w:sz w:val="24"/>
          <w:szCs w:val="24"/>
        </w:rPr>
        <w:t xml:space="preserve">submitting self-assessments”, which always entailed attaching the audited financial </w:t>
      </w:r>
      <w:r w:rsidR="00847252">
        <w:rPr>
          <w:rFonts w:ascii="Times New Roman" w:hAnsi="Times New Roman" w:cs="Times New Roman"/>
          <w:sz w:val="24"/>
          <w:szCs w:val="24"/>
        </w:rPr>
        <w:t>statements and the independent</w:t>
      </w:r>
      <w:r w:rsidR="00CC3101">
        <w:rPr>
          <w:rFonts w:ascii="Times New Roman" w:hAnsi="Times New Roman" w:cs="Times New Roman"/>
          <w:sz w:val="24"/>
          <w:szCs w:val="24"/>
        </w:rPr>
        <w:t xml:space="preserve"> auditors</w:t>
      </w:r>
      <w:r w:rsidR="00847252">
        <w:rPr>
          <w:rFonts w:ascii="Times New Roman" w:hAnsi="Times New Roman" w:cs="Times New Roman"/>
          <w:sz w:val="24"/>
          <w:szCs w:val="24"/>
        </w:rPr>
        <w:t>’</w:t>
      </w:r>
      <w:r w:rsidR="00CC3101">
        <w:rPr>
          <w:rFonts w:ascii="Times New Roman" w:hAnsi="Times New Roman" w:cs="Times New Roman"/>
          <w:sz w:val="24"/>
          <w:szCs w:val="24"/>
        </w:rPr>
        <w:t xml:space="preserve"> report. The probative value of his testimony in this regar</w:t>
      </w:r>
      <w:r w:rsidR="00377FDD">
        <w:rPr>
          <w:rFonts w:ascii="Times New Roman" w:hAnsi="Times New Roman" w:cs="Times New Roman"/>
          <w:sz w:val="24"/>
          <w:szCs w:val="24"/>
        </w:rPr>
        <w:t>d was undermined by the following factors</w:t>
      </w:r>
      <w:r w:rsidR="00CC3101">
        <w:rPr>
          <w:rFonts w:ascii="Times New Roman" w:hAnsi="Times New Roman" w:cs="Times New Roman"/>
          <w:sz w:val="24"/>
          <w:szCs w:val="24"/>
        </w:rPr>
        <w:t xml:space="preserve">. </w:t>
      </w:r>
      <w:r>
        <w:rPr>
          <w:rFonts w:ascii="Times New Roman" w:hAnsi="Times New Roman" w:cs="Times New Roman"/>
          <w:sz w:val="24"/>
          <w:szCs w:val="24"/>
        </w:rPr>
        <w:t xml:space="preserve"> </w:t>
      </w:r>
      <w:r w:rsidR="00070208">
        <w:rPr>
          <w:rFonts w:ascii="Times New Roman" w:hAnsi="Times New Roman" w:cs="Times New Roman"/>
          <w:sz w:val="24"/>
          <w:szCs w:val="24"/>
        </w:rPr>
        <w:t xml:space="preserve">The 2009 self-assessment </w:t>
      </w:r>
      <w:r w:rsidR="00377FDD">
        <w:rPr>
          <w:rFonts w:ascii="Times New Roman" w:hAnsi="Times New Roman" w:cs="Times New Roman"/>
          <w:sz w:val="24"/>
          <w:szCs w:val="24"/>
        </w:rPr>
        <w:t xml:space="preserve">return </w:t>
      </w:r>
      <w:r w:rsidR="00070208">
        <w:rPr>
          <w:rFonts w:ascii="Times New Roman" w:hAnsi="Times New Roman" w:cs="Times New Roman"/>
          <w:sz w:val="24"/>
          <w:szCs w:val="24"/>
        </w:rPr>
        <w:t>was sub</w:t>
      </w:r>
      <w:r w:rsidR="00377FDD">
        <w:rPr>
          <w:rFonts w:ascii="Times New Roman" w:hAnsi="Times New Roman" w:cs="Times New Roman"/>
          <w:sz w:val="24"/>
          <w:szCs w:val="24"/>
        </w:rPr>
        <w:t>mitted to the Commissioner on 29</w:t>
      </w:r>
      <w:r w:rsidR="00070208">
        <w:rPr>
          <w:rFonts w:ascii="Times New Roman" w:hAnsi="Times New Roman" w:cs="Times New Roman"/>
          <w:sz w:val="24"/>
          <w:szCs w:val="24"/>
        </w:rPr>
        <w:t xml:space="preserve"> April 2010.  The 2009 financial statements were approved by the directors and signed on their behalf on 20 April 2010</w:t>
      </w:r>
      <w:r w:rsidR="00070208">
        <w:rPr>
          <w:rStyle w:val="FootnoteReference"/>
          <w:rFonts w:ascii="Times New Roman" w:hAnsi="Times New Roman" w:cs="Times New Roman"/>
          <w:sz w:val="24"/>
          <w:szCs w:val="24"/>
        </w:rPr>
        <w:footnoteReference w:id="11"/>
      </w:r>
      <w:r w:rsidR="00070208">
        <w:rPr>
          <w:rFonts w:ascii="Times New Roman" w:hAnsi="Times New Roman" w:cs="Times New Roman"/>
          <w:sz w:val="24"/>
          <w:szCs w:val="24"/>
        </w:rPr>
        <w:t>. The “Report of the Independent Auditors” was</w:t>
      </w:r>
      <w:r w:rsidR="00377FDD">
        <w:rPr>
          <w:rFonts w:ascii="Times New Roman" w:hAnsi="Times New Roman" w:cs="Times New Roman"/>
          <w:sz w:val="24"/>
          <w:szCs w:val="24"/>
        </w:rPr>
        <w:t>,</w:t>
      </w:r>
      <w:r w:rsidR="00070208">
        <w:rPr>
          <w:rFonts w:ascii="Times New Roman" w:hAnsi="Times New Roman" w:cs="Times New Roman"/>
          <w:sz w:val="24"/>
          <w:szCs w:val="24"/>
        </w:rPr>
        <w:t xml:space="preserve"> however</w:t>
      </w:r>
      <w:r w:rsidR="00377FDD">
        <w:rPr>
          <w:rFonts w:ascii="Times New Roman" w:hAnsi="Times New Roman" w:cs="Times New Roman"/>
          <w:sz w:val="24"/>
          <w:szCs w:val="24"/>
        </w:rPr>
        <w:t>,</w:t>
      </w:r>
      <w:r w:rsidR="00070208">
        <w:rPr>
          <w:rFonts w:ascii="Times New Roman" w:hAnsi="Times New Roman" w:cs="Times New Roman"/>
          <w:sz w:val="24"/>
          <w:szCs w:val="24"/>
        </w:rPr>
        <w:t xml:space="preserve"> provided on 12 May 2010</w:t>
      </w:r>
      <w:r w:rsidR="00070208">
        <w:rPr>
          <w:rStyle w:val="FootnoteReference"/>
          <w:rFonts w:ascii="Times New Roman" w:hAnsi="Times New Roman" w:cs="Times New Roman"/>
          <w:sz w:val="24"/>
          <w:szCs w:val="24"/>
        </w:rPr>
        <w:footnoteReference w:id="12"/>
      </w:r>
      <w:r w:rsidR="00070208">
        <w:rPr>
          <w:rFonts w:ascii="Times New Roman" w:hAnsi="Times New Roman" w:cs="Times New Roman"/>
          <w:sz w:val="24"/>
          <w:szCs w:val="24"/>
        </w:rPr>
        <w:t xml:space="preserve">. </w:t>
      </w:r>
      <w:r w:rsidR="00563EE2">
        <w:rPr>
          <w:rFonts w:ascii="Times New Roman" w:hAnsi="Times New Roman" w:cs="Times New Roman"/>
          <w:sz w:val="24"/>
          <w:szCs w:val="24"/>
        </w:rPr>
        <w:t>The hard copies of 2009 annual report were only availed to the shareholders at the annual general meeting on 19 May 2010</w:t>
      </w:r>
      <w:r w:rsidR="00563EE2">
        <w:rPr>
          <w:rStyle w:val="FootnoteReference"/>
          <w:rFonts w:ascii="Times New Roman" w:hAnsi="Times New Roman" w:cs="Times New Roman"/>
          <w:sz w:val="24"/>
          <w:szCs w:val="24"/>
        </w:rPr>
        <w:footnoteReference w:id="13"/>
      </w:r>
      <w:r w:rsidR="00563EE2">
        <w:rPr>
          <w:rFonts w:ascii="Times New Roman" w:hAnsi="Times New Roman" w:cs="Times New Roman"/>
          <w:sz w:val="24"/>
          <w:szCs w:val="24"/>
        </w:rPr>
        <w:t xml:space="preserve">. </w:t>
      </w:r>
      <w:r w:rsidR="0074448D">
        <w:rPr>
          <w:rFonts w:ascii="Times New Roman" w:hAnsi="Times New Roman" w:cs="Times New Roman"/>
          <w:sz w:val="24"/>
          <w:szCs w:val="24"/>
        </w:rPr>
        <w:t xml:space="preserve">In regards to the 2010 tax year, the self-assessment return was filed </w:t>
      </w:r>
      <w:r w:rsidR="00377FDD">
        <w:rPr>
          <w:rFonts w:ascii="Times New Roman" w:hAnsi="Times New Roman" w:cs="Times New Roman"/>
          <w:sz w:val="24"/>
          <w:szCs w:val="24"/>
        </w:rPr>
        <w:t xml:space="preserve">with the Commissioner on </w:t>
      </w:r>
      <w:r w:rsidR="006B2FFE">
        <w:rPr>
          <w:rFonts w:ascii="Times New Roman" w:hAnsi="Times New Roman" w:cs="Times New Roman"/>
          <w:sz w:val="24"/>
          <w:szCs w:val="24"/>
        </w:rPr>
        <w:t>29 April 2011. The financial statements were approved by the board on 24 March 2011 while the independent auditors’ report was produced on 9 May 2011</w:t>
      </w:r>
      <w:r w:rsidR="006B2FFE">
        <w:rPr>
          <w:rStyle w:val="FootnoteReference"/>
          <w:rFonts w:ascii="Times New Roman" w:hAnsi="Times New Roman" w:cs="Times New Roman"/>
          <w:sz w:val="24"/>
          <w:szCs w:val="24"/>
        </w:rPr>
        <w:footnoteReference w:id="14"/>
      </w:r>
      <w:r w:rsidR="006B2FFE">
        <w:rPr>
          <w:rFonts w:ascii="Times New Roman" w:hAnsi="Times New Roman" w:cs="Times New Roman"/>
          <w:sz w:val="24"/>
          <w:szCs w:val="24"/>
        </w:rPr>
        <w:t xml:space="preserve">. </w:t>
      </w:r>
      <w:r w:rsidR="00563EE2">
        <w:rPr>
          <w:rFonts w:ascii="Times New Roman" w:hAnsi="Times New Roman" w:cs="Times New Roman"/>
          <w:sz w:val="24"/>
          <w:szCs w:val="24"/>
        </w:rPr>
        <w:t xml:space="preserve">This sequence of events established beyond a peradventure that </w:t>
      </w:r>
      <w:r w:rsidR="00070208">
        <w:rPr>
          <w:rFonts w:ascii="Times New Roman" w:hAnsi="Times New Roman" w:cs="Times New Roman"/>
          <w:sz w:val="24"/>
          <w:szCs w:val="24"/>
        </w:rPr>
        <w:t xml:space="preserve"> </w:t>
      </w:r>
      <w:r w:rsidR="00092C56">
        <w:rPr>
          <w:rFonts w:ascii="Times New Roman" w:hAnsi="Times New Roman" w:cs="Times New Roman"/>
          <w:sz w:val="24"/>
          <w:szCs w:val="24"/>
        </w:rPr>
        <w:t xml:space="preserve">the </w:t>
      </w:r>
      <w:r w:rsidR="00070208">
        <w:rPr>
          <w:rFonts w:ascii="Times New Roman" w:hAnsi="Times New Roman" w:cs="Times New Roman"/>
          <w:sz w:val="24"/>
          <w:szCs w:val="24"/>
        </w:rPr>
        <w:t>averment</w:t>
      </w:r>
      <w:r w:rsidR="00563EE2">
        <w:rPr>
          <w:rFonts w:ascii="Times New Roman" w:hAnsi="Times New Roman" w:cs="Times New Roman"/>
          <w:sz w:val="24"/>
          <w:szCs w:val="24"/>
        </w:rPr>
        <w:t>s</w:t>
      </w:r>
      <w:r w:rsidR="00070208">
        <w:rPr>
          <w:rFonts w:ascii="Times New Roman" w:hAnsi="Times New Roman" w:cs="Times New Roman"/>
          <w:sz w:val="24"/>
          <w:szCs w:val="24"/>
        </w:rPr>
        <w:t xml:space="preserve"> in the appellant’s pleadings and paragraph 7 and 8 of its summary of evidence</w:t>
      </w:r>
      <w:r w:rsidR="006F1437">
        <w:rPr>
          <w:rFonts w:ascii="Times New Roman" w:hAnsi="Times New Roman" w:cs="Times New Roman"/>
          <w:sz w:val="24"/>
          <w:szCs w:val="24"/>
        </w:rPr>
        <w:t xml:space="preserve"> together with the “norm based”</w:t>
      </w:r>
      <w:r w:rsidR="00070208">
        <w:rPr>
          <w:rFonts w:ascii="Times New Roman" w:hAnsi="Times New Roman" w:cs="Times New Roman"/>
          <w:sz w:val="24"/>
          <w:szCs w:val="24"/>
        </w:rPr>
        <w:t xml:space="preserve"> oral testimony of the appellant’s sole witness that the financial statements together with the independent auditor’s report were always filed with the self-assessment retu</w:t>
      </w:r>
      <w:r w:rsidR="00092C56">
        <w:rPr>
          <w:rFonts w:ascii="Times New Roman" w:hAnsi="Times New Roman" w:cs="Times New Roman"/>
          <w:sz w:val="24"/>
          <w:szCs w:val="24"/>
        </w:rPr>
        <w:t>rn were</w:t>
      </w:r>
      <w:r w:rsidR="00563EE2">
        <w:rPr>
          <w:rFonts w:ascii="Times New Roman" w:hAnsi="Times New Roman" w:cs="Times New Roman"/>
          <w:sz w:val="24"/>
          <w:szCs w:val="24"/>
        </w:rPr>
        <w:t xml:space="preserve"> demonstrably false.</w:t>
      </w:r>
      <w:r w:rsidR="00070208">
        <w:rPr>
          <w:rFonts w:ascii="Times New Roman" w:hAnsi="Times New Roman" w:cs="Times New Roman"/>
          <w:sz w:val="24"/>
          <w:szCs w:val="24"/>
        </w:rPr>
        <w:t xml:space="preserve"> </w:t>
      </w:r>
    </w:p>
    <w:p w:rsidR="002E63F6" w:rsidRDefault="00914E93"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any event, there was no </w:t>
      </w:r>
      <w:r w:rsidR="00CC3101">
        <w:rPr>
          <w:rFonts w:ascii="Times New Roman" w:hAnsi="Times New Roman" w:cs="Times New Roman"/>
          <w:sz w:val="24"/>
          <w:szCs w:val="24"/>
        </w:rPr>
        <w:t xml:space="preserve">direct evidence </w:t>
      </w:r>
      <w:r>
        <w:rPr>
          <w:rFonts w:ascii="Times New Roman" w:hAnsi="Times New Roman" w:cs="Times New Roman"/>
          <w:sz w:val="24"/>
          <w:szCs w:val="24"/>
        </w:rPr>
        <w:t>from the persons who were involved in compiling and</w:t>
      </w:r>
      <w:r w:rsidR="006607FB">
        <w:rPr>
          <w:rFonts w:ascii="Times New Roman" w:hAnsi="Times New Roman" w:cs="Times New Roman"/>
          <w:sz w:val="24"/>
          <w:szCs w:val="24"/>
        </w:rPr>
        <w:t xml:space="preserve"> submitting the self-assessment</w:t>
      </w:r>
      <w:r>
        <w:rPr>
          <w:rFonts w:ascii="Times New Roman" w:hAnsi="Times New Roman" w:cs="Times New Roman"/>
          <w:sz w:val="24"/>
          <w:szCs w:val="24"/>
        </w:rPr>
        <w:t xml:space="preserve"> returns t</w:t>
      </w:r>
      <w:r w:rsidR="00CC3101">
        <w:rPr>
          <w:rFonts w:ascii="Times New Roman" w:hAnsi="Times New Roman" w:cs="Times New Roman"/>
          <w:sz w:val="24"/>
          <w:szCs w:val="24"/>
        </w:rPr>
        <w:t xml:space="preserve">o establish the </w:t>
      </w:r>
      <w:r>
        <w:rPr>
          <w:rFonts w:ascii="Times New Roman" w:hAnsi="Times New Roman" w:cs="Times New Roman"/>
          <w:sz w:val="24"/>
          <w:szCs w:val="24"/>
        </w:rPr>
        <w:t xml:space="preserve">so called </w:t>
      </w:r>
      <w:r w:rsidR="00CC3101">
        <w:rPr>
          <w:rFonts w:ascii="Times New Roman" w:hAnsi="Times New Roman" w:cs="Times New Roman"/>
          <w:sz w:val="24"/>
          <w:szCs w:val="24"/>
        </w:rPr>
        <w:t>norm</w:t>
      </w:r>
      <w:r>
        <w:rPr>
          <w:rFonts w:ascii="Times New Roman" w:hAnsi="Times New Roman" w:cs="Times New Roman"/>
          <w:sz w:val="24"/>
          <w:szCs w:val="24"/>
        </w:rPr>
        <w:t xml:space="preserve">. </w:t>
      </w:r>
      <w:r w:rsidR="00031BFD">
        <w:rPr>
          <w:rFonts w:ascii="Times New Roman" w:hAnsi="Times New Roman" w:cs="Times New Roman"/>
          <w:sz w:val="24"/>
          <w:szCs w:val="24"/>
        </w:rPr>
        <w:t xml:space="preserve"> The sole witness was not the appropriate witness to testify on the events that transpired in 2009, 2010 and 2011, long before he joined the appellant</w:t>
      </w:r>
      <w:r w:rsidR="00A43FD7">
        <w:rPr>
          <w:rFonts w:ascii="Times New Roman" w:hAnsi="Times New Roman" w:cs="Times New Roman"/>
          <w:sz w:val="24"/>
          <w:szCs w:val="24"/>
        </w:rPr>
        <w:t xml:space="preserve"> in 2014</w:t>
      </w:r>
      <w:r w:rsidR="00031BFD">
        <w:rPr>
          <w:rFonts w:ascii="Times New Roman" w:hAnsi="Times New Roman" w:cs="Times New Roman"/>
          <w:sz w:val="24"/>
          <w:szCs w:val="24"/>
        </w:rPr>
        <w:t xml:space="preserve">. He had no contact with the transactions in issue or as it turned out from the contents of the financial statements, access to the memories of the appellant. He </w:t>
      </w:r>
      <w:r w:rsidR="002E63F6">
        <w:rPr>
          <w:rFonts w:ascii="Times New Roman" w:hAnsi="Times New Roman" w:cs="Times New Roman"/>
          <w:sz w:val="24"/>
          <w:szCs w:val="24"/>
        </w:rPr>
        <w:t xml:space="preserve">did not meet the legal capacity to testify for the appellant that was eloquently </w:t>
      </w:r>
      <w:r w:rsidR="002E63F6">
        <w:rPr>
          <w:rFonts w:ascii="Times New Roman" w:hAnsi="Times New Roman" w:cs="Times New Roman"/>
          <w:sz w:val="24"/>
          <w:szCs w:val="24"/>
        </w:rPr>
        <w:lastRenderedPageBreak/>
        <w:t>prescribed by MAKARAU JP, as she then was,</w:t>
      </w:r>
      <w:r w:rsidR="000B573E">
        <w:rPr>
          <w:rFonts w:ascii="Times New Roman" w:hAnsi="Times New Roman" w:cs="Times New Roman"/>
          <w:sz w:val="24"/>
          <w:szCs w:val="24"/>
        </w:rPr>
        <w:t xml:space="preserve"> in</w:t>
      </w:r>
      <w:r w:rsidR="002E63F6">
        <w:rPr>
          <w:rFonts w:ascii="Times New Roman" w:hAnsi="Times New Roman" w:cs="Times New Roman"/>
          <w:sz w:val="24"/>
          <w:szCs w:val="24"/>
        </w:rPr>
        <w:t xml:space="preserve"> </w:t>
      </w:r>
      <w:r w:rsidR="002E63F6" w:rsidRPr="002E63F6">
        <w:rPr>
          <w:rFonts w:ascii="Times New Roman" w:hAnsi="Times New Roman" w:cs="Times New Roman"/>
          <w:i/>
          <w:sz w:val="24"/>
          <w:szCs w:val="24"/>
        </w:rPr>
        <w:t>Antonio v Ashanti Goldfields Zimbabwe Ltd &amp; Anor</w:t>
      </w:r>
      <w:r w:rsidR="002E63F6">
        <w:rPr>
          <w:rFonts w:ascii="Times New Roman" w:hAnsi="Times New Roman" w:cs="Times New Roman"/>
          <w:sz w:val="24"/>
          <w:szCs w:val="24"/>
        </w:rPr>
        <w:t xml:space="preserve"> 2009 (2) ZLR 372</w:t>
      </w:r>
      <w:r w:rsidR="000B573E">
        <w:rPr>
          <w:rFonts w:ascii="Times New Roman" w:hAnsi="Times New Roman" w:cs="Times New Roman"/>
          <w:sz w:val="24"/>
          <w:szCs w:val="24"/>
        </w:rPr>
        <w:t xml:space="preserve"> </w:t>
      </w:r>
      <w:r w:rsidR="002E63F6">
        <w:rPr>
          <w:rFonts w:ascii="Times New Roman" w:hAnsi="Times New Roman" w:cs="Times New Roman"/>
          <w:sz w:val="24"/>
          <w:szCs w:val="24"/>
        </w:rPr>
        <w:t>H) at 384D-E, that:</w:t>
      </w:r>
    </w:p>
    <w:p w:rsidR="00031BFD" w:rsidRDefault="002E63F6" w:rsidP="00521041">
      <w:pPr>
        <w:spacing w:after="0" w:line="240" w:lineRule="auto"/>
        <w:ind w:left="720"/>
        <w:jc w:val="both"/>
        <w:rPr>
          <w:rFonts w:ascii="Times New Roman" w:hAnsi="Times New Roman" w:cs="Times New Roman"/>
        </w:rPr>
      </w:pPr>
      <w:r w:rsidRPr="00521041">
        <w:rPr>
          <w:rFonts w:ascii="Times New Roman" w:hAnsi="Times New Roman" w:cs="Times New Roman"/>
        </w:rPr>
        <w:t>“It is trite, in my view, that it is not every employee who can give evidence on behalf of a corporate body such as the defendant which has a board of directors and an executive management. The employee who gives evidence on behalf of a corporate litigant must be suitably placed within the corporate governance structures of the defendant to have knowledge of the facts that he testifies about. This knowledge can be derived from the employee</w:t>
      </w:r>
      <w:r w:rsidR="00277B1B" w:rsidRPr="00521041">
        <w:rPr>
          <w:rFonts w:ascii="Times New Roman" w:hAnsi="Times New Roman" w:cs="Times New Roman"/>
        </w:rPr>
        <w:t>’</w:t>
      </w:r>
      <w:r w:rsidRPr="00521041">
        <w:rPr>
          <w:rFonts w:ascii="Times New Roman" w:hAnsi="Times New Roman" w:cs="Times New Roman"/>
        </w:rPr>
        <w:t xml:space="preserve">s contact with the transactions in issue or from their position in the corporation that allows them access to the memories of the corporate body.”  </w:t>
      </w:r>
      <w:r w:rsidR="00CC3101" w:rsidRPr="00521041">
        <w:rPr>
          <w:rFonts w:ascii="Times New Roman" w:hAnsi="Times New Roman" w:cs="Times New Roman"/>
        </w:rPr>
        <w:t xml:space="preserve"> </w:t>
      </w:r>
    </w:p>
    <w:p w:rsidR="00521041" w:rsidRPr="00521041" w:rsidRDefault="00521041" w:rsidP="00521041">
      <w:pPr>
        <w:spacing w:after="0" w:line="240" w:lineRule="auto"/>
        <w:ind w:left="720"/>
        <w:jc w:val="both"/>
        <w:rPr>
          <w:rFonts w:ascii="Times New Roman" w:hAnsi="Times New Roman" w:cs="Times New Roman"/>
        </w:rPr>
      </w:pPr>
    </w:p>
    <w:p w:rsidR="00DD26C3" w:rsidRDefault="00306CB1"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further common cause that the globular expenses indicated in the self-assessment return</w:t>
      </w:r>
      <w:r w:rsidR="00521B4E">
        <w:rPr>
          <w:rFonts w:ascii="Times New Roman" w:hAnsi="Times New Roman" w:cs="Times New Roman"/>
          <w:sz w:val="24"/>
          <w:szCs w:val="24"/>
        </w:rPr>
        <w:t>s</w:t>
      </w:r>
      <w:r>
        <w:rPr>
          <w:rFonts w:ascii="Times New Roman" w:hAnsi="Times New Roman" w:cs="Times New Roman"/>
          <w:sz w:val="24"/>
          <w:szCs w:val="24"/>
        </w:rPr>
        <w:t xml:space="preserve"> where not desegregated in the accompanying relevant tax computation document. The effect being that the Commissioner would not know by merely</w:t>
      </w:r>
      <w:r w:rsidR="00377FDD">
        <w:rPr>
          <w:rFonts w:ascii="Times New Roman" w:hAnsi="Times New Roman" w:cs="Times New Roman"/>
          <w:sz w:val="24"/>
          <w:szCs w:val="24"/>
        </w:rPr>
        <w:t xml:space="preserve"> looking at the figures what expenditure</w:t>
      </w:r>
      <w:r>
        <w:rPr>
          <w:rFonts w:ascii="Times New Roman" w:hAnsi="Times New Roman" w:cs="Times New Roman"/>
          <w:sz w:val="24"/>
          <w:szCs w:val="24"/>
        </w:rPr>
        <w:t xml:space="preserve"> lines constituted these expenses. It was furthe</w:t>
      </w:r>
      <w:r w:rsidR="006607FB">
        <w:rPr>
          <w:rFonts w:ascii="Times New Roman" w:hAnsi="Times New Roman" w:cs="Times New Roman"/>
          <w:sz w:val="24"/>
          <w:szCs w:val="24"/>
        </w:rPr>
        <w:t xml:space="preserve">r common cause that </w:t>
      </w:r>
      <w:r>
        <w:rPr>
          <w:rFonts w:ascii="Times New Roman" w:hAnsi="Times New Roman" w:cs="Times New Roman"/>
          <w:sz w:val="24"/>
          <w:szCs w:val="24"/>
        </w:rPr>
        <w:t xml:space="preserve">the financial statements </w:t>
      </w:r>
      <w:r w:rsidR="006607FB">
        <w:rPr>
          <w:rFonts w:ascii="Times New Roman" w:hAnsi="Times New Roman" w:cs="Times New Roman"/>
          <w:sz w:val="24"/>
          <w:szCs w:val="24"/>
        </w:rPr>
        <w:t xml:space="preserve">together with trial balances would have provided full and frank disclosure </w:t>
      </w:r>
      <w:r w:rsidR="00C93307">
        <w:rPr>
          <w:rFonts w:ascii="Times New Roman" w:hAnsi="Times New Roman" w:cs="Times New Roman"/>
          <w:sz w:val="24"/>
          <w:szCs w:val="24"/>
        </w:rPr>
        <w:t xml:space="preserve">of the composition and nature of the expenses claimed in the self-assessments. These documents were only supplied to the Commissioner at his request during the investigation in 2016. </w:t>
      </w:r>
      <w:r w:rsidR="00622F6B">
        <w:rPr>
          <w:rFonts w:ascii="Times New Roman" w:hAnsi="Times New Roman" w:cs="Times New Roman"/>
          <w:sz w:val="24"/>
          <w:szCs w:val="24"/>
        </w:rPr>
        <w:t xml:space="preserve">The Commissioner scrutinized the expenses in the documents supplied during the investigation and disallowed those expenses that did not fall within the ambit of the general deduction formula such as provisions for creditors, leave pay provisions, entertainment, sundry creditors, administration and professional fees, advisory taxes and consultancy, gifts, software and development, bonus provisions and inter-company accruals and </w:t>
      </w:r>
      <w:r w:rsidR="00E6079D">
        <w:rPr>
          <w:rFonts w:ascii="Times New Roman" w:hAnsi="Times New Roman" w:cs="Times New Roman"/>
          <w:sz w:val="24"/>
          <w:szCs w:val="24"/>
        </w:rPr>
        <w:t>management fees</w:t>
      </w:r>
      <w:r w:rsidR="00E55C0A">
        <w:rPr>
          <w:rFonts w:ascii="Times New Roman" w:hAnsi="Times New Roman" w:cs="Times New Roman"/>
          <w:sz w:val="24"/>
          <w:szCs w:val="24"/>
        </w:rPr>
        <w:t xml:space="preserve"> in the sum of</w:t>
      </w:r>
      <w:r w:rsidR="00E55C0A">
        <w:rPr>
          <w:rFonts w:ascii="Times New Roman" w:hAnsi="Times New Roman" w:cs="Times New Roman"/>
          <w:b/>
          <w:sz w:val="24"/>
          <w:szCs w:val="24"/>
        </w:rPr>
        <w:t xml:space="preserve"> </w:t>
      </w:r>
      <w:r w:rsidR="0025333D">
        <w:rPr>
          <w:rFonts w:ascii="Times New Roman" w:hAnsi="Times New Roman" w:cs="Times New Roman"/>
          <w:sz w:val="24"/>
          <w:szCs w:val="24"/>
        </w:rPr>
        <w:t>US</w:t>
      </w:r>
      <w:r w:rsidR="00E55C0A" w:rsidRPr="00E55C0A">
        <w:rPr>
          <w:rFonts w:ascii="Times New Roman" w:hAnsi="Times New Roman" w:cs="Times New Roman"/>
          <w:sz w:val="24"/>
          <w:szCs w:val="24"/>
        </w:rPr>
        <w:t xml:space="preserve">$996 497.70 in 2009 and </w:t>
      </w:r>
      <w:r w:rsidR="0025333D">
        <w:rPr>
          <w:rFonts w:ascii="Times New Roman" w:hAnsi="Times New Roman" w:cs="Times New Roman"/>
          <w:sz w:val="24"/>
          <w:szCs w:val="24"/>
        </w:rPr>
        <w:t>US</w:t>
      </w:r>
      <w:r w:rsidR="00E55C0A" w:rsidRPr="00E55C0A">
        <w:rPr>
          <w:rFonts w:ascii="Times New Roman" w:hAnsi="Times New Roman" w:cs="Times New Roman"/>
          <w:sz w:val="24"/>
          <w:szCs w:val="24"/>
        </w:rPr>
        <w:t xml:space="preserve">$304 788.94 in 2010 </w:t>
      </w:r>
      <w:r w:rsidR="00E55C0A">
        <w:rPr>
          <w:rFonts w:ascii="Times New Roman" w:hAnsi="Times New Roman" w:cs="Times New Roman"/>
          <w:sz w:val="24"/>
          <w:szCs w:val="24"/>
        </w:rPr>
        <w:t>for the cumulative under</w:t>
      </w:r>
      <w:r w:rsidR="0025333D">
        <w:rPr>
          <w:rFonts w:ascii="Times New Roman" w:hAnsi="Times New Roman" w:cs="Times New Roman"/>
          <w:sz w:val="24"/>
          <w:szCs w:val="24"/>
        </w:rPr>
        <w:t>payment of tax in the two years of</w:t>
      </w:r>
      <w:r w:rsidR="00E55C0A">
        <w:rPr>
          <w:rFonts w:ascii="Times New Roman" w:hAnsi="Times New Roman" w:cs="Times New Roman"/>
          <w:sz w:val="24"/>
          <w:szCs w:val="24"/>
        </w:rPr>
        <w:t xml:space="preserve"> </w:t>
      </w:r>
      <w:r w:rsidR="0025333D">
        <w:rPr>
          <w:rFonts w:ascii="Times New Roman" w:hAnsi="Times New Roman" w:cs="Times New Roman"/>
          <w:sz w:val="24"/>
          <w:szCs w:val="24"/>
        </w:rPr>
        <w:t>US</w:t>
      </w:r>
      <w:r w:rsidR="00E55C0A">
        <w:rPr>
          <w:rFonts w:ascii="Times New Roman" w:hAnsi="Times New Roman" w:cs="Times New Roman"/>
          <w:sz w:val="24"/>
          <w:szCs w:val="24"/>
        </w:rPr>
        <w:t>$386 401.35</w:t>
      </w:r>
      <w:r w:rsidR="00E6079D">
        <w:rPr>
          <w:rFonts w:ascii="Times New Roman" w:hAnsi="Times New Roman" w:cs="Times New Roman"/>
          <w:sz w:val="24"/>
          <w:szCs w:val="24"/>
        </w:rPr>
        <w:t xml:space="preserve">. </w:t>
      </w:r>
      <w:r w:rsidR="00803DA0">
        <w:rPr>
          <w:rFonts w:ascii="Times New Roman" w:hAnsi="Times New Roman" w:cs="Times New Roman"/>
          <w:sz w:val="24"/>
          <w:szCs w:val="24"/>
        </w:rPr>
        <w:t>He t</w:t>
      </w:r>
      <w:r w:rsidR="0010046F">
        <w:rPr>
          <w:rFonts w:ascii="Times New Roman" w:hAnsi="Times New Roman" w:cs="Times New Roman"/>
          <w:sz w:val="24"/>
          <w:szCs w:val="24"/>
        </w:rPr>
        <w:t>ook the view that the non-</w:t>
      </w:r>
      <w:r w:rsidR="00803DA0">
        <w:rPr>
          <w:rFonts w:ascii="Times New Roman" w:hAnsi="Times New Roman" w:cs="Times New Roman"/>
          <w:sz w:val="24"/>
          <w:szCs w:val="24"/>
        </w:rPr>
        <w:t>disclos</w:t>
      </w:r>
      <w:r w:rsidR="0010046F">
        <w:rPr>
          <w:rFonts w:ascii="Times New Roman" w:hAnsi="Times New Roman" w:cs="Times New Roman"/>
          <w:sz w:val="24"/>
          <w:szCs w:val="24"/>
        </w:rPr>
        <w:t>ur</w:t>
      </w:r>
      <w:r w:rsidR="00803DA0">
        <w:rPr>
          <w:rFonts w:ascii="Times New Roman" w:hAnsi="Times New Roman" w:cs="Times New Roman"/>
          <w:sz w:val="24"/>
          <w:szCs w:val="24"/>
        </w:rPr>
        <w:t xml:space="preserve">e </w:t>
      </w:r>
      <w:r w:rsidR="0010046F">
        <w:rPr>
          <w:rFonts w:ascii="Times New Roman" w:hAnsi="Times New Roman" w:cs="Times New Roman"/>
          <w:sz w:val="24"/>
          <w:szCs w:val="24"/>
        </w:rPr>
        <w:t xml:space="preserve">of </w:t>
      </w:r>
      <w:r w:rsidR="00803DA0">
        <w:rPr>
          <w:rFonts w:ascii="Times New Roman" w:hAnsi="Times New Roman" w:cs="Times New Roman"/>
          <w:sz w:val="24"/>
          <w:szCs w:val="24"/>
        </w:rPr>
        <w:t xml:space="preserve">the </w:t>
      </w:r>
      <w:r w:rsidR="0010046F">
        <w:rPr>
          <w:rFonts w:ascii="Times New Roman" w:hAnsi="Times New Roman" w:cs="Times New Roman"/>
          <w:sz w:val="24"/>
          <w:szCs w:val="24"/>
        </w:rPr>
        <w:t>composition</w:t>
      </w:r>
      <w:r w:rsidR="00803DA0">
        <w:rPr>
          <w:rFonts w:ascii="Times New Roman" w:hAnsi="Times New Roman" w:cs="Times New Roman"/>
          <w:sz w:val="24"/>
          <w:szCs w:val="24"/>
        </w:rPr>
        <w:t xml:space="preserve"> </w:t>
      </w:r>
      <w:r w:rsidR="006577A6">
        <w:rPr>
          <w:rFonts w:ascii="Times New Roman" w:hAnsi="Times New Roman" w:cs="Times New Roman"/>
          <w:sz w:val="24"/>
          <w:szCs w:val="24"/>
        </w:rPr>
        <w:t xml:space="preserve">or nature </w:t>
      </w:r>
      <w:r w:rsidR="00803DA0">
        <w:rPr>
          <w:rFonts w:ascii="Times New Roman" w:hAnsi="Times New Roman" w:cs="Times New Roman"/>
          <w:sz w:val="24"/>
          <w:szCs w:val="24"/>
        </w:rPr>
        <w:t xml:space="preserve">of these “expenses” constituted the necessary misrepresentation, which entitled him to re-open the self-assessments that were six or more years old. </w:t>
      </w:r>
    </w:p>
    <w:p w:rsidR="0009100E" w:rsidRDefault="000D1CFB" w:rsidP="00521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1041">
        <w:rPr>
          <w:rFonts w:ascii="Times New Roman" w:hAnsi="Times New Roman" w:cs="Times New Roman"/>
          <w:sz w:val="24"/>
          <w:szCs w:val="24"/>
        </w:rPr>
        <w:tab/>
      </w:r>
      <w:r w:rsidR="0009100E">
        <w:rPr>
          <w:rFonts w:ascii="Times New Roman" w:hAnsi="Times New Roman" w:cs="Times New Roman"/>
          <w:sz w:val="24"/>
          <w:szCs w:val="24"/>
        </w:rPr>
        <w:t xml:space="preserve">In his oral testimony, the sole witness called by the appellant virtually conceded that the globular expenses in the self-assessments embodied misstatements </w:t>
      </w:r>
      <w:r w:rsidR="004F0B25">
        <w:rPr>
          <w:rFonts w:ascii="Times New Roman" w:hAnsi="Times New Roman" w:cs="Times New Roman"/>
          <w:sz w:val="24"/>
          <w:szCs w:val="24"/>
        </w:rPr>
        <w:t xml:space="preserve">of figures that constituted non-deductible amounts and which falsified the appellant’s tax liability to the prejudice of the fiscus. He, </w:t>
      </w:r>
      <w:r w:rsidR="00560F4A">
        <w:rPr>
          <w:rFonts w:ascii="Times New Roman" w:hAnsi="Times New Roman" w:cs="Times New Roman"/>
          <w:sz w:val="24"/>
          <w:szCs w:val="24"/>
        </w:rPr>
        <w:t>however, variably termed them</w:t>
      </w:r>
      <w:r w:rsidR="004F0B25">
        <w:rPr>
          <w:rFonts w:ascii="Times New Roman" w:hAnsi="Times New Roman" w:cs="Times New Roman"/>
          <w:sz w:val="24"/>
          <w:szCs w:val="24"/>
        </w:rPr>
        <w:t xml:space="preserve"> human errors, errors of law, ignorance of </w:t>
      </w:r>
      <w:r w:rsidR="00377FDD">
        <w:rPr>
          <w:rFonts w:ascii="Times New Roman" w:hAnsi="Times New Roman" w:cs="Times New Roman"/>
          <w:sz w:val="24"/>
          <w:szCs w:val="24"/>
        </w:rPr>
        <w:t>the law, interpretation differences</w:t>
      </w:r>
      <w:r w:rsidR="004F0B25">
        <w:rPr>
          <w:rFonts w:ascii="Times New Roman" w:hAnsi="Times New Roman" w:cs="Times New Roman"/>
          <w:sz w:val="24"/>
          <w:szCs w:val="24"/>
        </w:rPr>
        <w:t xml:space="preserve"> and innocent misrepresentations.</w:t>
      </w:r>
    </w:p>
    <w:p w:rsidR="008D621A" w:rsidRDefault="008D621A"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Income Tax Act does not define misrepresentation. It is trite that in construing the term, I am required to pay regard to both the text </w:t>
      </w:r>
      <w:r w:rsidR="00F37983">
        <w:rPr>
          <w:rFonts w:ascii="Times New Roman" w:hAnsi="Times New Roman" w:cs="Times New Roman"/>
          <w:sz w:val="24"/>
          <w:szCs w:val="24"/>
        </w:rPr>
        <w:t xml:space="preserve">of the word </w:t>
      </w:r>
      <w:r>
        <w:rPr>
          <w:rFonts w:ascii="Times New Roman" w:hAnsi="Times New Roman" w:cs="Times New Roman"/>
          <w:sz w:val="24"/>
          <w:szCs w:val="24"/>
        </w:rPr>
        <w:t xml:space="preserve">and </w:t>
      </w:r>
      <w:r w:rsidR="00F37983">
        <w:rPr>
          <w:rFonts w:ascii="Times New Roman" w:hAnsi="Times New Roman" w:cs="Times New Roman"/>
          <w:sz w:val="24"/>
          <w:szCs w:val="24"/>
        </w:rPr>
        <w:t xml:space="preserve">the </w:t>
      </w:r>
      <w:r>
        <w:rPr>
          <w:rFonts w:ascii="Times New Roman" w:hAnsi="Times New Roman" w:cs="Times New Roman"/>
          <w:sz w:val="24"/>
          <w:szCs w:val="24"/>
        </w:rPr>
        <w:t xml:space="preserve">context </w:t>
      </w:r>
      <w:r w:rsidR="00F37983">
        <w:rPr>
          <w:rFonts w:ascii="Times New Roman" w:hAnsi="Times New Roman" w:cs="Times New Roman"/>
          <w:sz w:val="24"/>
          <w:szCs w:val="24"/>
        </w:rPr>
        <w:t xml:space="preserve">in which it appears. </w:t>
      </w:r>
      <w:r w:rsidR="00F37983">
        <w:rPr>
          <w:rFonts w:ascii="Times New Roman" w:hAnsi="Times New Roman" w:cs="Times New Roman"/>
          <w:sz w:val="24"/>
          <w:szCs w:val="24"/>
        </w:rPr>
        <w:lastRenderedPageBreak/>
        <w:t>In the absence of a statutory definitio</w:t>
      </w:r>
      <w:r w:rsidR="00377FDD">
        <w:rPr>
          <w:rFonts w:ascii="Times New Roman" w:hAnsi="Times New Roman" w:cs="Times New Roman"/>
          <w:sz w:val="24"/>
          <w:szCs w:val="24"/>
        </w:rPr>
        <w:t xml:space="preserve">n of the word, </w:t>
      </w:r>
      <w:r w:rsidR="00F37983">
        <w:rPr>
          <w:rFonts w:ascii="Times New Roman" w:hAnsi="Times New Roman" w:cs="Times New Roman"/>
          <w:sz w:val="24"/>
          <w:szCs w:val="24"/>
        </w:rPr>
        <w:t xml:space="preserve">regard </w:t>
      </w:r>
      <w:r w:rsidR="00377FDD">
        <w:rPr>
          <w:rFonts w:ascii="Times New Roman" w:hAnsi="Times New Roman" w:cs="Times New Roman"/>
          <w:sz w:val="24"/>
          <w:szCs w:val="24"/>
        </w:rPr>
        <w:t xml:space="preserve">must be had </w:t>
      </w:r>
      <w:r w:rsidR="00F37983">
        <w:rPr>
          <w:rFonts w:ascii="Times New Roman" w:hAnsi="Times New Roman" w:cs="Times New Roman"/>
          <w:sz w:val="24"/>
          <w:szCs w:val="24"/>
        </w:rPr>
        <w:t xml:space="preserve">to the golden rule of interpretation, which </w:t>
      </w:r>
      <w:r w:rsidR="00377FDD">
        <w:rPr>
          <w:rFonts w:ascii="Times New Roman" w:hAnsi="Times New Roman" w:cs="Times New Roman"/>
          <w:sz w:val="24"/>
          <w:szCs w:val="24"/>
        </w:rPr>
        <w:t>requir</w:t>
      </w:r>
      <w:r w:rsidR="00F37983">
        <w:rPr>
          <w:rFonts w:ascii="Times New Roman" w:hAnsi="Times New Roman" w:cs="Times New Roman"/>
          <w:sz w:val="24"/>
          <w:szCs w:val="24"/>
        </w:rPr>
        <w:t>e</w:t>
      </w:r>
      <w:r w:rsidR="00377FDD">
        <w:rPr>
          <w:rFonts w:ascii="Times New Roman" w:hAnsi="Times New Roman" w:cs="Times New Roman"/>
          <w:sz w:val="24"/>
          <w:szCs w:val="24"/>
        </w:rPr>
        <w:t>s</w:t>
      </w:r>
      <w:r w:rsidR="00F37983">
        <w:rPr>
          <w:rFonts w:ascii="Times New Roman" w:hAnsi="Times New Roman" w:cs="Times New Roman"/>
          <w:sz w:val="24"/>
          <w:szCs w:val="24"/>
        </w:rPr>
        <w:t xml:space="preserve"> effect </w:t>
      </w:r>
      <w:r w:rsidR="00377FDD">
        <w:rPr>
          <w:rFonts w:ascii="Times New Roman" w:hAnsi="Times New Roman" w:cs="Times New Roman"/>
          <w:sz w:val="24"/>
          <w:szCs w:val="24"/>
        </w:rPr>
        <w:t>to be had</w:t>
      </w:r>
      <w:r w:rsidR="00F37983">
        <w:rPr>
          <w:rFonts w:ascii="Times New Roman" w:hAnsi="Times New Roman" w:cs="Times New Roman"/>
          <w:sz w:val="24"/>
          <w:szCs w:val="24"/>
        </w:rPr>
        <w:t xml:space="preserve"> </w:t>
      </w:r>
      <w:r w:rsidR="00377FDD">
        <w:rPr>
          <w:rFonts w:ascii="Times New Roman" w:hAnsi="Times New Roman" w:cs="Times New Roman"/>
          <w:sz w:val="24"/>
          <w:szCs w:val="24"/>
        </w:rPr>
        <w:t xml:space="preserve">to the </w:t>
      </w:r>
      <w:r w:rsidR="00F37983">
        <w:rPr>
          <w:rFonts w:ascii="Times New Roman" w:hAnsi="Times New Roman" w:cs="Times New Roman"/>
          <w:sz w:val="24"/>
          <w:szCs w:val="24"/>
        </w:rPr>
        <w:t xml:space="preserve">ordinary grammatical meaning </w:t>
      </w:r>
      <w:r w:rsidR="00431E05">
        <w:rPr>
          <w:rFonts w:ascii="Times New Roman" w:hAnsi="Times New Roman" w:cs="Times New Roman"/>
          <w:sz w:val="24"/>
          <w:szCs w:val="24"/>
        </w:rPr>
        <w:t>of the word under consideration before migration to the context, where</w:t>
      </w:r>
      <w:r w:rsidR="00F37983">
        <w:rPr>
          <w:rFonts w:ascii="Times New Roman" w:hAnsi="Times New Roman" w:cs="Times New Roman"/>
          <w:sz w:val="24"/>
          <w:szCs w:val="24"/>
        </w:rPr>
        <w:t xml:space="preserve"> the ordinary grammatical meaning leads to an ambiguity.</w:t>
      </w:r>
      <w:r w:rsidR="00431E05">
        <w:rPr>
          <w:rFonts w:ascii="Times New Roman" w:hAnsi="Times New Roman" w:cs="Times New Roman"/>
          <w:sz w:val="24"/>
          <w:szCs w:val="24"/>
        </w:rPr>
        <w:t xml:space="preserve"> </w:t>
      </w:r>
      <w:r w:rsidR="004D16A2">
        <w:rPr>
          <w:rFonts w:ascii="Times New Roman" w:hAnsi="Times New Roman" w:cs="Times New Roman"/>
          <w:sz w:val="24"/>
          <w:szCs w:val="24"/>
        </w:rPr>
        <w:t>Legal dictionaries define misrepresentation as follows:</w:t>
      </w:r>
    </w:p>
    <w:p w:rsidR="004D16A2" w:rsidRDefault="004D16A2" w:rsidP="00521041">
      <w:pPr>
        <w:spacing w:after="0" w:line="240" w:lineRule="auto"/>
        <w:ind w:left="720"/>
        <w:jc w:val="both"/>
        <w:rPr>
          <w:rFonts w:ascii="Times New Roman" w:hAnsi="Times New Roman" w:cs="Times New Roman"/>
        </w:rPr>
      </w:pPr>
      <w:r w:rsidRPr="00521041">
        <w:rPr>
          <w:rFonts w:ascii="Times New Roman" w:hAnsi="Times New Roman" w:cs="Times New Roman"/>
        </w:rPr>
        <w:t>“a false statement of fact made by one party to another before a contract is entered. Such a statement may be innocent or fraudulent.”</w:t>
      </w:r>
      <w:r w:rsidRPr="00521041">
        <w:rPr>
          <w:rStyle w:val="FootnoteReference"/>
          <w:rFonts w:ascii="Times New Roman" w:hAnsi="Times New Roman" w:cs="Times New Roman"/>
        </w:rPr>
        <w:footnoteReference w:id="15"/>
      </w:r>
    </w:p>
    <w:p w:rsidR="0014355B" w:rsidRPr="00521041" w:rsidRDefault="0014355B" w:rsidP="00521041">
      <w:pPr>
        <w:spacing w:after="0" w:line="240" w:lineRule="auto"/>
        <w:ind w:left="720"/>
        <w:jc w:val="both"/>
        <w:rPr>
          <w:rFonts w:ascii="Times New Roman" w:hAnsi="Times New Roman" w:cs="Times New Roman"/>
        </w:rPr>
      </w:pPr>
    </w:p>
    <w:p w:rsidR="004D16A2" w:rsidRPr="00521041" w:rsidRDefault="004D16A2" w:rsidP="00521041">
      <w:pPr>
        <w:spacing w:line="240" w:lineRule="auto"/>
        <w:ind w:left="720"/>
        <w:jc w:val="both"/>
        <w:rPr>
          <w:rFonts w:ascii="Times New Roman" w:hAnsi="Times New Roman" w:cs="Times New Roman"/>
        </w:rPr>
      </w:pPr>
      <w:r w:rsidRPr="00521041">
        <w:rPr>
          <w:rFonts w:ascii="Times New Roman" w:hAnsi="Times New Roman" w:cs="Times New Roman"/>
        </w:rPr>
        <w:t>“the act or instance of making a false or misleading assertion about something, usually with intent to deceive. The word denotes not just written or spoken words but also any other conduct that amounts to a false assertion.”</w:t>
      </w:r>
      <w:r w:rsidRPr="00521041">
        <w:rPr>
          <w:rStyle w:val="FootnoteReference"/>
          <w:rFonts w:ascii="Times New Roman" w:hAnsi="Times New Roman" w:cs="Times New Roman"/>
        </w:rPr>
        <w:footnoteReference w:id="16"/>
      </w:r>
    </w:p>
    <w:p w:rsidR="004D16A2" w:rsidRPr="00521041" w:rsidRDefault="004D16A2" w:rsidP="00521041">
      <w:pPr>
        <w:spacing w:line="240" w:lineRule="auto"/>
        <w:ind w:left="720"/>
        <w:jc w:val="both"/>
        <w:rPr>
          <w:rFonts w:ascii="Times New Roman" w:hAnsi="Times New Roman" w:cs="Times New Roman"/>
        </w:rPr>
      </w:pPr>
      <w:r w:rsidRPr="00521041">
        <w:rPr>
          <w:rFonts w:ascii="Times New Roman" w:hAnsi="Times New Roman" w:cs="Times New Roman"/>
        </w:rPr>
        <w:t>“a false representation of fact, made expressly or impliedly, that induces a party to enter into a contract.”</w:t>
      </w:r>
      <w:r w:rsidRPr="00521041">
        <w:rPr>
          <w:rStyle w:val="FootnoteReference"/>
          <w:rFonts w:ascii="Times New Roman" w:hAnsi="Times New Roman" w:cs="Times New Roman"/>
        </w:rPr>
        <w:footnoteReference w:id="17"/>
      </w:r>
    </w:p>
    <w:p w:rsidR="00323049" w:rsidRDefault="00323049"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CC4631">
        <w:rPr>
          <w:rFonts w:ascii="Times New Roman" w:hAnsi="Times New Roman" w:cs="Times New Roman"/>
          <w:i/>
          <w:sz w:val="24"/>
          <w:szCs w:val="24"/>
        </w:rPr>
        <w:t>Matinenga</w:t>
      </w:r>
      <w:r>
        <w:rPr>
          <w:rFonts w:ascii="Times New Roman" w:hAnsi="Times New Roman" w:cs="Times New Roman"/>
          <w:sz w:val="24"/>
          <w:szCs w:val="24"/>
        </w:rPr>
        <w:t xml:space="preserve"> submitted tha</w:t>
      </w:r>
      <w:r w:rsidR="00431E05">
        <w:rPr>
          <w:rFonts w:ascii="Times New Roman" w:hAnsi="Times New Roman" w:cs="Times New Roman"/>
          <w:sz w:val="24"/>
          <w:szCs w:val="24"/>
        </w:rPr>
        <w:t>t the word should be construed</w:t>
      </w:r>
      <w:r>
        <w:rPr>
          <w:rFonts w:ascii="Times New Roman" w:hAnsi="Times New Roman" w:cs="Times New Roman"/>
          <w:sz w:val="24"/>
          <w:szCs w:val="24"/>
        </w:rPr>
        <w:t xml:space="preserve"> in the context of the words “fraud”</w:t>
      </w:r>
      <w:r w:rsidR="00CC4631">
        <w:rPr>
          <w:rFonts w:ascii="Times New Roman" w:hAnsi="Times New Roman" w:cs="Times New Roman"/>
          <w:sz w:val="24"/>
          <w:szCs w:val="24"/>
        </w:rPr>
        <w:t xml:space="preserve"> and</w:t>
      </w:r>
      <w:r w:rsidR="00B26E19">
        <w:rPr>
          <w:rFonts w:ascii="Times New Roman" w:hAnsi="Times New Roman" w:cs="Times New Roman"/>
          <w:sz w:val="24"/>
          <w:szCs w:val="24"/>
        </w:rPr>
        <w:t xml:space="preserve"> “wil</w:t>
      </w:r>
      <w:r>
        <w:rPr>
          <w:rFonts w:ascii="Times New Roman" w:hAnsi="Times New Roman" w:cs="Times New Roman"/>
          <w:sz w:val="24"/>
          <w:szCs w:val="24"/>
        </w:rPr>
        <w:t xml:space="preserve">ful non-disclosure” that sandwich it and give it colour.  </w:t>
      </w:r>
      <w:r w:rsidR="00CC4631">
        <w:rPr>
          <w:rFonts w:ascii="Times New Roman" w:hAnsi="Times New Roman" w:cs="Times New Roman"/>
          <w:sz w:val="24"/>
          <w:szCs w:val="24"/>
        </w:rPr>
        <w:t xml:space="preserve">He submitted that the application of the </w:t>
      </w:r>
      <w:r w:rsidR="00CC4631" w:rsidRPr="00CC4631">
        <w:rPr>
          <w:rFonts w:ascii="Times New Roman" w:hAnsi="Times New Roman" w:cs="Times New Roman"/>
          <w:i/>
          <w:sz w:val="24"/>
          <w:szCs w:val="24"/>
        </w:rPr>
        <w:t>noscitur a sociis</w:t>
      </w:r>
      <w:r w:rsidR="00CC4631">
        <w:rPr>
          <w:rFonts w:ascii="Times New Roman" w:hAnsi="Times New Roman" w:cs="Times New Roman"/>
          <w:sz w:val="24"/>
          <w:szCs w:val="24"/>
        </w:rPr>
        <w:t xml:space="preserve"> rule of construction would require the Court to construe the word </w:t>
      </w:r>
      <w:r w:rsidR="00B26E19">
        <w:rPr>
          <w:rFonts w:ascii="Times New Roman" w:hAnsi="Times New Roman" w:cs="Times New Roman"/>
          <w:sz w:val="24"/>
          <w:szCs w:val="24"/>
        </w:rPr>
        <w:t>in tandem with “fraud” and “wil</w:t>
      </w:r>
      <w:r w:rsidR="00CC4631">
        <w:rPr>
          <w:rFonts w:ascii="Times New Roman" w:hAnsi="Times New Roman" w:cs="Times New Roman"/>
          <w:sz w:val="24"/>
          <w:szCs w:val="24"/>
        </w:rPr>
        <w:t>ful non-dis</w:t>
      </w:r>
      <w:r w:rsidR="00945D50">
        <w:rPr>
          <w:rFonts w:ascii="Times New Roman" w:hAnsi="Times New Roman" w:cs="Times New Roman"/>
          <w:sz w:val="24"/>
          <w:szCs w:val="24"/>
        </w:rPr>
        <w:t xml:space="preserve">closure”, both of which import positive proof of </w:t>
      </w:r>
      <w:r w:rsidR="002443DB">
        <w:rPr>
          <w:rFonts w:ascii="Times New Roman" w:hAnsi="Times New Roman" w:cs="Times New Roman"/>
          <w:sz w:val="24"/>
          <w:szCs w:val="24"/>
        </w:rPr>
        <w:t xml:space="preserve">an </w:t>
      </w:r>
      <w:r w:rsidR="00945D50">
        <w:rPr>
          <w:rFonts w:ascii="Times New Roman" w:hAnsi="Times New Roman" w:cs="Times New Roman"/>
          <w:sz w:val="24"/>
          <w:szCs w:val="24"/>
        </w:rPr>
        <w:t>intention</w:t>
      </w:r>
      <w:r w:rsidR="002443DB">
        <w:rPr>
          <w:rFonts w:ascii="Times New Roman" w:hAnsi="Times New Roman" w:cs="Times New Roman"/>
          <w:sz w:val="24"/>
          <w:szCs w:val="24"/>
        </w:rPr>
        <w:t xml:space="preserve"> to conceal information</w:t>
      </w:r>
      <w:r w:rsidR="00CC4631">
        <w:rPr>
          <w:rFonts w:ascii="Times New Roman" w:hAnsi="Times New Roman" w:cs="Times New Roman"/>
          <w:sz w:val="24"/>
          <w:szCs w:val="24"/>
        </w:rPr>
        <w:t xml:space="preserve">. He argued that the Legislature sought to </w:t>
      </w:r>
      <w:r w:rsidR="00EA1AB4">
        <w:rPr>
          <w:rFonts w:ascii="Times New Roman" w:hAnsi="Times New Roman" w:cs="Times New Roman"/>
          <w:sz w:val="24"/>
          <w:szCs w:val="24"/>
        </w:rPr>
        <w:t xml:space="preserve">remove the </w:t>
      </w:r>
      <w:r w:rsidR="00CC4631">
        <w:rPr>
          <w:rFonts w:ascii="Times New Roman" w:hAnsi="Times New Roman" w:cs="Times New Roman"/>
          <w:sz w:val="24"/>
          <w:szCs w:val="24"/>
        </w:rPr>
        <w:t xml:space="preserve">prescriptive veil in </w:t>
      </w:r>
      <w:r w:rsidR="00EA1AB4">
        <w:rPr>
          <w:rFonts w:ascii="Times New Roman" w:hAnsi="Times New Roman" w:cs="Times New Roman"/>
          <w:sz w:val="24"/>
          <w:szCs w:val="24"/>
        </w:rPr>
        <w:t xml:space="preserve">those </w:t>
      </w:r>
      <w:r w:rsidR="00CC4631">
        <w:rPr>
          <w:rFonts w:ascii="Times New Roman" w:hAnsi="Times New Roman" w:cs="Times New Roman"/>
          <w:sz w:val="24"/>
          <w:szCs w:val="24"/>
        </w:rPr>
        <w:t xml:space="preserve">circumstances where the misrepresentation was </w:t>
      </w:r>
      <w:r w:rsidR="00EA1AB4">
        <w:rPr>
          <w:rFonts w:ascii="Times New Roman" w:hAnsi="Times New Roman" w:cs="Times New Roman"/>
          <w:sz w:val="24"/>
          <w:szCs w:val="24"/>
        </w:rPr>
        <w:t>deliberate and intended. The essenc</w:t>
      </w:r>
      <w:r w:rsidR="00431E05">
        <w:rPr>
          <w:rFonts w:ascii="Times New Roman" w:hAnsi="Times New Roman" w:cs="Times New Roman"/>
          <w:sz w:val="24"/>
          <w:szCs w:val="24"/>
        </w:rPr>
        <w:t>e of his argument being that</w:t>
      </w:r>
      <w:r w:rsidR="00EA1AB4">
        <w:rPr>
          <w:rFonts w:ascii="Times New Roman" w:hAnsi="Times New Roman" w:cs="Times New Roman"/>
          <w:sz w:val="24"/>
          <w:szCs w:val="24"/>
        </w:rPr>
        <w:t xml:space="preserve"> </w:t>
      </w:r>
      <w:r w:rsidR="00431E05">
        <w:rPr>
          <w:rFonts w:ascii="Times New Roman" w:hAnsi="Times New Roman" w:cs="Times New Roman"/>
          <w:sz w:val="24"/>
          <w:szCs w:val="24"/>
        </w:rPr>
        <w:t>“</w:t>
      </w:r>
      <w:r w:rsidR="00EA1AB4">
        <w:rPr>
          <w:rFonts w:ascii="Times New Roman" w:hAnsi="Times New Roman" w:cs="Times New Roman"/>
          <w:sz w:val="24"/>
          <w:szCs w:val="24"/>
        </w:rPr>
        <w:t>misrepresentation</w:t>
      </w:r>
      <w:r w:rsidR="00431E05">
        <w:rPr>
          <w:rFonts w:ascii="Times New Roman" w:hAnsi="Times New Roman" w:cs="Times New Roman"/>
          <w:sz w:val="24"/>
          <w:szCs w:val="24"/>
        </w:rPr>
        <w:t>”</w:t>
      </w:r>
      <w:r w:rsidR="00EA1AB4">
        <w:rPr>
          <w:rFonts w:ascii="Times New Roman" w:hAnsi="Times New Roman" w:cs="Times New Roman"/>
          <w:sz w:val="24"/>
          <w:szCs w:val="24"/>
        </w:rPr>
        <w:t xml:space="preserve"> should be determined subjectively</w:t>
      </w:r>
      <w:r w:rsidR="00431E05">
        <w:rPr>
          <w:rFonts w:ascii="Times New Roman" w:hAnsi="Times New Roman" w:cs="Times New Roman"/>
          <w:sz w:val="24"/>
          <w:szCs w:val="24"/>
        </w:rPr>
        <w:t xml:space="preserve"> </w:t>
      </w:r>
      <w:r w:rsidR="008A3068">
        <w:rPr>
          <w:rFonts w:ascii="Times New Roman" w:hAnsi="Times New Roman" w:cs="Times New Roman"/>
          <w:sz w:val="24"/>
          <w:szCs w:val="24"/>
        </w:rPr>
        <w:t>as adverted to by the appel</w:t>
      </w:r>
      <w:r w:rsidR="00431E05">
        <w:rPr>
          <w:rFonts w:ascii="Times New Roman" w:hAnsi="Times New Roman" w:cs="Times New Roman"/>
          <w:sz w:val="24"/>
          <w:szCs w:val="24"/>
        </w:rPr>
        <w:t xml:space="preserve">lant in para 3.16 of its case </w:t>
      </w:r>
      <w:r w:rsidR="008A3068">
        <w:rPr>
          <w:rFonts w:ascii="Times New Roman" w:hAnsi="Times New Roman" w:cs="Times New Roman"/>
          <w:sz w:val="24"/>
          <w:szCs w:val="24"/>
        </w:rPr>
        <w:t>thus:</w:t>
      </w:r>
      <w:r w:rsidR="00EA1AB4">
        <w:rPr>
          <w:rFonts w:ascii="Times New Roman" w:hAnsi="Times New Roman" w:cs="Times New Roman"/>
          <w:sz w:val="24"/>
          <w:szCs w:val="24"/>
        </w:rPr>
        <w:t xml:space="preserve"> </w:t>
      </w:r>
    </w:p>
    <w:p w:rsidR="008A3068" w:rsidRDefault="008A3068" w:rsidP="00521041">
      <w:pPr>
        <w:spacing w:after="0" w:line="240" w:lineRule="auto"/>
        <w:ind w:left="720"/>
        <w:jc w:val="both"/>
        <w:rPr>
          <w:rFonts w:ascii="Times New Roman" w:hAnsi="Times New Roman" w:cs="Times New Roman"/>
        </w:rPr>
      </w:pPr>
      <w:r w:rsidRPr="00521041">
        <w:rPr>
          <w:rFonts w:ascii="Times New Roman" w:hAnsi="Times New Roman" w:cs="Times New Roman"/>
        </w:rPr>
        <w:t xml:space="preserve">“Consequently, the only reasonable and logical meaning of misrepresentation should be the one which means that the representation was </w:t>
      </w:r>
      <w:r w:rsidRPr="00521041">
        <w:rPr>
          <w:rFonts w:ascii="Times New Roman" w:hAnsi="Times New Roman" w:cs="Times New Roman"/>
          <w:i/>
        </w:rPr>
        <w:t>“false, material and made with the intention of inducing the respondent to act to its prejudice</w:t>
      </w:r>
      <w:r w:rsidRPr="00521041">
        <w:rPr>
          <w:rFonts w:ascii="Times New Roman" w:hAnsi="Times New Roman" w:cs="Times New Roman"/>
        </w:rPr>
        <w:t>.” No other interpretation would make legal sense.” (Appellant’s emphasis).</w:t>
      </w:r>
    </w:p>
    <w:p w:rsidR="00521041" w:rsidRPr="00521041" w:rsidRDefault="00521041" w:rsidP="00521041">
      <w:pPr>
        <w:spacing w:after="0" w:line="240" w:lineRule="auto"/>
        <w:ind w:left="720"/>
        <w:jc w:val="both"/>
        <w:rPr>
          <w:rFonts w:ascii="Times New Roman" w:hAnsi="Times New Roman" w:cs="Times New Roman"/>
        </w:rPr>
      </w:pPr>
    </w:p>
    <w:p w:rsidR="00431E05" w:rsidRDefault="008A3068" w:rsidP="0052104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FA5CED">
        <w:rPr>
          <w:rFonts w:ascii="Times New Roman" w:hAnsi="Times New Roman" w:cs="Times New Roman"/>
          <w:i/>
          <w:sz w:val="24"/>
          <w:szCs w:val="24"/>
        </w:rPr>
        <w:t>Matinenga</w:t>
      </w:r>
      <w:r>
        <w:rPr>
          <w:rFonts w:ascii="Times New Roman" w:hAnsi="Times New Roman" w:cs="Times New Roman"/>
          <w:sz w:val="24"/>
          <w:szCs w:val="24"/>
        </w:rPr>
        <w:t xml:space="preserve"> sought to </w:t>
      </w:r>
      <w:r w:rsidR="00431E05">
        <w:rPr>
          <w:rFonts w:ascii="Times New Roman" w:hAnsi="Times New Roman" w:cs="Times New Roman"/>
          <w:sz w:val="24"/>
          <w:szCs w:val="24"/>
        </w:rPr>
        <w:t xml:space="preserve">buttress his contention by reference to the sentiments of </w:t>
      </w:r>
      <w:r w:rsidR="00431E05" w:rsidRPr="00521041">
        <w:rPr>
          <w:rFonts w:ascii="Times New Roman" w:hAnsi="Times New Roman" w:cs="Times New Roman"/>
        </w:rPr>
        <w:t>BEADLE CJ</w:t>
      </w:r>
      <w:r w:rsidR="00431E05">
        <w:rPr>
          <w:rFonts w:ascii="Times New Roman" w:hAnsi="Times New Roman" w:cs="Times New Roman"/>
          <w:sz w:val="24"/>
          <w:szCs w:val="24"/>
        </w:rPr>
        <w:t xml:space="preserve"> in </w:t>
      </w:r>
      <w:r w:rsidR="00431E05" w:rsidRPr="00431E05">
        <w:rPr>
          <w:rFonts w:ascii="Times New Roman" w:hAnsi="Times New Roman" w:cs="Times New Roman"/>
          <w:i/>
          <w:sz w:val="24"/>
          <w:szCs w:val="24"/>
        </w:rPr>
        <w:t>S v Zemura</w:t>
      </w:r>
      <w:r w:rsidR="00431E05">
        <w:rPr>
          <w:rFonts w:ascii="Times New Roman" w:hAnsi="Times New Roman" w:cs="Times New Roman"/>
          <w:sz w:val="24"/>
          <w:szCs w:val="24"/>
        </w:rPr>
        <w:t xml:space="preserve"> 1973 (2) RLR</w:t>
      </w:r>
      <w:r w:rsidR="00605D1E">
        <w:rPr>
          <w:rFonts w:ascii="Times New Roman" w:hAnsi="Times New Roman" w:cs="Times New Roman"/>
          <w:sz w:val="24"/>
          <w:szCs w:val="24"/>
        </w:rPr>
        <w:t xml:space="preserve"> 357 at 365</w:t>
      </w:r>
      <w:r w:rsidR="00FE67EF">
        <w:rPr>
          <w:rFonts w:ascii="Times New Roman" w:hAnsi="Times New Roman" w:cs="Times New Roman"/>
          <w:sz w:val="24"/>
          <w:szCs w:val="24"/>
        </w:rPr>
        <w:t>D</w:t>
      </w:r>
      <w:r w:rsidR="00605D1E">
        <w:rPr>
          <w:rFonts w:ascii="Times New Roman" w:hAnsi="Times New Roman" w:cs="Times New Roman"/>
          <w:sz w:val="24"/>
          <w:szCs w:val="24"/>
        </w:rPr>
        <w:t xml:space="preserve"> and </w:t>
      </w:r>
      <w:r w:rsidR="00605D1E" w:rsidRPr="00605D1E">
        <w:rPr>
          <w:rFonts w:ascii="Times New Roman" w:hAnsi="Times New Roman" w:cs="Times New Roman"/>
          <w:i/>
          <w:sz w:val="24"/>
          <w:szCs w:val="24"/>
        </w:rPr>
        <w:t>Principles of Criminal Law</w:t>
      </w:r>
      <w:r w:rsidR="00605D1E">
        <w:rPr>
          <w:rFonts w:ascii="Times New Roman" w:hAnsi="Times New Roman" w:cs="Times New Roman"/>
          <w:sz w:val="24"/>
          <w:szCs w:val="24"/>
        </w:rPr>
        <w:t>, Burchell, 4th ed at 380. In the former matter,</w:t>
      </w:r>
      <w:r w:rsidR="00431E05">
        <w:rPr>
          <w:rFonts w:ascii="Times New Roman" w:hAnsi="Times New Roman" w:cs="Times New Roman"/>
          <w:sz w:val="24"/>
          <w:szCs w:val="24"/>
        </w:rPr>
        <w:t xml:space="preserve"> the </w:t>
      </w:r>
      <w:r w:rsidR="00605D1E" w:rsidRPr="00521041">
        <w:rPr>
          <w:rFonts w:ascii="Times New Roman" w:hAnsi="Times New Roman" w:cs="Times New Roman"/>
        </w:rPr>
        <w:t>LEARNED CHIEF JUSTICE</w:t>
      </w:r>
      <w:r w:rsidR="00605D1E">
        <w:rPr>
          <w:rFonts w:ascii="Times New Roman" w:hAnsi="Times New Roman" w:cs="Times New Roman"/>
          <w:sz w:val="24"/>
          <w:szCs w:val="24"/>
        </w:rPr>
        <w:t xml:space="preserve"> </w:t>
      </w:r>
      <w:r w:rsidR="00431E05">
        <w:rPr>
          <w:rFonts w:ascii="Times New Roman" w:hAnsi="Times New Roman" w:cs="Times New Roman"/>
          <w:sz w:val="24"/>
          <w:szCs w:val="24"/>
        </w:rPr>
        <w:t>said:</w:t>
      </w:r>
    </w:p>
    <w:p w:rsidR="00521041" w:rsidRDefault="00521041" w:rsidP="00521041">
      <w:pPr>
        <w:spacing w:after="0" w:line="240" w:lineRule="auto"/>
        <w:ind w:left="720"/>
        <w:jc w:val="both"/>
        <w:rPr>
          <w:rFonts w:ascii="Times New Roman" w:hAnsi="Times New Roman" w:cs="Times New Roman"/>
        </w:rPr>
      </w:pPr>
      <w:r>
        <w:rPr>
          <w:rFonts w:ascii="Times New Roman" w:hAnsi="Times New Roman" w:cs="Times New Roman"/>
        </w:rPr>
        <w:t>“</w:t>
      </w:r>
      <w:r w:rsidR="00431E05" w:rsidRPr="00521041">
        <w:rPr>
          <w:rFonts w:ascii="Times New Roman" w:hAnsi="Times New Roman" w:cs="Times New Roman"/>
        </w:rPr>
        <w:t>Examples of statutes expressly providing that the offence falls within the “positive group”</w:t>
      </w:r>
      <w:r w:rsidR="00605D1E" w:rsidRPr="00521041">
        <w:rPr>
          <w:rFonts w:ascii="Times New Roman" w:hAnsi="Times New Roman" w:cs="Times New Roman"/>
        </w:rPr>
        <w:t xml:space="preserve"> are those statutes which use s</w:t>
      </w:r>
      <w:r w:rsidR="008C6768" w:rsidRPr="00521041">
        <w:rPr>
          <w:rFonts w:ascii="Times New Roman" w:hAnsi="Times New Roman" w:cs="Times New Roman"/>
        </w:rPr>
        <w:t>uch words as “knowingly” or wil</w:t>
      </w:r>
      <w:r w:rsidR="00605D1E" w:rsidRPr="00521041">
        <w:rPr>
          <w:rFonts w:ascii="Times New Roman" w:hAnsi="Times New Roman" w:cs="Times New Roman"/>
        </w:rPr>
        <w:t>ful</w:t>
      </w:r>
      <w:r w:rsidR="00E7441E" w:rsidRPr="00521041">
        <w:rPr>
          <w:rFonts w:ascii="Times New Roman" w:hAnsi="Times New Roman" w:cs="Times New Roman"/>
        </w:rPr>
        <w:t>ly” when describing the offence</w:t>
      </w:r>
      <w:r>
        <w:rPr>
          <w:rFonts w:ascii="Times New Roman" w:hAnsi="Times New Roman" w:cs="Times New Roman"/>
        </w:rPr>
        <w:t>.”</w:t>
      </w:r>
      <w:r w:rsidR="00605D1E" w:rsidRPr="00521041">
        <w:rPr>
          <w:rFonts w:ascii="Times New Roman" w:hAnsi="Times New Roman" w:cs="Times New Roman"/>
        </w:rPr>
        <w:t xml:space="preserve"> </w:t>
      </w:r>
    </w:p>
    <w:p w:rsidR="00521041" w:rsidRPr="00521041" w:rsidRDefault="00521041" w:rsidP="00521041">
      <w:pPr>
        <w:spacing w:after="0" w:line="240" w:lineRule="auto"/>
        <w:ind w:left="720"/>
        <w:jc w:val="both"/>
        <w:rPr>
          <w:rFonts w:ascii="Times New Roman" w:hAnsi="Times New Roman" w:cs="Times New Roman"/>
        </w:rPr>
      </w:pPr>
    </w:p>
    <w:p w:rsidR="00605D1E" w:rsidRDefault="00605D1E" w:rsidP="00521041">
      <w:pPr>
        <w:spacing w:line="360" w:lineRule="auto"/>
        <w:jc w:val="both"/>
        <w:rPr>
          <w:rFonts w:ascii="Times New Roman" w:hAnsi="Times New Roman" w:cs="Times New Roman"/>
          <w:sz w:val="24"/>
          <w:szCs w:val="24"/>
        </w:rPr>
      </w:pPr>
      <w:r>
        <w:rPr>
          <w:rFonts w:ascii="Times New Roman" w:hAnsi="Times New Roman" w:cs="Times New Roman"/>
          <w:sz w:val="24"/>
          <w:szCs w:val="24"/>
        </w:rPr>
        <w:t>And in the latter book, the learned author wrote:</w:t>
      </w:r>
    </w:p>
    <w:p w:rsidR="00605D1E" w:rsidRPr="00521041" w:rsidRDefault="00605D1E" w:rsidP="00521041">
      <w:pPr>
        <w:spacing w:line="240" w:lineRule="auto"/>
        <w:ind w:left="720"/>
        <w:jc w:val="both"/>
        <w:rPr>
          <w:rFonts w:ascii="Times New Roman" w:hAnsi="Times New Roman" w:cs="Times New Roman"/>
        </w:rPr>
      </w:pPr>
      <w:r w:rsidRPr="00521041">
        <w:rPr>
          <w:rFonts w:ascii="Times New Roman" w:hAnsi="Times New Roman" w:cs="Times New Roman"/>
        </w:rPr>
        <w:lastRenderedPageBreak/>
        <w:t xml:space="preserve">“The unanimous Appellate decision in </w:t>
      </w:r>
      <w:r w:rsidRPr="00521041">
        <w:rPr>
          <w:rFonts w:ascii="Times New Roman" w:hAnsi="Times New Roman" w:cs="Times New Roman"/>
          <w:i/>
        </w:rPr>
        <w:t>De Blom</w:t>
      </w:r>
      <w:r w:rsidRPr="00521041">
        <w:rPr>
          <w:rFonts w:ascii="Times New Roman" w:hAnsi="Times New Roman" w:cs="Times New Roman"/>
        </w:rPr>
        <w:t xml:space="preserve"> in 1977 boldly swept the </w:t>
      </w:r>
      <w:r w:rsidRPr="00521041">
        <w:rPr>
          <w:rFonts w:ascii="Times New Roman" w:hAnsi="Times New Roman" w:cs="Times New Roman"/>
          <w:i/>
        </w:rPr>
        <w:t>ignorantia</w:t>
      </w:r>
      <w:r w:rsidR="00544657" w:rsidRPr="00521041">
        <w:rPr>
          <w:rFonts w:ascii="Times New Roman" w:hAnsi="Times New Roman" w:cs="Times New Roman"/>
          <w:i/>
        </w:rPr>
        <w:t xml:space="preserve"> juris</w:t>
      </w:r>
      <w:r w:rsidRPr="00521041">
        <w:rPr>
          <w:rFonts w:ascii="Times New Roman" w:hAnsi="Times New Roman" w:cs="Times New Roman"/>
        </w:rPr>
        <w:t xml:space="preserve"> rule from our criminal law with the dramatic result that, in line with principle and logic, knowledge on the part of the accused of the unlawfulness of his or her conduct is now always a requirement of </w:t>
      </w:r>
      <w:r w:rsidRPr="00521041">
        <w:rPr>
          <w:rFonts w:ascii="Times New Roman" w:hAnsi="Times New Roman" w:cs="Times New Roman"/>
          <w:i/>
        </w:rPr>
        <w:t>mens rea</w:t>
      </w:r>
      <w:r w:rsidRPr="00521041">
        <w:rPr>
          <w:rFonts w:ascii="Times New Roman" w:hAnsi="Times New Roman" w:cs="Times New Roman"/>
        </w:rPr>
        <w:t xml:space="preserve"> in the form of intention. It follows that genuine ignorance or mistake of law invariably negatives </w:t>
      </w:r>
      <w:r w:rsidRPr="00521041">
        <w:rPr>
          <w:rFonts w:ascii="Times New Roman" w:hAnsi="Times New Roman" w:cs="Times New Roman"/>
          <w:i/>
        </w:rPr>
        <w:t>mens rea</w:t>
      </w:r>
      <w:r w:rsidRPr="00521041">
        <w:rPr>
          <w:rFonts w:ascii="Times New Roman" w:hAnsi="Times New Roman" w:cs="Times New Roman"/>
        </w:rPr>
        <w:t xml:space="preserve"> in respect of the unlawful element and hence excludes liability.”  </w:t>
      </w:r>
    </w:p>
    <w:p w:rsidR="00DE13E1" w:rsidRDefault="00DC2DFE"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Like Mr </w:t>
      </w:r>
      <w:r w:rsidRPr="00DC2DFE">
        <w:rPr>
          <w:rFonts w:ascii="Times New Roman" w:hAnsi="Times New Roman" w:cs="Times New Roman"/>
          <w:i/>
          <w:sz w:val="24"/>
          <w:szCs w:val="24"/>
        </w:rPr>
        <w:t>Magwaliba</w:t>
      </w:r>
      <w:r>
        <w:rPr>
          <w:rFonts w:ascii="Times New Roman" w:hAnsi="Times New Roman" w:cs="Times New Roman"/>
          <w:sz w:val="24"/>
          <w:szCs w:val="24"/>
        </w:rPr>
        <w:t>, I find these principles inapplicable in the present case f</w:t>
      </w:r>
      <w:r w:rsidR="00784351">
        <w:rPr>
          <w:rFonts w:ascii="Times New Roman" w:hAnsi="Times New Roman" w:cs="Times New Roman"/>
          <w:sz w:val="24"/>
          <w:szCs w:val="24"/>
        </w:rPr>
        <w:t>or five</w:t>
      </w:r>
      <w:r>
        <w:rPr>
          <w:rFonts w:ascii="Times New Roman" w:hAnsi="Times New Roman" w:cs="Times New Roman"/>
          <w:sz w:val="24"/>
          <w:szCs w:val="24"/>
        </w:rPr>
        <w:t xml:space="preserve"> reasons. Firstly, in both instances, the sentiments applied to criminal law and not tax law, whose objectives</w:t>
      </w:r>
      <w:r w:rsidR="009C5A7F">
        <w:rPr>
          <w:rFonts w:ascii="Times New Roman" w:hAnsi="Times New Roman" w:cs="Times New Roman"/>
          <w:sz w:val="24"/>
          <w:szCs w:val="24"/>
        </w:rPr>
        <w:t>, scheme and jurisprudential underpinnings are distinguishable</w:t>
      </w:r>
      <w:r>
        <w:rPr>
          <w:rFonts w:ascii="Times New Roman" w:hAnsi="Times New Roman" w:cs="Times New Roman"/>
          <w:sz w:val="24"/>
          <w:szCs w:val="24"/>
        </w:rPr>
        <w:t xml:space="preserve">. </w:t>
      </w:r>
      <w:r w:rsidR="009C5A7F">
        <w:rPr>
          <w:rFonts w:ascii="Times New Roman" w:hAnsi="Times New Roman" w:cs="Times New Roman"/>
          <w:sz w:val="24"/>
          <w:szCs w:val="24"/>
        </w:rPr>
        <w:t xml:space="preserve">After all, both s 46 and s 47 of the Income Tax Act were enacted to bring to tax </w:t>
      </w:r>
      <w:r w:rsidR="00E84F7D">
        <w:rPr>
          <w:rFonts w:ascii="Times New Roman" w:hAnsi="Times New Roman" w:cs="Times New Roman"/>
          <w:sz w:val="24"/>
          <w:szCs w:val="24"/>
        </w:rPr>
        <w:t xml:space="preserve">any errant tax payer who may have evaded or avoided meeting his or her or its correct share of the tax burden, while criminal law is predominantly penal in nature and scope. </w:t>
      </w:r>
      <w:r>
        <w:rPr>
          <w:rFonts w:ascii="Times New Roman" w:hAnsi="Times New Roman" w:cs="Times New Roman"/>
          <w:sz w:val="24"/>
          <w:szCs w:val="24"/>
        </w:rPr>
        <w:t xml:space="preserve">Secondly, the learned Chief Justice was dealing with the adjective “knowingly” and </w:t>
      </w:r>
      <w:r w:rsidR="00212A39">
        <w:rPr>
          <w:rFonts w:ascii="Times New Roman" w:hAnsi="Times New Roman" w:cs="Times New Roman"/>
          <w:sz w:val="24"/>
          <w:szCs w:val="24"/>
        </w:rPr>
        <w:t>“wil</w:t>
      </w:r>
      <w:r>
        <w:rPr>
          <w:rFonts w:ascii="Times New Roman" w:hAnsi="Times New Roman" w:cs="Times New Roman"/>
          <w:sz w:val="24"/>
          <w:szCs w:val="24"/>
        </w:rPr>
        <w:t>fully” which preceded specified offences. In the present case no similar adjective precedes “misrepresentation”. Thirdly, a higher standard proof pertains to criminal offences while the low</w:t>
      </w:r>
      <w:r w:rsidR="00542477">
        <w:rPr>
          <w:rFonts w:ascii="Times New Roman" w:hAnsi="Times New Roman" w:cs="Times New Roman"/>
          <w:sz w:val="24"/>
          <w:szCs w:val="24"/>
        </w:rPr>
        <w:t>er civil law burden of proof</w:t>
      </w:r>
      <w:r>
        <w:rPr>
          <w:rFonts w:ascii="Times New Roman" w:hAnsi="Times New Roman" w:cs="Times New Roman"/>
          <w:sz w:val="24"/>
          <w:szCs w:val="24"/>
        </w:rPr>
        <w:t xml:space="preserve"> applies to tax matters. Fourthly, the present matter concerns </w:t>
      </w:r>
      <w:r w:rsidR="009C5A7F">
        <w:rPr>
          <w:rFonts w:ascii="Times New Roman" w:hAnsi="Times New Roman" w:cs="Times New Roman"/>
          <w:sz w:val="24"/>
          <w:szCs w:val="24"/>
        </w:rPr>
        <w:t xml:space="preserve">the recovery of the correct amount of tax from an errant taxpayer at the special instance and request of the Legislature. </w:t>
      </w:r>
      <w:r w:rsidR="00F6089D">
        <w:rPr>
          <w:rFonts w:ascii="Times New Roman" w:hAnsi="Times New Roman" w:cs="Times New Roman"/>
          <w:sz w:val="24"/>
          <w:szCs w:val="24"/>
        </w:rPr>
        <w:t>Lastly, except in prescribed strict liability offences and cases of negligence, criminal law predominantly revolves upon subjective intent,</w:t>
      </w:r>
      <w:r w:rsidR="00DE13E1">
        <w:rPr>
          <w:rFonts w:ascii="Times New Roman" w:hAnsi="Times New Roman" w:cs="Times New Roman"/>
          <w:sz w:val="24"/>
          <w:szCs w:val="24"/>
        </w:rPr>
        <w:t xml:space="preserve"> while tax law is mainly concerned with objectivity.</w:t>
      </w:r>
      <w:r w:rsidR="00F6089D">
        <w:rPr>
          <w:rFonts w:ascii="Times New Roman" w:hAnsi="Times New Roman" w:cs="Times New Roman"/>
          <w:sz w:val="24"/>
          <w:szCs w:val="24"/>
        </w:rPr>
        <w:t xml:space="preserve">  </w:t>
      </w:r>
    </w:p>
    <w:p w:rsidR="00DE13E1" w:rsidRDefault="00210FDF"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w:t>
      </w:r>
      <w:r w:rsidR="00DE13E1">
        <w:rPr>
          <w:rFonts w:ascii="Times New Roman" w:hAnsi="Times New Roman" w:cs="Times New Roman"/>
          <w:sz w:val="24"/>
          <w:szCs w:val="24"/>
        </w:rPr>
        <w:t>“misrepresentation” bears many permutations</w:t>
      </w:r>
      <w:r w:rsidR="00D067B8">
        <w:rPr>
          <w:rFonts w:ascii="Times New Roman" w:hAnsi="Times New Roman" w:cs="Times New Roman"/>
          <w:sz w:val="24"/>
          <w:szCs w:val="24"/>
        </w:rPr>
        <w:t>, as shown in the legal dictionaries cited in the preceding pages of this judgment. The word has also</w:t>
      </w:r>
      <w:r w:rsidR="00DE13E1">
        <w:rPr>
          <w:rFonts w:ascii="Times New Roman" w:hAnsi="Times New Roman" w:cs="Times New Roman"/>
          <w:sz w:val="24"/>
          <w:szCs w:val="24"/>
        </w:rPr>
        <w:t xml:space="preserve"> received judicial recognition. It has been held in decided cases that </w:t>
      </w:r>
      <w:r w:rsidR="008A3068">
        <w:rPr>
          <w:rFonts w:ascii="Times New Roman" w:hAnsi="Times New Roman" w:cs="Times New Roman"/>
          <w:sz w:val="24"/>
          <w:szCs w:val="24"/>
        </w:rPr>
        <w:t xml:space="preserve">the </w:t>
      </w:r>
      <w:r w:rsidR="00803DA0">
        <w:rPr>
          <w:rFonts w:ascii="Times New Roman" w:hAnsi="Times New Roman" w:cs="Times New Roman"/>
          <w:sz w:val="24"/>
          <w:szCs w:val="24"/>
        </w:rPr>
        <w:t>non-disc</w:t>
      </w:r>
      <w:r w:rsidR="006017D5">
        <w:rPr>
          <w:rFonts w:ascii="Times New Roman" w:hAnsi="Times New Roman" w:cs="Times New Roman"/>
          <w:sz w:val="24"/>
          <w:szCs w:val="24"/>
        </w:rPr>
        <w:t>losure of material information, which</w:t>
      </w:r>
      <w:r w:rsidR="00803DA0">
        <w:rPr>
          <w:rFonts w:ascii="Times New Roman" w:hAnsi="Times New Roman" w:cs="Times New Roman"/>
          <w:sz w:val="24"/>
          <w:szCs w:val="24"/>
        </w:rPr>
        <w:t xml:space="preserve"> is prejudicial to the </w:t>
      </w:r>
      <w:r w:rsidR="006017D5">
        <w:rPr>
          <w:rFonts w:ascii="Times New Roman" w:hAnsi="Times New Roman" w:cs="Times New Roman"/>
          <w:sz w:val="24"/>
          <w:szCs w:val="24"/>
        </w:rPr>
        <w:t>interests of the party to whom</w:t>
      </w:r>
      <w:r w:rsidR="008A3068">
        <w:rPr>
          <w:rFonts w:ascii="Times New Roman" w:hAnsi="Times New Roman" w:cs="Times New Roman"/>
          <w:sz w:val="24"/>
          <w:szCs w:val="24"/>
        </w:rPr>
        <w:t xml:space="preserve"> such information is directed</w:t>
      </w:r>
      <w:r w:rsidR="00DE13E1">
        <w:rPr>
          <w:rFonts w:ascii="Times New Roman" w:hAnsi="Times New Roman" w:cs="Times New Roman"/>
          <w:sz w:val="24"/>
          <w:szCs w:val="24"/>
        </w:rPr>
        <w:t xml:space="preserve"> is a misrepresentation</w:t>
      </w:r>
      <w:r w:rsidR="008A3068">
        <w:rPr>
          <w:rFonts w:ascii="Times New Roman" w:hAnsi="Times New Roman" w:cs="Times New Roman"/>
          <w:sz w:val="24"/>
          <w:szCs w:val="24"/>
        </w:rPr>
        <w:t xml:space="preserve">. </w:t>
      </w:r>
      <w:r w:rsidR="00803DA0">
        <w:rPr>
          <w:rFonts w:ascii="Times New Roman" w:hAnsi="Times New Roman" w:cs="Times New Roman"/>
          <w:sz w:val="24"/>
          <w:szCs w:val="24"/>
        </w:rPr>
        <w:t>See P</w:t>
      </w:r>
      <w:r w:rsidR="00803DA0" w:rsidRPr="004001C5">
        <w:rPr>
          <w:rFonts w:ascii="Times New Roman" w:hAnsi="Times New Roman" w:cs="Times New Roman"/>
          <w:i/>
          <w:sz w:val="24"/>
          <w:szCs w:val="24"/>
        </w:rPr>
        <w:t xml:space="preserve">retorious &amp; </w:t>
      </w:r>
      <w:r w:rsidR="00062499" w:rsidRPr="004001C5">
        <w:rPr>
          <w:rFonts w:ascii="Times New Roman" w:hAnsi="Times New Roman" w:cs="Times New Roman"/>
          <w:i/>
          <w:sz w:val="24"/>
          <w:szCs w:val="24"/>
        </w:rPr>
        <w:t>Anor</w:t>
      </w:r>
      <w:r w:rsidR="00803DA0" w:rsidRPr="004001C5">
        <w:rPr>
          <w:rFonts w:ascii="Times New Roman" w:hAnsi="Times New Roman" w:cs="Times New Roman"/>
          <w:i/>
          <w:sz w:val="24"/>
          <w:szCs w:val="24"/>
        </w:rPr>
        <w:t xml:space="preserve"> v Natal South Sea Investments Trust Ltd (Under Judicial Management</w:t>
      </w:r>
      <w:r w:rsidR="00803DA0">
        <w:rPr>
          <w:rFonts w:ascii="Times New Roman" w:hAnsi="Times New Roman" w:cs="Times New Roman"/>
          <w:sz w:val="24"/>
          <w:szCs w:val="24"/>
        </w:rPr>
        <w:t>) 1965 (3) SA 410 (W)</w:t>
      </w:r>
      <w:r w:rsidR="00DC0C42">
        <w:rPr>
          <w:rFonts w:ascii="Times New Roman" w:hAnsi="Times New Roman" w:cs="Times New Roman"/>
          <w:sz w:val="24"/>
          <w:szCs w:val="24"/>
        </w:rPr>
        <w:t xml:space="preserve"> at 415</w:t>
      </w:r>
      <w:r w:rsidR="00DF6A39">
        <w:rPr>
          <w:rFonts w:ascii="Times New Roman" w:hAnsi="Times New Roman" w:cs="Times New Roman"/>
          <w:sz w:val="24"/>
          <w:szCs w:val="24"/>
        </w:rPr>
        <w:t>D</w:t>
      </w:r>
      <w:r w:rsidR="00DC0C42">
        <w:rPr>
          <w:rFonts w:ascii="Times New Roman" w:hAnsi="Times New Roman" w:cs="Times New Roman"/>
          <w:sz w:val="24"/>
          <w:szCs w:val="24"/>
        </w:rPr>
        <w:t>-416</w:t>
      </w:r>
      <w:r w:rsidR="00DF6A39">
        <w:rPr>
          <w:rFonts w:ascii="Times New Roman" w:hAnsi="Times New Roman" w:cs="Times New Roman"/>
          <w:sz w:val="24"/>
          <w:szCs w:val="24"/>
        </w:rPr>
        <w:t>A</w:t>
      </w:r>
      <w:r w:rsidR="004001C5">
        <w:rPr>
          <w:rFonts w:ascii="Times New Roman" w:hAnsi="Times New Roman" w:cs="Times New Roman"/>
          <w:sz w:val="24"/>
          <w:szCs w:val="24"/>
        </w:rPr>
        <w:t xml:space="preserve">, </w:t>
      </w:r>
      <w:r w:rsidR="00062499" w:rsidRPr="00062499">
        <w:rPr>
          <w:rFonts w:ascii="Times New Roman" w:hAnsi="Times New Roman" w:cs="Times New Roman"/>
          <w:i/>
          <w:sz w:val="24"/>
          <w:szCs w:val="24"/>
        </w:rPr>
        <w:t>SIR v Trouw</w:t>
      </w:r>
      <w:r w:rsidR="00062499">
        <w:rPr>
          <w:rFonts w:ascii="Times New Roman" w:hAnsi="Times New Roman" w:cs="Times New Roman"/>
          <w:sz w:val="24"/>
          <w:szCs w:val="24"/>
        </w:rPr>
        <w:t xml:space="preserve"> 1981 (4) SA 821 (A) at </w:t>
      </w:r>
      <w:r w:rsidR="004001C5" w:rsidRPr="0010046F">
        <w:rPr>
          <w:rFonts w:ascii="Times New Roman" w:hAnsi="Times New Roman" w:cs="Times New Roman"/>
          <w:i/>
          <w:sz w:val="24"/>
          <w:szCs w:val="24"/>
        </w:rPr>
        <w:t>ITC 1582</w:t>
      </w:r>
      <w:r w:rsidR="004001C5">
        <w:rPr>
          <w:rFonts w:ascii="Times New Roman" w:hAnsi="Times New Roman" w:cs="Times New Roman"/>
          <w:sz w:val="24"/>
          <w:szCs w:val="24"/>
        </w:rPr>
        <w:t xml:space="preserve"> (1995) 57 SATC 27</w:t>
      </w:r>
      <w:r w:rsidR="004001C5">
        <w:rPr>
          <w:rStyle w:val="FootnoteReference"/>
          <w:rFonts w:ascii="Times New Roman" w:hAnsi="Times New Roman" w:cs="Times New Roman"/>
          <w:sz w:val="24"/>
          <w:szCs w:val="24"/>
        </w:rPr>
        <w:footnoteReference w:id="18"/>
      </w:r>
      <w:r w:rsidR="0010046F">
        <w:rPr>
          <w:rFonts w:ascii="Times New Roman" w:hAnsi="Times New Roman" w:cs="Times New Roman"/>
          <w:sz w:val="24"/>
          <w:szCs w:val="24"/>
        </w:rPr>
        <w:t xml:space="preserve">; </w:t>
      </w:r>
      <w:r w:rsidR="0010046F" w:rsidRPr="0010046F">
        <w:rPr>
          <w:rFonts w:ascii="Times New Roman" w:hAnsi="Times New Roman" w:cs="Times New Roman"/>
          <w:i/>
          <w:sz w:val="24"/>
          <w:szCs w:val="24"/>
        </w:rPr>
        <w:t>ITC 1594</w:t>
      </w:r>
      <w:r w:rsidR="0010046F">
        <w:rPr>
          <w:rFonts w:ascii="Times New Roman" w:hAnsi="Times New Roman" w:cs="Times New Roman"/>
          <w:sz w:val="24"/>
          <w:szCs w:val="24"/>
        </w:rPr>
        <w:t xml:space="preserve"> (1995) 57 SATC 25</w:t>
      </w:r>
      <w:r w:rsidR="006577A6">
        <w:rPr>
          <w:rFonts w:ascii="Times New Roman" w:hAnsi="Times New Roman" w:cs="Times New Roman"/>
          <w:sz w:val="24"/>
          <w:szCs w:val="24"/>
        </w:rPr>
        <w:t xml:space="preserve"> and Christie’s </w:t>
      </w:r>
      <w:r w:rsidR="006577A6" w:rsidRPr="006577A6">
        <w:rPr>
          <w:rFonts w:ascii="Times New Roman" w:hAnsi="Times New Roman" w:cs="Times New Roman"/>
          <w:i/>
          <w:sz w:val="24"/>
          <w:szCs w:val="24"/>
        </w:rPr>
        <w:t>Business Law in Zimbabwe</w:t>
      </w:r>
      <w:r w:rsidR="006577A6">
        <w:rPr>
          <w:rFonts w:ascii="Times New Roman" w:hAnsi="Times New Roman" w:cs="Times New Roman"/>
          <w:sz w:val="24"/>
          <w:szCs w:val="24"/>
        </w:rPr>
        <w:t xml:space="preserve"> 2</w:t>
      </w:r>
      <w:r w:rsidR="006577A6" w:rsidRPr="006577A6">
        <w:rPr>
          <w:rFonts w:ascii="Times New Roman" w:hAnsi="Times New Roman" w:cs="Times New Roman"/>
          <w:sz w:val="24"/>
          <w:szCs w:val="24"/>
          <w:vertAlign w:val="superscript"/>
        </w:rPr>
        <w:t>nd</w:t>
      </w:r>
      <w:r w:rsidR="006577A6">
        <w:rPr>
          <w:rFonts w:ascii="Times New Roman" w:hAnsi="Times New Roman" w:cs="Times New Roman"/>
          <w:sz w:val="24"/>
          <w:szCs w:val="24"/>
        </w:rPr>
        <w:t xml:space="preserve"> ed p 77.</w:t>
      </w:r>
      <w:r w:rsidR="006017D5">
        <w:rPr>
          <w:rFonts w:ascii="Times New Roman" w:hAnsi="Times New Roman" w:cs="Times New Roman"/>
          <w:sz w:val="24"/>
          <w:szCs w:val="24"/>
        </w:rPr>
        <w:t xml:space="preserve"> </w:t>
      </w:r>
      <w:r w:rsidR="00C00C51">
        <w:rPr>
          <w:rFonts w:ascii="Times New Roman" w:hAnsi="Times New Roman" w:cs="Times New Roman"/>
          <w:sz w:val="24"/>
          <w:szCs w:val="24"/>
        </w:rPr>
        <w:t xml:space="preserve">This definition </w:t>
      </w:r>
      <w:r w:rsidR="00DE13E1">
        <w:rPr>
          <w:rFonts w:ascii="Times New Roman" w:hAnsi="Times New Roman" w:cs="Times New Roman"/>
          <w:sz w:val="24"/>
          <w:szCs w:val="24"/>
        </w:rPr>
        <w:t xml:space="preserve">also </w:t>
      </w:r>
      <w:r w:rsidR="00C00C51">
        <w:rPr>
          <w:rFonts w:ascii="Times New Roman" w:hAnsi="Times New Roman" w:cs="Times New Roman"/>
          <w:sz w:val="24"/>
          <w:szCs w:val="24"/>
        </w:rPr>
        <w:t xml:space="preserve">accords with the meaning </w:t>
      </w:r>
      <w:r w:rsidR="00DE13E1">
        <w:rPr>
          <w:rFonts w:ascii="Times New Roman" w:hAnsi="Times New Roman" w:cs="Times New Roman"/>
          <w:sz w:val="24"/>
          <w:szCs w:val="24"/>
        </w:rPr>
        <w:t xml:space="preserve">I ascribed to the word in the </w:t>
      </w:r>
      <w:r w:rsidR="00DE13E1" w:rsidRPr="00DE13E1">
        <w:rPr>
          <w:rFonts w:ascii="Times New Roman" w:hAnsi="Times New Roman" w:cs="Times New Roman"/>
          <w:i/>
          <w:sz w:val="24"/>
          <w:szCs w:val="24"/>
        </w:rPr>
        <w:t>NT Zimbabwe Ltd</w:t>
      </w:r>
      <w:r w:rsidR="00DE13E1">
        <w:rPr>
          <w:rFonts w:ascii="Times New Roman" w:hAnsi="Times New Roman" w:cs="Times New Roman"/>
          <w:sz w:val="24"/>
          <w:szCs w:val="24"/>
        </w:rPr>
        <w:t xml:space="preserve"> case</w:t>
      </w:r>
      <w:r w:rsidR="00DF6A39">
        <w:rPr>
          <w:rFonts w:ascii="Times New Roman" w:hAnsi="Times New Roman" w:cs="Times New Roman"/>
          <w:sz w:val="24"/>
          <w:szCs w:val="24"/>
        </w:rPr>
        <w:t xml:space="preserve">, </w:t>
      </w:r>
      <w:r w:rsidR="00DF6A39" w:rsidRPr="00DF6A39">
        <w:rPr>
          <w:rFonts w:ascii="Times New Roman" w:hAnsi="Times New Roman" w:cs="Times New Roman"/>
          <w:i/>
          <w:sz w:val="24"/>
          <w:szCs w:val="24"/>
        </w:rPr>
        <w:t>supra</w:t>
      </w:r>
      <w:r w:rsidR="00DE13E1">
        <w:rPr>
          <w:rFonts w:ascii="Times New Roman" w:hAnsi="Times New Roman" w:cs="Times New Roman"/>
          <w:sz w:val="24"/>
          <w:szCs w:val="24"/>
        </w:rPr>
        <w:t xml:space="preserve">. </w:t>
      </w:r>
      <w:r w:rsidR="001F61DD">
        <w:rPr>
          <w:rFonts w:ascii="Times New Roman" w:hAnsi="Times New Roman" w:cs="Times New Roman"/>
          <w:sz w:val="24"/>
          <w:szCs w:val="24"/>
        </w:rPr>
        <w:t xml:space="preserve">It </w:t>
      </w:r>
      <w:r w:rsidR="008D4B84">
        <w:rPr>
          <w:rFonts w:ascii="Times New Roman" w:hAnsi="Times New Roman" w:cs="Times New Roman"/>
          <w:sz w:val="24"/>
          <w:szCs w:val="24"/>
        </w:rPr>
        <w:t>is</w:t>
      </w:r>
      <w:r w:rsidR="001F61DD">
        <w:rPr>
          <w:rFonts w:ascii="Times New Roman" w:hAnsi="Times New Roman" w:cs="Times New Roman"/>
          <w:sz w:val="24"/>
          <w:szCs w:val="24"/>
        </w:rPr>
        <w:t xml:space="preserve">, therefore, on this basis that I </w:t>
      </w:r>
      <w:r w:rsidR="00DE13E1">
        <w:rPr>
          <w:rFonts w:ascii="Times New Roman" w:hAnsi="Times New Roman" w:cs="Times New Roman"/>
          <w:sz w:val="24"/>
          <w:szCs w:val="24"/>
        </w:rPr>
        <w:t xml:space="preserve">continue to hold that the word misrepresentation </w:t>
      </w:r>
      <w:r w:rsidR="001F61DD">
        <w:rPr>
          <w:rFonts w:ascii="Times New Roman" w:hAnsi="Times New Roman" w:cs="Times New Roman"/>
          <w:sz w:val="24"/>
          <w:szCs w:val="24"/>
        </w:rPr>
        <w:t xml:space="preserve">in proviso (ii) to s 47 (1) of the Income Tax Act </w:t>
      </w:r>
      <w:r w:rsidR="00DE13E1">
        <w:rPr>
          <w:rFonts w:ascii="Times New Roman" w:hAnsi="Times New Roman" w:cs="Times New Roman"/>
          <w:sz w:val="24"/>
          <w:szCs w:val="24"/>
        </w:rPr>
        <w:t>must be accorded a</w:t>
      </w:r>
      <w:r w:rsidR="001F61DD">
        <w:rPr>
          <w:rFonts w:ascii="Times New Roman" w:hAnsi="Times New Roman" w:cs="Times New Roman"/>
          <w:sz w:val="24"/>
          <w:szCs w:val="24"/>
        </w:rPr>
        <w:t xml:space="preserve"> wide rather than </w:t>
      </w:r>
      <w:r w:rsidR="00DE13E1">
        <w:rPr>
          <w:rFonts w:ascii="Times New Roman" w:hAnsi="Times New Roman" w:cs="Times New Roman"/>
          <w:sz w:val="24"/>
          <w:szCs w:val="24"/>
        </w:rPr>
        <w:t>a narrow meanin</w:t>
      </w:r>
      <w:r w:rsidR="001F61DD">
        <w:rPr>
          <w:rFonts w:ascii="Times New Roman" w:hAnsi="Times New Roman" w:cs="Times New Roman"/>
          <w:sz w:val="24"/>
          <w:szCs w:val="24"/>
        </w:rPr>
        <w:t>g.</w:t>
      </w:r>
    </w:p>
    <w:p w:rsidR="00C00C51" w:rsidRPr="00D1659E" w:rsidRDefault="00945D50" w:rsidP="00521041">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There are, however, even more compelling practical reasons for finding that the appellant intentionally misrepresented the expenses embodied in the two self-assessment returns in dispute.  </w:t>
      </w:r>
      <w:r w:rsidR="00C00C51">
        <w:rPr>
          <w:rFonts w:ascii="Times New Roman" w:hAnsi="Times New Roman" w:cs="Times New Roman"/>
          <w:sz w:val="24"/>
          <w:szCs w:val="24"/>
        </w:rPr>
        <w:t xml:space="preserve">The appellant conceded through its tax advisors that it could not objectively assert that leave  pay provisions were incurred in terms of </w:t>
      </w:r>
      <w:r w:rsidR="00970857">
        <w:rPr>
          <w:rFonts w:ascii="Times New Roman" w:hAnsi="Times New Roman" w:cs="Times New Roman"/>
          <w:sz w:val="24"/>
          <w:szCs w:val="24"/>
        </w:rPr>
        <w:t xml:space="preserve">the general deduction formula, </w:t>
      </w:r>
      <w:r w:rsidR="00C00C51">
        <w:rPr>
          <w:rFonts w:ascii="Times New Roman" w:hAnsi="Times New Roman" w:cs="Times New Roman"/>
          <w:sz w:val="24"/>
          <w:szCs w:val="24"/>
        </w:rPr>
        <w:t>s 15 (2) (a) of the Act. The admitted financial prej</w:t>
      </w:r>
      <w:r w:rsidR="00780418">
        <w:rPr>
          <w:rFonts w:ascii="Times New Roman" w:hAnsi="Times New Roman" w:cs="Times New Roman"/>
          <w:sz w:val="24"/>
          <w:szCs w:val="24"/>
        </w:rPr>
        <w:t>udice</w:t>
      </w:r>
      <w:r w:rsidR="00C00C51">
        <w:rPr>
          <w:rFonts w:ascii="Times New Roman" w:hAnsi="Times New Roman" w:cs="Times New Roman"/>
          <w:sz w:val="24"/>
          <w:szCs w:val="24"/>
        </w:rPr>
        <w:t xml:space="preserve"> occasioned by the appellant in 2009</w:t>
      </w:r>
      <w:r w:rsidR="00087D41">
        <w:rPr>
          <w:rStyle w:val="FootnoteReference"/>
          <w:rFonts w:ascii="Times New Roman" w:hAnsi="Times New Roman" w:cs="Times New Roman"/>
          <w:sz w:val="24"/>
          <w:szCs w:val="24"/>
        </w:rPr>
        <w:footnoteReference w:id="19"/>
      </w:r>
      <w:r w:rsidR="00C00C51">
        <w:rPr>
          <w:rFonts w:ascii="Times New Roman" w:hAnsi="Times New Roman" w:cs="Times New Roman"/>
          <w:sz w:val="24"/>
          <w:szCs w:val="24"/>
        </w:rPr>
        <w:t xml:space="preserve"> alone was computed by the respondent in its letter of letter of 16 December 2016, to be in the sum of US$693 520.71</w:t>
      </w:r>
      <w:r w:rsidR="00780418">
        <w:rPr>
          <w:rFonts w:ascii="Times New Roman" w:hAnsi="Times New Roman" w:cs="Times New Roman"/>
          <w:sz w:val="24"/>
          <w:szCs w:val="24"/>
        </w:rPr>
        <w:t>. The concession amounted to an acceptance that the appellant misrepresented its tax deductible expenses in respect of leave pay in the 2009 tax year, which prejudiced the fiscus in the sum of US$693 520.71</w:t>
      </w:r>
      <w:r w:rsidR="007A7386">
        <w:rPr>
          <w:rFonts w:ascii="Times New Roman" w:hAnsi="Times New Roman" w:cs="Times New Roman"/>
          <w:sz w:val="24"/>
          <w:szCs w:val="24"/>
        </w:rPr>
        <w:t xml:space="preserve">. </w:t>
      </w:r>
      <w:r w:rsidR="00D5651B">
        <w:rPr>
          <w:rFonts w:ascii="Times New Roman" w:hAnsi="Times New Roman" w:cs="Times New Roman"/>
          <w:sz w:val="24"/>
          <w:szCs w:val="24"/>
        </w:rPr>
        <w:t xml:space="preserve">The self-same tax advisors admitted that </w:t>
      </w:r>
      <w:r w:rsidR="00447283">
        <w:rPr>
          <w:rFonts w:ascii="Times New Roman" w:hAnsi="Times New Roman" w:cs="Times New Roman"/>
          <w:sz w:val="24"/>
          <w:szCs w:val="24"/>
        </w:rPr>
        <w:t xml:space="preserve">the impugned expenses </w:t>
      </w:r>
      <w:r w:rsidR="002B61B0">
        <w:rPr>
          <w:rFonts w:ascii="Times New Roman" w:hAnsi="Times New Roman" w:cs="Times New Roman"/>
          <w:sz w:val="24"/>
          <w:szCs w:val="24"/>
        </w:rPr>
        <w:t xml:space="preserve">also </w:t>
      </w:r>
      <w:r w:rsidR="00447283">
        <w:rPr>
          <w:rFonts w:ascii="Times New Roman" w:hAnsi="Times New Roman" w:cs="Times New Roman"/>
          <w:sz w:val="24"/>
          <w:szCs w:val="24"/>
        </w:rPr>
        <w:t xml:space="preserve">included </w:t>
      </w:r>
      <w:r w:rsidR="002B61B0">
        <w:rPr>
          <w:rFonts w:ascii="Times New Roman" w:hAnsi="Times New Roman" w:cs="Times New Roman"/>
          <w:sz w:val="24"/>
          <w:szCs w:val="24"/>
        </w:rPr>
        <w:t xml:space="preserve">social corporate </w:t>
      </w:r>
      <w:r w:rsidR="005E179C">
        <w:rPr>
          <w:rFonts w:ascii="Times New Roman" w:hAnsi="Times New Roman" w:cs="Times New Roman"/>
          <w:sz w:val="24"/>
          <w:szCs w:val="24"/>
        </w:rPr>
        <w:t>and responsibility</w:t>
      </w:r>
      <w:r w:rsidR="007C2C47">
        <w:rPr>
          <w:rFonts w:ascii="Times New Roman" w:hAnsi="Times New Roman" w:cs="Times New Roman"/>
          <w:sz w:val="24"/>
          <w:szCs w:val="24"/>
        </w:rPr>
        <w:t xml:space="preserve"> </w:t>
      </w:r>
      <w:r w:rsidR="005E179C">
        <w:rPr>
          <w:rFonts w:ascii="Times New Roman" w:hAnsi="Times New Roman" w:cs="Times New Roman"/>
          <w:sz w:val="24"/>
          <w:szCs w:val="24"/>
        </w:rPr>
        <w:t>costs</w:t>
      </w:r>
      <w:r w:rsidR="002B61B0">
        <w:rPr>
          <w:rFonts w:ascii="Times New Roman" w:hAnsi="Times New Roman" w:cs="Times New Roman"/>
          <w:sz w:val="24"/>
          <w:szCs w:val="24"/>
        </w:rPr>
        <w:t xml:space="preserve"> and software</w:t>
      </w:r>
      <w:r w:rsidR="005E179C">
        <w:rPr>
          <w:rFonts w:ascii="Times New Roman" w:hAnsi="Times New Roman" w:cs="Times New Roman"/>
          <w:sz w:val="24"/>
          <w:szCs w:val="24"/>
        </w:rPr>
        <w:t xml:space="preserve"> development costs</w:t>
      </w:r>
      <w:r w:rsidR="002B61B0">
        <w:rPr>
          <w:rFonts w:ascii="Times New Roman" w:hAnsi="Times New Roman" w:cs="Times New Roman"/>
          <w:sz w:val="24"/>
          <w:szCs w:val="24"/>
        </w:rPr>
        <w:t xml:space="preserve"> that where amortized in 2010, </w:t>
      </w:r>
      <w:r w:rsidR="0016293C">
        <w:rPr>
          <w:rFonts w:ascii="Times New Roman" w:hAnsi="Times New Roman" w:cs="Times New Roman"/>
          <w:sz w:val="24"/>
          <w:szCs w:val="24"/>
        </w:rPr>
        <w:t xml:space="preserve">double deductions </w:t>
      </w:r>
      <w:r w:rsidR="00D1659E">
        <w:rPr>
          <w:rFonts w:ascii="Times New Roman" w:hAnsi="Times New Roman" w:cs="Times New Roman"/>
          <w:sz w:val="24"/>
          <w:szCs w:val="24"/>
        </w:rPr>
        <w:t>f</w:t>
      </w:r>
      <w:r w:rsidR="0016293C">
        <w:rPr>
          <w:rFonts w:ascii="Times New Roman" w:hAnsi="Times New Roman" w:cs="Times New Roman"/>
          <w:sz w:val="24"/>
          <w:szCs w:val="24"/>
        </w:rPr>
        <w:t>or</w:t>
      </w:r>
      <w:r w:rsidR="00D1659E">
        <w:rPr>
          <w:rFonts w:ascii="Times New Roman" w:hAnsi="Times New Roman" w:cs="Times New Roman"/>
          <w:sz w:val="24"/>
          <w:szCs w:val="24"/>
        </w:rPr>
        <w:t xml:space="preserve"> repairs and maintenance, fines and prepayments, all</w:t>
      </w:r>
      <w:r w:rsidR="002B61B0">
        <w:rPr>
          <w:rFonts w:ascii="Times New Roman" w:hAnsi="Times New Roman" w:cs="Times New Roman"/>
          <w:sz w:val="24"/>
          <w:szCs w:val="24"/>
        </w:rPr>
        <w:t xml:space="preserve"> of which did not involve any statutory interpretation differences. </w:t>
      </w:r>
      <w:r w:rsidR="00633683">
        <w:rPr>
          <w:rFonts w:ascii="Times New Roman" w:hAnsi="Times New Roman" w:cs="Times New Roman"/>
          <w:sz w:val="24"/>
          <w:szCs w:val="24"/>
        </w:rPr>
        <w:t>I find that these improper, unjustified and unexplained deductions constituted the atypical misrepresentation contemplated in proviso (ii) to s 47 (1) of the Act.</w:t>
      </w:r>
    </w:p>
    <w:p w:rsidR="00E30592" w:rsidRPr="00721D2A" w:rsidRDefault="007A7386" w:rsidP="0052104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The tax advisors in their concession alluded to a purported Zimra generally prevailing practice of treating l</w:t>
      </w:r>
      <w:r w:rsidR="00970857">
        <w:rPr>
          <w:rFonts w:ascii="Times New Roman" w:hAnsi="Times New Roman" w:cs="Times New Roman"/>
          <w:sz w:val="24"/>
          <w:szCs w:val="24"/>
        </w:rPr>
        <w:t>eave pay provisions as incurred</w:t>
      </w:r>
      <w:r>
        <w:rPr>
          <w:rFonts w:ascii="Times New Roman" w:hAnsi="Times New Roman" w:cs="Times New Roman"/>
          <w:sz w:val="24"/>
          <w:szCs w:val="24"/>
        </w:rPr>
        <w:t xml:space="preserve"> in the </w:t>
      </w:r>
      <w:r w:rsidR="0055677A">
        <w:rPr>
          <w:rFonts w:ascii="Times New Roman" w:hAnsi="Times New Roman" w:cs="Times New Roman"/>
          <w:sz w:val="24"/>
          <w:szCs w:val="24"/>
        </w:rPr>
        <w:t xml:space="preserve">year of provision and </w:t>
      </w:r>
      <w:r w:rsidR="00970857">
        <w:rPr>
          <w:rFonts w:ascii="Times New Roman" w:hAnsi="Times New Roman" w:cs="Times New Roman"/>
          <w:sz w:val="24"/>
          <w:szCs w:val="24"/>
        </w:rPr>
        <w:t xml:space="preserve">further that </w:t>
      </w:r>
      <w:r w:rsidR="0055677A">
        <w:rPr>
          <w:rFonts w:ascii="Times New Roman" w:hAnsi="Times New Roman" w:cs="Times New Roman"/>
          <w:sz w:val="24"/>
          <w:szCs w:val="24"/>
        </w:rPr>
        <w:t>a difference of opinion in interpreting s 15 (2) (a)</w:t>
      </w:r>
      <w:r w:rsidR="00970857">
        <w:rPr>
          <w:rFonts w:ascii="Times New Roman" w:hAnsi="Times New Roman" w:cs="Times New Roman"/>
          <w:sz w:val="24"/>
          <w:szCs w:val="24"/>
        </w:rPr>
        <w:t xml:space="preserve"> could not amount to a misrepresentation</w:t>
      </w:r>
      <w:r w:rsidR="0055677A">
        <w:rPr>
          <w:rFonts w:ascii="Times New Roman" w:hAnsi="Times New Roman" w:cs="Times New Roman"/>
          <w:sz w:val="24"/>
          <w:szCs w:val="24"/>
        </w:rPr>
        <w:t xml:space="preserve">. This was a disingenuous attempt to undermine the efficacy of the concession by raising insupportable factual and legal issues. The onus to establish </w:t>
      </w:r>
      <w:r w:rsidR="00970857">
        <w:rPr>
          <w:rFonts w:ascii="Times New Roman" w:hAnsi="Times New Roman" w:cs="Times New Roman"/>
          <w:sz w:val="24"/>
          <w:szCs w:val="24"/>
        </w:rPr>
        <w:t xml:space="preserve">on a balance of probabilities </w:t>
      </w:r>
      <w:r w:rsidR="0055677A">
        <w:rPr>
          <w:rFonts w:ascii="Times New Roman" w:hAnsi="Times New Roman" w:cs="Times New Roman"/>
          <w:sz w:val="24"/>
          <w:szCs w:val="24"/>
        </w:rPr>
        <w:t>both the purported practice and the correctness of th</w:t>
      </w:r>
      <w:r w:rsidR="00970857">
        <w:rPr>
          <w:rFonts w:ascii="Times New Roman" w:hAnsi="Times New Roman" w:cs="Times New Roman"/>
          <w:sz w:val="24"/>
          <w:szCs w:val="24"/>
        </w:rPr>
        <w:t>e appellant’s interpretation</w:t>
      </w:r>
      <w:r w:rsidR="0055677A">
        <w:rPr>
          <w:rFonts w:ascii="Times New Roman" w:hAnsi="Times New Roman" w:cs="Times New Roman"/>
          <w:sz w:val="24"/>
          <w:szCs w:val="24"/>
        </w:rPr>
        <w:t xml:space="preserve"> lay on the appellant. It would never have been able to discharge th</w:t>
      </w:r>
      <w:r w:rsidR="00970857">
        <w:rPr>
          <w:rFonts w:ascii="Times New Roman" w:hAnsi="Times New Roman" w:cs="Times New Roman"/>
          <w:sz w:val="24"/>
          <w:szCs w:val="24"/>
        </w:rPr>
        <w:t>e onus, hence the concession.  In my view, th</w:t>
      </w:r>
      <w:r w:rsidR="0055677A">
        <w:rPr>
          <w:rFonts w:ascii="Times New Roman" w:hAnsi="Times New Roman" w:cs="Times New Roman"/>
          <w:sz w:val="24"/>
          <w:szCs w:val="24"/>
        </w:rPr>
        <w:t xml:space="preserve">e allusions </w:t>
      </w:r>
      <w:r w:rsidR="00970857">
        <w:rPr>
          <w:rFonts w:ascii="Times New Roman" w:hAnsi="Times New Roman" w:cs="Times New Roman"/>
          <w:sz w:val="24"/>
          <w:szCs w:val="24"/>
        </w:rPr>
        <w:t xml:space="preserve">thus made were not </w:t>
      </w:r>
      <w:r w:rsidR="0055677A">
        <w:rPr>
          <w:rFonts w:ascii="Times New Roman" w:hAnsi="Times New Roman" w:cs="Times New Roman"/>
          <w:sz w:val="24"/>
          <w:szCs w:val="24"/>
        </w:rPr>
        <w:t xml:space="preserve">genuinely </w:t>
      </w:r>
      <w:r w:rsidR="00970857">
        <w:rPr>
          <w:rFonts w:ascii="Times New Roman" w:hAnsi="Times New Roman" w:cs="Times New Roman"/>
          <w:sz w:val="24"/>
          <w:szCs w:val="24"/>
        </w:rPr>
        <w:t xml:space="preserve">and honestly </w:t>
      </w:r>
      <w:r w:rsidR="0055677A">
        <w:rPr>
          <w:rFonts w:ascii="Times New Roman" w:hAnsi="Times New Roman" w:cs="Times New Roman"/>
          <w:sz w:val="24"/>
          <w:szCs w:val="24"/>
        </w:rPr>
        <w:t>made</w:t>
      </w:r>
      <w:r w:rsidR="001660FB">
        <w:rPr>
          <w:rFonts w:ascii="Times New Roman" w:hAnsi="Times New Roman" w:cs="Times New Roman"/>
          <w:sz w:val="24"/>
          <w:szCs w:val="24"/>
        </w:rPr>
        <w:t xml:space="preserve"> but were me</w:t>
      </w:r>
      <w:r w:rsidR="00832770">
        <w:rPr>
          <w:rFonts w:ascii="Times New Roman" w:hAnsi="Times New Roman" w:cs="Times New Roman"/>
          <w:sz w:val="24"/>
          <w:szCs w:val="24"/>
        </w:rPr>
        <w:t>re afterthoughts designed to justify</w:t>
      </w:r>
      <w:r w:rsidR="001660FB">
        <w:rPr>
          <w:rFonts w:ascii="Times New Roman" w:hAnsi="Times New Roman" w:cs="Times New Roman"/>
          <w:sz w:val="24"/>
          <w:szCs w:val="24"/>
        </w:rPr>
        <w:t xml:space="preserve"> the misstatement of </w:t>
      </w:r>
      <w:r w:rsidR="00832770">
        <w:rPr>
          <w:rFonts w:ascii="Times New Roman" w:hAnsi="Times New Roman" w:cs="Times New Roman"/>
          <w:sz w:val="24"/>
          <w:szCs w:val="24"/>
        </w:rPr>
        <w:t xml:space="preserve">the global expenses inserted in the 2009 and 2010 self-assessment returns. </w:t>
      </w:r>
      <w:r w:rsidR="001660FB">
        <w:rPr>
          <w:rFonts w:ascii="Times New Roman" w:hAnsi="Times New Roman" w:cs="Times New Roman"/>
          <w:sz w:val="24"/>
          <w:szCs w:val="24"/>
        </w:rPr>
        <w:t xml:space="preserve"> </w:t>
      </w:r>
      <w:r w:rsidR="0055677A">
        <w:rPr>
          <w:rFonts w:ascii="Times New Roman" w:hAnsi="Times New Roman" w:cs="Times New Roman"/>
          <w:sz w:val="24"/>
          <w:szCs w:val="24"/>
        </w:rPr>
        <w:t xml:space="preserve">The legal argument that provisions were incurred displayed the elementary and culpable ignorance of the tax advisors on the legal definition ascribed to </w:t>
      </w:r>
      <w:r w:rsidR="000C01E8">
        <w:rPr>
          <w:rFonts w:ascii="Times New Roman" w:hAnsi="Times New Roman" w:cs="Times New Roman"/>
          <w:sz w:val="24"/>
          <w:szCs w:val="24"/>
        </w:rPr>
        <w:t>incur</w:t>
      </w:r>
      <w:r w:rsidR="0055677A">
        <w:rPr>
          <w:rFonts w:ascii="Times New Roman" w:hAnsi="Times New Roman" w:cs="Times New Roman"/>
          <w:sz w:val="24"/>
          <w:szCs w:val="24"/>
        </w:rPr>
        <w:t xml:space="preserve"> </w:t>
      </w:r>
      <w:r w:rsidR="000C01E8">
        <w:rPr>
          <w:rFonts w:ascii="Times New Roman" w:hAnsi="Times New Roman" w:cs="Times New Roman"/>
          <w:sz w:val="24"/>
          <w:szCs w:val="24"/>
        </w:rPr>
        <w:t>by case law and legal</w:t>
      </w:r>
      <w:r w:rsidR="00F65C2D">
        <w:rPr>
          <w:rFonts w:ascii="Times New Roman" w:hAnsi="Times New Roman" w:cs="Times New Roman"/>
          <w:sz w:val="24"/>
          <w:szCs w:val="24"/>
        </w:rPr>
        <w:t xml:space="preserve"> literature. It simply means “</w:t>
      </w:r>
      <w:r w:rsidR="00497016">
        <w:rPr>
          <w:rFonts w:ascii="Times New Roman" w:hAnsi="Times New Roman" w:cs="Times New Roman"/>
          <w:sz w:val="24"/>
          <w:szCs w:val="24"/>
        </w:rPr>
        <w:t>an unconditional legal obligation to pay”.</w:t>
      </w:r>
      <w:r w:rsidR="000C01E8">
        <w:rPr>
          <w:rFonts w:ascii="Times New Roman" w:hAnsi="Times New Roman" w:cs="Times New Roman"/>
          <w:sz w:val="24"/>
          <w:szCs w:val="24"/>
        </w:rPr>
        <w:t xml:space="preserve"> A provision by its nature represents </w:t>
      </w:r>
      <w:r w:rsidR="00970857">
        <w:rPr>
          <w:rFonts w:ascii="Times New Roman" w:hAnsi="Times New Roman" w:cs="Times New Roman"/>
          <w:sz w:val="24"/>
          <w:szCs w:val="24"/>
        </w:rPr>
        <w:t xml:space="preserve">an </w:t>
      </w:r>
      <w:r w:rsidR="003666D2">
        <w:rPr>
          <w:rFonts w:ascii="Times New Roman" w:hAnsi="Times New Roman" w:cs="Times New Roman"/>
          <w:sz w:val="24"/>
          <w:szCs w:val="24"/>
        </w:rPr>
        <w:t xml:space="preserve">estimated </w:t>
      </w:r>
      <w:r w:rsidR="00306D13">
        <w:rPr>
          <w:rFonts w:ascii="Times New Roman" w:hAnsi="Times New Roman" w:cs="Times New Roman"/>
          <w:sz w:val="24"/>
          <w:szCs w:val="24"/>
        </w:rPr>
        <w:lastRenderedPageBreak/>
        <w:t xml:space="preserve">anticipated </w:t>
      </w:r>
      <w:r w:rsidR="003666D2">
        <w:rPr>
          <w:rFonts w:ascii="Times New Roman" w:hAnsi="Times New Roman" w:cs="Times New Roman"/>
          <w:sz w:val="24"/>
          <w:szCs w:val="24"/>
        </w:rPr>
        <w:t xml:space="preserve">amount for </w:t>
      </w:r>
      <w:r w:rsidR="000C01E8">
        <w:rPr>
          <w:rFonts w:ascii="Times New Roman" w:hAnsi="Times New Roman" w:cs="Times New Roman"/>
          <w:sz w:val="24"/>
          <w:szCs w:val="24"/>
        </w:rPr>
        <w:t xml:space="preserve">an obligation which </w:t>
      </w:r>
      <w:r w:rsidR="00662DFF">
        <w:rPr>
          <w:rFonts w:ascii="Times New Roman" w:hAnsi="Times New Roman" w:cs="Times New Roman"/>
          <w:sz w:val="24"/>
          <w:szCs w:val="24"/>
        </w:rPr>
        <w:t xml:space="preserve">is expected or likely to </w:t>
      </w:r>
      <w:r w:rsidR="003666D2">
        <w:rPr>
          <w:rFonts w:ascii="Times New Roman" w:hAnsi="Times New Roman" w:cs="Times New Roman"/>
          <w:sz w:val="24"/>
          <w:szCs w:val="24"/>
        </w:rPr>
        <w:t xml:space="preserve">be settled in a subsequent year in which it will become legally </w:t>
      </w:r>
      <w:r w:rsidR="00FC5A84">
        <w:rPr>
          <w:rFonts w:ascii="Times New Roman" w:hAnsi="Times New Roman" w:cs="Times New Roman"/>
          <w:sz w:val="24"/>
          <w:szCs w:val="24"/>
        </w:rPr>
        <w:t xml:space="preserve">due and payable. </w:t>
      </w:r>
      <w:r w:rsidR="000C01E8">
        <w:rPr>
          <w:rFonts w:ascii="Times New Roman" w:hAnsi="Times New Roman" w:cs="Times New Roman"/>
          <w:sz w:val="24"/>
          <w:szCs w:val="24"/>
        </w:rPr>
        <w:t xml:space="preserve">Clearly a provision cannot be incurred until it becomes due and </w:t>
      </w:r>
      <w:r w:rsidR="00497016">
        <w:rPr>
          <w:rFonts w:ascii="Times New Roman" w:hAnsi="Times New Roman" w:cs="Times New Roman"/>
          <w:sz w:val="24"/>
          <w:szCs w:val="24"/>
        </w:rPr>
        <w:t>payable.</w:t>
      </w:r>
      <w:r w:rsidR="00497016" w:rsidRPr="001C4827">
        <w:rPr>
          <w:rFonts w:ascii="Times New Roman" w:hAnsi="Times New Roman" w:cs="Times New Roman"/>
          <w:sz w:val="24"/>
          <w:szCs w:val="24"/>
        </w:rPr>
        <w:t xml:space="preserve"> See </w:t>
      </w:r>
      <w:r w:rsidR="00497016" w:rsidRPr="001C4827">
        <w:rPr>
          <w:rFonts w:ascii="Times New Roman" w:hAnsi="Times New Roman" w:cs="Times New Roman"/>
          <w:i/>
          <w:sz w:val="24"/>
          <w:szCs w:val="24"/>
        </w:rPr>
        <w:t xml:space="preserve">Edgars Stores Ltd </w:t>
      </w:r>
      <w:r w:rsidR="00497016" w:rsidRPr="001C4827">
        <w:rPr>
          <w:rFonts w:ascii="Times New Roman" w:hAnsi="Times New Roman" w:cs="Times New Roman"/>
          <w:sz w:val="24"/>
          <w:szCs w:val="24"/>
        </w:rPr>
        <w:t>v</w:t>
      </w:r>
      <w:r w:rsidR="00497016" w:rsidRPr="001C4827">
        <w:rPr>
          <w:rFonts w:ascii="Times New Roman" w:hAnsi="Times New Roman" w:cs="Times New Roman"/>
          <w:i/>
          <w:sz w:val="24"/>
          <w:szCs w:val="24"/>
        </w:rPr>
        <w:t xml:space="preserve"> Commissioner for Inland Revenue</w:t>
      </w:r>
      <w:r w:rsidR="00497016" w:rsidRPr="001C4827">
        <w:rPr>
          <w:rFonts w:ascii="Times New Roman" w:hAnsi="Times New Roman" w:cs="Times New Roman"/>
          <w:sz w:val="24"/>
          <w:szCs w:val="24"/>
        </w:rPr>
        <w:t xml:space="preserve"> 1988 (3) SA 876 (A) at 889A-C; 50 SATC 81 (A) at 90</w:t>
      </w:r>
      <w:r w:rsidR="00497016" w:rsidRPr="001C4827">
        <w:rPr>
          <w:rFonts w:ascii="Times New Roman" w:hAnsi="Times New Roman" w:cs="Times New Roman"/>
          <w:i/>
          <w:sz w:val="24"/>
          <w:szCs w:val="24"/>
        </w:rPr>
        <w:t xml:space="preserve"> </w:t>
      </w:r>
      <w:r w:rsidR="00497016" w:rsidRPr="001C4827">
        <w:rPr>
          <w:rFonts w:ascii="Times New Roman" w:hAnsi="Times New Roman" w:cs="Times New Roman"/>
          <w:sz w:val="24"/>
          <w:szCs w:val="24"/>
        </w:rPr>
        <w:t xml:space="preserve">and </w:t>
      </w:r>
      <w:r w:rsidR="00497016" w:rsidRPr="001C4827">
        <w:rPr>
          <w:rFonts w:ascii="Times New Roman" w:hAnsi="Times New Roman" w:cs="Times New Roman"/>
          <w:i/>
          <w:sz w:val="24"/>
          <w:szCs w:val="24"/>
        </w:rPr>
        <w:t>ITC 1587</w:t>
      </w:r>
      <w:r w:rsidR="00497016" w:rsidRPr="001C4827">
        <w:rPr>
          <w:rFonts w:ascii="Times New Roman" w:hAnsi="Times New Roman" w:cs="Times New Roman"/>
          <w:sz w:val="24"/>
          <w:szCs w:val="24"/>
        </w:rPr>
        <w:t xml:space="preserve"> (1994) 57 SATC 97 (T) at 103-104</w:t>
      </w:r>
      <w:r w:rsidR="00497016">
        <w:rPr>
          <w:rFonts w:ascii="Times New Roman" w:hAnsi="Times New Roman" w:cs="Times New Roman"/>
          <w:i/>
          <w:sz w:val="24"/>
          <w:szCs w:val="24"/>
        </w:rPr>
        <w:t>.</w:t>
      </w:r>
      <w:r w:rsidR="00946466" w:rsidRPr="00721D2A">
        <w:rPr>
          <w:rFonts w:ascii="Times New Roman" w:hAnsi="Times New Roman" w:cs="Times New Roman"/>
          <w:i/>
          <w:sz w:val="24"/>
          <w:szCs w:val="24"/>
        </w:rPr>
        <w:t xml:space="preserve"> </w:t>
      </w:r>
      <w:r w:rsidR="000C01E8" w:rsidRPr="00721D2A">
        <w:rPr>
          <w:rFonts w:ascii="Times New Roman" w:hAnsi="Times New Roman" w:cs="Times New Roman"/>
          <w:i/>
          <w:sz w:val="24"/>
          <w:szCs w:val="24"/>
        </w:rPr>
        <w:t xml:space="preserve"> </w:t>
      </w:r>
      <w:r w:rsidR="0061348E" w:rsidRPr="00721D2A">
        <w:rPr>
          <w:rFonts w:ascii="Times New Roman" w:hAnsi="Times New Roman" w:cs="Times New Roman"/>
          <w:i/>
          <w:sz w:val="24"/>
          <w:szCs w:val="24"/>
        </w:rPr>
        <w:t xml:space="preserve">  </w:t>
      </w:r>
    </w:p>
    <w:p w:rsidR="00F6535A" w:rsidRDefault="00AE08BC" w:rsidP="00521041">
      <w:pPr>
        <w:spacing w:after="0" w:line="360" w:lineRule="auto"/>
        <w:jc w:val="both"/>
        <w:rPr>
          <w:rFonts w:ascii="Times New Roman" w:hAnsi="Times New Roman" w:cs="Times New Roman"/>
          <w:sz w:val="24"/>
          <w:szCs w:val="24"/>
        </w:rPr>
      </w:pPr>
      <w:r w:rsidRPr="00AE08BC">
        <w:rPr>
          <w:rFonts w:ascii="Times New Roman" w:hAnsi="Times New Roman" w:cs="Times New Roman"/>
          <w:sz w:val="24"/>
          <w:szCs w:val="24"/>
        </w:rPr>
        <w:t xml:space="preserve">In the final analysis the </w:t>
      </w:r>
      <w:r>
        <w:rPr>
          <w:rFonts w:ascii="Times New Roman" w:hAnsi="Times New Roman" w:cs="Times New Roman"/>
          <w:sz w:val="24"/>
          <w:szCs w:val="24"/>
        </w:rPr>
        <w:t>appellant pinned its case on the purported disclosures in the financial statements of the composition of the provisions and expenses recorded in the self-assessments. The finding that the financial statements did not constitute part of the relevant documents required of the appellant undermined that line of argument. I find that the appellant deliberately misrepresented the composition of the expenses. I find the explanations made by the appellant in the letter of 9 December</w:t>
      </w:r>
      <w:r w:rsidR="004C7B78">
        <w:rPr>
          <w:rFonts w:ascii="Times New Roman" w:hAnsi="Times New Roman" w:cs="Times New Roman"/>
          <w:sz w:val="24"/>
          <w:szCs w:val="24"/>
        </w:rPr>
        <w:t xml:space="preserve"> </w:t>
      </w:r>
      <w:r>
        <w:rPr>
          <w:rFonts w:ascii="Times New Roman" w:hAnsi="Times New Roman" w:cs="Times New Roman"/>
          <w:sz w:val="24"/>
          <w:szCs w:val="24"/>
        </w:rPr>
        <w:t>2016</w:t>
      </w:r>
      <w:r w:rsidR="00BB413D">
        <w:rPr>
          <w:rFonts w:ascii="Times New Roman" w:hAnsi="Times New Roman" w:cs="Times New Roman"/>
          <w:sz w:val="24"/>
          <w:szCs w:val="24"/>
        </w:rPr>
        <w:t>,</w:t>
      </w:r>
      <w:r>
        <w:rPr>
          <w:rFonts w:ascii="Times New Roman" w:hAnsi="Times New Roman" w:cs="Times New Roman"/>
          <w:sz w:val="24"/>
          <w:szCs w:val="24"/>
        </w:rPr>
        <w:t xml:space="preserve"> and in the objections to have been after the fact </w:t>
      </w:r>
      <w:r w:rsidR="00C50BFB">
        <w:rPr>
          <w:rFonts w:ascii="Times New Roman" w:hAnsi="Times New Roman" w:cs="Times New Roman"/>
          <w:sz w:val="24"/>
          <w:szCs w:val="24"/>
        </w:rPr>
        <w:t>rationalizations</w:t>
      </w:r>
      <w:r>
        <w:rPr>
          <w:rFonts w:ascii="Times New Roman" w:hAnsi="Times New Roman" w:cs="Times New Roman"/>
          <w:sz w:val="24"/>
          <w:szCs w:val="24"/>
        </w:rPr>
        <w:t xml:space="preserve"> of the </w:t>
      </w:r>
      <w:r w:rsidR="00C50BFB">
        <w:rPr>
          <w:rFonts w:ascii="Times New Roman" w:hAnsi="Times New Roman" w:cs="Times New Roman"/>
          <w:sz w:val="24"/>
          <w:szCs w:val="24"/>
        </w:rPr>
        <w:t>possible</w:t>
      </w:r>
      <w:r>
        <w:rPr>
          <w:rFonts w:ascii="Times New Roman" w:hAnsi="Times New Roman" w:cs="Times New Roman"/>
          <w:sz w:val="24"/>
          <w:szCs w:val="24"/>
        </w:rPr>
        <w:t xml:space="preserve"> reasons </w:t>
      </w:r>
      <w:r w:rsidR="00C50BFB">
        <w:rPr>
          <w:rFonts w:ascii="Times New Roman" w:hAnsi="Times New Roman" w:cs="Times New Roman"/>
          <w:sz w:val="24"/>
          <w:szCs w:val="24"/>
        </w:rPr>
        <w:t xml:space="preserve">why these unallowable expenses were incorporated in the globular </w:t>
      </w:r>
      <w:r w:rsidR="004C7B78">
        <w:rPr>
          <w:rFonts w:ascii="Times New Roman" w:hAnsi="Times New Roman" w:cs="Times New Roman"/>
          <w:sz w:val="24"/>
          <w:szCs w:val="24"/>
        </w:rPr>
        <w:t xml:space="preserve">self-assessment </w:t>
      </w:r>
      <w:r w:rsidR="00C50BFB">
        <w:rPr>
          <w:rFonts w:ascii="Times New Roman" w:hAnsi="Times New Roman" w:cs="Times New Roman"/>
          <w:sz w:val="24"/>
          <w:szCs w:val="24"/>
        </w:rPr>
        <w:t xml:space="preserve">expenses. The explanations which would have assisted this Court to delve into the mind of the appellant at the time the self-assessments </w:t>
      </w:r>
      <w:r w:rsidR="004C7B78">
        <w:rPr>
          <w:rFonts w:ascii="Times New Roman" w:hAnsi="Times New Roman" w:cs="Times New Roman"/>
          <w:sz w:val="24"/>
          <w:szCs w:val="24"/>
        </w:rPr>
        <w:t xml:space="preserve">were submitted </w:t>
      </w:r>
      <w:r w:rsidR="00C50BFB">
        <w:rPr>
          <w:rFonts w:ascii="Times New Roman" w:hAnsi="Times New Roman" w:cs="Times New Roman"/>
          <w:sz w:val="24"/>
          <w:szCs w:val="24"/>
        </w:rPr>
        <w:t>could only have come from the p</w:t>
      </w:r>
      <w:r w:rsidR="004C7B78">
        <w:rPr>
          <w:rFonts w:ascii="Times New Roman" w:hAnsi="Times New Roman" w:cs="Times New Roman"/>
          <w:sz w:val="24"/>
          <w:szCs w:val="24"/>
        </w:rPr>
        <w:t>ublic officer who submitted</w:t>
      </w:r>
      <w:r w:rsidR="00C50BFB">
        <w:rPr>
          <w:rFonts w:ascii="Times New Roman" w:hAnsi="Times New Roman" w:cs="Times New Roman"/>
          <w:sz w:val="24"/>
          <w:szCs w:val="24"/>
        </w:rPr>
        <w:t xml:space="preserve"> those returns and the actual people who advi</w:t>
      </w:r>
      <w:r w:rsidR="004C7B78">
        <w:rPr>
          <w:rFonts w:ascii="Times New Roman" w:hAnsi="Times New Roman" w:cs="Times New Roman"/>
          <w:sz w:val="24"/>
          <w:szCs w:val="24"/>
        </w:rPr>
        <w:t>sed her to regard them</w:t>
      </w:r>
      <w:r w:rsidR="00C50BFB">
        <w:rPr>
          <w:rFonts w:ascii="Times New Roman" w:hAnsi="Times New Roman" w:cs="Times New Roman"/>
          <w:sz w:val="24"/>
          <w:szCs w:val="24"/>
        </w:rPr>
        <w:t xml:space="preserve"> as expenses. It is apparent from the annexures attached by the tax advisors to their response of 9 December 2016, that their firm was the tax advisors to the appellant. They did not disclose the specific individuals who rendered such advice to the appellant. The appellant should have called the evidence of</w:t>
      </w:r>
      <w:r w:rsidR="004C7B78">
        <w:rPr>
          <w:rFonts w:ascii="Times New Roman" w:hAnsi="Times New Roman" w:cs="Times New Roman"/>
          <w:sz w:val="24"/>
          <w:szCs w:val="24"/>
        </w:rPr>
        <w:t xml:space="preserve"> those</w:t>
      </w:r>
      <w:r w:rsidR="00C50BFB">
        <w:rPr>
          <w:rFonts w:ascii="Times New Roman" w:hAnsi="Times New Roman" w:cs="Times New Roman"/>
          <w:sz w:val="24"/>
          <w:szCs w:val="24"/>
        </w:rPr>
        <w:t xml:space="preserve"> witnesses rather than rely on the hearsay testimony of the sole witness and the hearsay rationalizations of its 2016 tax advisors. The appellant failed to lead any evidence of the attempts made to secure the testimony </w:t>
      </w:r>
      <w:r w:rsidR="004C7B78">
        <w:rPr>
          <w:rFonts w:ascii="Times New Roman" w:hAnsi="Times New Roman" w:cs="Times New Roman"/>
          <w:sz w:val="24"/>
          <w:szCs w:val="24"/>
        </w:rPr>
        <w:t>of these witnesses. It was not enough</w:t>
      </w:r>
      <w:r w:rsidR="00C50BFB">
        <w:rPr>
          <w:rFonts w:ascii="Times New Roman" w:hAnsi="Times New Roman" w:cs="Times New Roman"/>
          <w:sz w:val="24"/>
          <w:szCs w:val="24"/>
        </w:rPr>
        <w:t xml:space="preserve"> to </w:t>
      </w:r>
      <w:r w:rsidR="004C7B78">
        <w:rPr>
          <w:rFonts w:ascii="Times New Roman" w:hAnsi="Times New Roman" w:cs="Times New Roman"/>
          <w:sz w:val="24"/>
          <w:szCs w:val="24"/>
        </w:rPr>
        <w:t xml:space="preserve">simply </w:t>
      </w:r>
      <w:r w:rsidR="00C50BFB">
        <w:rPr>
          <w:rFonts w:ascii="Times New Roman" w:hAnsi="Times New Roman" w:cs="Times New Roman"/>
          <w:sz w:val="24"/>
          <w:szCs w:val="24"/>
        </w:rPr>
        <w:t>indica</w:t>
      </w:r>
      <w:r w:rsidR="004C7B78">
        <w:rPr>
          <w:rFonts w:ascii="Times New Roman" w:hAnsi="Times New Roman" w:cs="Times New Roman"/>
          <w:sz w:val="24"/>
          <w:szCs w:val="24"/>
        </w:rPr>
        <w:t xml:space="preserve">te, as the sole witness did, that </w:t>
      </w:r>
      <w:r w:rsidR="00C50BFB">
        <w:rPr>
          <w:rFonts w:ascii="Times New Roman" w:hAnsi="Times New Roman" w:cs="Times New Roman"/>
          <w:sz w:val="24"/>
          <w:szCs w:val="24"/>
        </w:rPr>
        <w:t>he personally did not know the whereabouts of the public officer and her coterie of advisors at the time</w:t>
      </w:r>
      <w:r w:rsidR="00D22EC7">
        <w:rPr>
          <w:rFonts w:ascii="Times New Roman" w:hAnsi="Times New Roman" w:cs="Times New Roman"/>
          <w:sz w:val="24"/>
          <w:szCs w:val="24"/>
        </w:rPr>
        <w:t>.</w:t>
      </w:r>
      <w:r w:rsidR="00C50BFB">
        <w:rPr>
          <w:rFonts w:ascii="Times New Roman" w:hAnsi="Times New Roman" w:cs="Times New Roman"/>
          <w:sz w:val="24"/>
          <w:szCs w:val="24"/>
        </w:rPr>
        <w:t xml:space="preserve"> </w:t>
      </w:r>
    </w:p>
    <w:p w:rsidR="000345DE" w:rsidRDefault="000345DE"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satisfied that the appellant misrepresented its expenses in both the 2009 and 2010 self-assessments. Accordingly, the Commissioner properly re-opened those assessments by </w:t>
      </w:r>
      <w:r w:rsidR="003114C0">
        <w:rPr>
          <w:rFonts w:ascii="Times New Roman" w:hAnsi="Times New Roman" w:cs="Times New Roman"/>
          <w:sz w:val="24"/>
          <w:szCs w:val="24"/>
        </w:rPr>
        <w:t>virtue</w:t>
      </w:r>
      <w:r>
        <w:rPr>
          <w:rFonts w:ascii="Times New Roman" w:hAnsi="Times New Roman" w:cs="Times New Roman"/>
          <w:sz w:val="24"/>
          <w:szCs w:val="24"/>
        </w:rPr>
        <w:t xml:space="preserve"> of such misrepresentation. </w:t>
      </w:r>
    </w:p>
    <w:p w:rsidR="001F1F06" w:rsidRPr="001F1F06" w:rsidRDefault="001F1F06" w:rsidP="00521041">
      <w:pPr>
        <w:spacing w:line="360" w:lineRule="auto"/>
        <w:jc w:val="both"/>
        <w:rPr>
          <w:rFonts w:ascii="Times New Roman" w:hAnsi="Times New Roman" w:cs="Times New Roman"/>
          <w:sz w:val="24"/>
          <w:szCs w:val="24"/>
          <w:u w:val="single"/>
        </w:rPr>
      </w:pPr>
      <w:r w:rsidRPr="001F1F06">
        <w:rPr>
          <w:rFonts w:ascii="Times New Roman" w:hAnsi="Times New Roman" w:cs="Times New Roman"/>
          <w:sz w:val="24"/>
          <w:szCs w:val="24"/>
          <w:u w:val="single"/>
        </w:rPr>
        <w:t>The 2014 tax year</w:t>
      </w:r>
    </w:p>
    <w:p w:rsidR="00C743FA" w:rsidRDefault="00682504" w:rsidP="005210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1041">
        <w:rPr>
          <w:rFonts w:ascii="Times New Roman" w:hAnsi="Times New Roman" w:cs="Times New Roman"/>
          <w:sz w:val="24"/>
          <w:szCs w:val="24"/>
        </w:rPr>
        <w:tab/>
      </w:r>
      <w:r w:rsidR="004A1D5E">
        <w:rPr>
          <w:rFonts w:ascii="Times New Roman" w:hAnsi="Times New Roman" w:cs="Times New Roman"/>
          <w:sz w:val="24"/>
          <w:szCs w:val="24"/>
        </w:rPr>
        <w:t>In the 2014 self-assessment return the appellant deducted the sundry creditors provis</w:t>
      </w:r>
      <w:r w:rsidR="00546FDC">
        <w:rPr>
          <w:rFonts w:ascii="Times New Roman" w:hAnsi="Times New Roman" w:cs="Times New Roman"/>
          <w:sz w:val="24"/>
          <w:szCs w:val="24"/>
        </w:rPr>
        <w:t>ion of US$424 480.15</w:t>
      </w:r>
      <w:r w:rsidR="004A1D5E">
        <w:rPr>
          <w:rFonts w:ascii="Times New Roman" w:hAnsi="Times New Roman" w:cs="Times New Roman"/>
          <w:sz w:val="24"/>
          <w:szCs w:val="24"/>
        </w:rPr>
        <w:t xml:space="preserve">. It subsequently conceded during the 2016 investigations that the provision was incurred in the subsequent tax year in which it was expensed. In the result, it sought to correct the error by adding back the same amount in its 2015 tax return. However, during the investigations, </w:t>
      </w:r>
      <w:r w:rsidR="004A1D5E">
        <w:rPr>
          <w:rFonts w:ascii="Times New Roman" w:hAnsi="Times New Roman" w:cs="Times New Roman"/>
          <w:sz w:val="24"/>
          <w:szCs w:val="24"/>
        </w:rPr>
        <w:lastRenderedPageBreak/>
        <w:t>the investigators reversed the 2014 deduction and imposed both a penalty of 50% and interest on that amo</w:t>
      </w:r>
      <w:r w:rsidR="001F1F06">
        <w:rPr>
          <w:rFonts w:ascii="Times New Roman" w:hAnsi="Times New Roman" w:cs="Times New Roman"/>
          <w:sz w:val="24"/>
          <w:szCs w:val="24"/>
        </w:rPr>
        <w:t>unt. The appellant accepted</w:t>
      </w:r>
      <w:r w:rsidR="004A1D5E">
        <w:rPr>
          <w:rFonts w:ascii="Times New Roman" w:hAnsi="Times New Roman" w:cs="Times New Roman"/>
          <w:sz w:val="24"/>
          <w:szCs w:val="24"/>
        </w:rPr>
        <w:t xml:space="preserve"> the </w:t>
      </w:r>
      <w:r w:rsidR="00C743FA">
        <w:rPr>
          <w:rFonts w:ascii="Times New Roman" w:hAnsi="Times New Roman" w:cs="Times New Roman"/>
          <w:sz w:val="24"/>
          <w:szCs w:val="24"/>
        </w:rPr>
        <w:t xml:space="preserve">correctness of the </w:t>
      </w:r>
      <w:r w:rsidR="004A1D5E">
        <w:rPr>
          <w:rFonts w:ascii="Times New Roman" w:hAnsi="Times New Roman" w:cs="Times New Roman"/>
          <w:sz w:val="24"/>
          <w:szCs w:val="24"/>
        </w:rPr>
        <w:t>reversal by the investigators</w:t>
      </w:r>
      <w:r w:rsidR="00C743FA">
        <w:rPr>
          <w:rFonts w:ascii="Times New Roman" w:hAnsi="Times New Roman" w:cs="Times New Roman"/>
          <w:sz w:val="24"/>
          <w:szCs w:val="24"/>
        </w:rPr>
        <w:t xml:space="preserve"> but objected to the imposition of the </w:t>
      </w:r>
      <w:r w:rsidR="000819F8">
        <w:rPr>
          <w:rFonts w:ascii="Times New Roman" w:hAnsi="Times New Roman" w:cs="Times New Roman"/>
          <w:sz w:val="24"/>
          <w:szCs w:val="24"/>
        </w:rPr>
        <w:t xml:space="preserve">50% </w:t>
      </w:r>
      <w:r w:rsidR="00C743FA">
        <w:rPr>
          <w:rFonts w:ascii="Times New Roman" w:hAnsi="Times New Roman" w:cs="Times New Roman"/>
          <w:sz w:val="24"/>
          <w:szCs w:val="24"/>
        </w:rPr>
        <w:t xml:space="preserve">penalty and interest on the basis that the fiscus was not prejudiced by this mere timing difference. It, however, conceded that the fiscus was entitled to compensation for the time value of money lost between the erroneous 2014 deduction and the 2015 add back.  It also sought a complete waiver of the penalty and interest on the further ground that the reversal of the 2014 deduction without a concurrent reversal of the 2015 add back would result in </w:t>
      </w:r>
      <w:r w:rsidR="000819F8">
        <w:rPr>
          <w:rFonts w:ascii="Times New Roman" w:hAnsi="Times New Roman" w:cs="Times New Roman"/>
          <w:sz w:val="24"/>
          <w:szCs w:val="24"/>
        </w:rPr>
        <w:t xml:space="preserve">the </w:t>
      </w:r>
      <w:r w:rsidR="001852B3">
        <w:rPr>
          <w:rFonts w:ascii="Times New Roman" w:hAnsi="Times New Roman" w:cs="Times New Roman"/>
          <w:sz w:val="24"/>
          <w:szCs w:val="24"/>
        </w:rPr>
        <w:t>double taxation of the sum of US$424 480.15</w:t>
      </w:r>
      <w:r w:rsidR="00C743FA">
        <w:rPr>
          <w:rFonts w:ascii="Times New Roman" w:hAnsi="Times New Roman" w:cs="Times New Roman"/>
          <w:sz w:val="24"/>
          <w:szCs w:val="24"/>
        </w:rPr>
        <w:t xml:space="preserve">. </w:t>
      </w:r>
    </w:p>
    <w:p w:rsidR="004A1D5E" w:rsidRDefault="00C743FA"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with the respondent that the effect of what the appellant characterized as timing differences in the payment of tax </w:t>
      </w:r>
      <w:r w:rsidR="005025E8">
        <w:rPr>
          <w:rFonts w:ascii="Times New Roman" w:hAnsi="Times New Roman" w:cs="Times New Roman"/>
          <w:sz w:val="24"/>
          <w:szCs w:val="24"/>
        </w:rPr>
        <w:t>was to postpone the payment of the actual amount of tax due in the 2014</w:t>
      </w:r>
      <w:r w:rsidR="000819F8">
        <w:rPr>
          <w:rFonts w:ascii="Times New Roman" w:hAnsi="Times New Roman" w:cs="Times New Roman"/>
          <w:sz w:val="24"/>
          <w:szCs w:val="24"/>
        </w:rPr>
        <w:t xml:space="preserve"> tax year</w:t>
      </w:r>
      <w:r w:rsidR="005025E8">
        <w:rPr>
          <w:rFonts w:ascii="Times New Roman" w:hAnsi="Times New Roman" w:cs="Times New Roman"/>
          <w:sz w:val="24"/>
          <w:szCs w:val="24"/>
        </w:rPr>
        <w:t xml:space="preserve">; in itself a contravention penalized by s 46 (6) of the Act.  In any event, such a wrong tax treatment not only attracts payment </w:t>
      </w:r>
      <w:r w:rsidR="00041FC0">
        <w:rPr>
          <w:rFonts w:ascii="Times New Roman" w:hAnsi="Times New Roman" w:cs="Times New Roman"/>
          <w:sz w:val="24"/>
          <w:szCs w:val="24"/>
        </w:rPr>
        <w:t xml:space="preserve">of </w:t>
      </w:r>
      <w:r w:rsidR="005025E8">
        <w:rPr>
          <w:rFonts w:ascii="Times New Roman" w:hAnsi="Times New Roman" w:cs="Times New Roman"/>
          <w:sz w:val="24"/>
          <w:szCs w:val="24"/>
        </w:rPr>
        <w:t>the principal tax</w:t>
      </w:r>
      <w:r w:rsidR="00374F32">
        <w:rPr>
          <w:rFonts w:ascii="Times New Roman" w:hAnsi="Times New Roman" w:cs="Times New Roman"/>
          <w:sz w:val="24"/>
          <w:szCs w:val="24"/>
        </w:rPr>
        <w:t xml:space="preserve"> shortfall but also penalty and mandatory interest. I </w:t>
      </w:r>
      <w:r w:rsidR="001A43E8">
        <w:rPr>
          <w:rFonts w:ascii="Times New Roman" w:hAnsi="Times New Roman" w:cs="Times New Roman"/>
          <w:sz w:val="24"/>
          <w:szCs w:val="24"/>
        </w:rPr>
        <w:t xml:space="preserve">do </w:t>
      </w:r>
      <w:r w:rsidR="00374F32">
        <w:rPr>
          <w:rFonts w:ascii="Times New Roman" w:hAnsi="Times New Roman" w:cs="Times New Roman"/>
          <w:sz w:val="24"/>
          <w:szCs w:val="24"/>
        </w:rPr>
        <w:t>take judicial notice of the Commissioner’</w:t>
      </w:r>
      <w:r w:rsidR="001A43E8">
        <w:rPr>
          <w:rFonts w:ascii="Times New Roman" w:hAnsi="Times New Roman" w:cs="Times New Roman"/>
          <w:sz w:val="24"/>
          <w:szCs w:val="24"/>
        </w:rPr>
        <w:t xml:space="preserve">s </w:t>
      </w:r>
      <w:r w:rsidR="001F1F06">
        <w:rPr>
          <w:rFonts w:ascii="Times New Roman" w:hAnsi="Times New Roman" w:cs="Times New Roman"/>
          <w:sz w:val="24"/>
          <w:szCs w:val="24"/>
        </w:rPr>
        <w:t xml:space="preserve">prevailing </w:t>
      </w:r>
      <w:r w:rsidR="001A43E8">
        <w:rPr>
          <w:rFonts w:ascii="Times New Roman" w:hAnsi="Times New Roman" w:cs="Times New Roman"/>
          <w:sz w:val="24"/>
          <w:szCs w:val="24"/>
        </w:rPr>
        <w:t>general practice of</w:t>
      </w:r>
      <w:r w:rsidR="000819F8">
        <w:rPr>
          <w:rFonts w:ascii="Times New Roman" w:hAnsi="Times New Roman" w:cs="Times New Roman"/>
          <w:sz w:val="24"/>
          <w:szCs w:val="24"/>
        </w:rPr>
        <w:t xml:space="preserve"> </w:t>
      </w:r>
      <w:r w:rsidR="00374F32">
        <w:rPr>
          <w:rFonts w:ascii="Times New Roman" w:hAnsi="Times New Roman" w:cs="Times New Roman"/>
          <w:sz w:val="24"/>
          <w:szCs w:val="24"/>
        </w:rPr>
        <w:t xml:space="preserve">deducting </w:t>
      </w:r>
      <w:r w:rsidR="001A43E8">
        <w:rPr>
          <w:rFonts w:ascii="Times New Roman" w:hAnsi="Times New Roman" w:cs="Times New Roman"/>
          <w:sz w:val="24"/>
          <w:szCs w:val="24"/>
        </w:rPr>
        <w:t>any</w:t>
      </w:r>
      <w:r w:rsidR="00374F32">
        <w:rPr>
          <w:rFonts w:ascii="Times New Roman" w:hAnsi="Times New Roman" w:cs="Times New Roman"/>
          <w:sz w:val="24"/>
          <w:szCs w:val="24"/>
        </w:rPr>
        <w:t xml:space="preserve"> </w:t>
      </w:r>
      <w:r w:rsidR="000819F8">
        <w:rPr>
          <w:rFonts w:ascii="Times New Roman" w:hAnsi="Times New Roman" w:cs="Times New Roman"/>
          <w:sz w:val="24"/>
          <w:szCs w:val="24"/>
        </w:rPr>
        <w:t xml:space="preserve">erroneous </w:t>
      </w:r>
      <w:r w:rsidR="001F1F06">
        <w:rPr>
          <w:rFonts w:ascii="Times New Roman" w:hAnsi="Times New Roman" w:cs="Times New Roman"/>
          <w:sz w:val="24"/>
          <w:szCs w:val="24"/>
        </w:rPr>
        <w:t xml:space="preserve">add backs such as the one in </w:t>
      </w:r>
      <w:r w:rsidR="001A43E8">
        <w:rPr>
          <w:rFonts w:ascii="Times New Roman" w:hAnsi="Times New Roman" w:cs="Times New Roman"/>
          <w:sz w:val="24"/>
          <w:szCs w:val="24"/>
        </w:rPr>
        <w:t xml:space="preserve">the 2015 tax year </w:t>
      </w:r>
      <w:r w:rsidR="00374F32">
        <w:rPr>
          <w:rFonts w:ascii="Times New Roman" w:hAnsi="Times New Roman" w:cs="Times New Roman"/>
          <w:sz w:val="24"/>
          <w:szCs w:val="24"/>
        </w:rPr>
        <w:t>on reassessment of the 2015 self-assessment</w:t>
      </w:r>
      <w:r w:rsidR="000819F8">
        <w:rPr>
          <w:rFonts w:ascii="Times New Roman" w:hAnsi="Times New Roman" w:cs="Times New Roman"/>
          <w:sz w:val="24"/>
          <w:szCs w:val="24"/>
        </w:rPr>
        <w:t>;</w:t>
      </w:r>
      <w:r w:rsidR="00374F32">
        <w:rPr>
          <w:rFonts w:ascii="Times New Roman" w:hAnsi="Times New Roman" w:cs="Times New Roman"/>
          <w:sz w:val="24"/>
          <w:szCs w:val="24"/>
        </w:rPr>
        <w:t xml:space="preserve"> </w:t>
      </w:r>
      <w:r w:rsidR="000819F8">
        <w:rPr>
          <w:rFonts w:ascii="Times New Roman" w:hAnsi="Times New Roman" w:cs="Times New Roman"/>
          <w:sz w:val="24"/>
          <w:szCs w:val="24"/>
        </w:rPr>
        <w:t xml:space="preserve">making </w:t>
      </w:r>
      <w:r w:rsidR="00374F32">
        <w:rPr>
          <w:rFonts w:ascii="Times New Roman" w:hAnsi="Times New Roman" w:cs="Times New Roman"/>
          <w:sz w:val="24"/>
          <w:szCs w:val="24"/>
        </w:rPr>
        <w:t xml:space="preserve">the spectre of double taxation </w:t>
      </w:r>
      <w:r w:rsidR="000819F8">
        <w:rPr>
          <w:rFonts w:ascii="Times New Roman" w:hAnsi="Times New Roman" w:cs="Times New Roman"/>
          <w:sz w:val="24"/>
          <w:szCs w:val="24"/>
        </w:rPr>
        <w:t xml:space="preserve">a mere mirage. </w:t>
      </w:r>
    </w:p>
    <w:p w:rsidR="000345DE" w:rsidRPr="000345DE" w:rsidRDefault="000345DE" w:rsidP="00521041">
      <w:pPr>
        <w:spacing w:after="0" w:line="360" w:lineRule="auto"/>
        <w:jc w:val="both"/>
        <w:rPr>
          <w:rFonts w:ascii="Times New Roman" w:hAnsi="Times New Roman" w:cs="Times New Roman"/>
          <w:sz w:val="24"/>
          <w:szCs w:val="24"/>
          <w:u w:val="single"/>
        </w:rPr>
      </w:pPr>
      <w:r w:rsidRPr="000345DE">
        <w:rPr>
          <w:rFonts w:ascii="Times New Roman" w:hAnsi="Times New Roman" w:cs="Times New Roman"/>
          <w:sz w:val="24"/>
          <w:szCs w:val="24"/>
          <w:u w:val="single"/>
        </w:rPr>
        <w:t>The penalty</w:t>
      </w:r>
    </w:p>
    <w:p w:rsidR="007D6FC6" w:rsidRDefault="000345DE" w:rsidP="005210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pre-trial conference the parties agreed to the reduction of the penalty from 50% to 10%. The penalty imposed by the respondent </w:t>
      </w:r>
      <w:r w:rsidR="001F1F06">
        <w:rPr>
          <w:rFonts w:ascii="Times New Roman" w:hAnsi="Times New Roman" w:cs="Times New Roman"/>
          <w:sz w:val="24"/>
          <w:szCs w:val="24"/>
        </w:rPr>
        <w:t xml:space="preserve">in respect of the 2009, 2010 and 2014 tax years </w:t>
      </w:r>
      <w:r>
        <w:rPr>
          <w:rFonts w:ascii="Times New Roman" w:hAnsi="Times New Roman" w:cs="Times New Roman"/>
          <w:sz w:val="24"/>
          <w:szCs w:val="24"/>
        </w:rPr>
        <w:t>is accordingly reduced to 10%.</w:t>
      </w:r>
    </w:p>
    <w:p w:rsidR="000345DE" w:rsidRDefault="000345DE" w:rsidP="00521041">
      <w:pPr>
        <w:spacing w:after="0" w:line="360" w:lineRule="auto"/>
        <w:jc w:val="both"/>
        <w:rPr>
          <w:rFonts w:ascii="Times New Roman" w:hAnsi="Times New Roman" w:cs="Times New Roman"/>
          <w:sz w:val="24"/>
          <w:szCs w:val="24"/>
          <w:u w:val="single"/>
        </w:rPr>
      </w:pPr>
      <w:r w:rsidRPr="000345DE">
        <w:rPr>
          <w:rFonts w:ascii="Times New Roman" w:hAnsi="Times New Roman" w:cs="Times New Roman"/>
          <w:sz w:val="24"/>
          <w:szCs w:val="24"/>
          <w:u w:val="single"/>
        </w:rPr>
        <w:t>Costs</w:t>
      </w:r>
    </w:p>
    <w:p w:rsidR="000345DE" w:rsidRDefault="009D79DF" w:rsidP="00666E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find the </w:t>
      </w:r>
      <w:r w:rsidR="00AC590A">
        <w:rPr>
          <w:rFonts w:ascii="Times New Roman" w:hAnsi="Times New Roman" w:cs="Times New Roman"/>
          <w:sz w:val="24"/>
          <w:szCs w:val="24"/>
        </w:rPr>
        <w:t xml:space="preserve">claim of the Commissioner unreasonable or the appellant’s grounds of appeal frivolous. I will order each party to bear its own costs. </w:t>
      </w:r>
    </w:p>
    <w:p w:rsidR="00AC590A" w:rsidRPr="00AC590A" w:rsidRDefault="00AC590A" w:rsidP="00521041">
      <w:pPr>
        <w:spacing w:after="0" w:line="360" w:lineRule="auto"/>
        <w:jc w:val="both"/>
        <w:rPr>
          <w:rFonts w:ascii="Times New Roman" w:hAnsi="Times New Roman" w:cs="Times New Roman"/>
          <w:sz w:val="24"/>
          <w:szCs w:val="24"/>
          <w:u w:val="single"/>
        </w:rPr>
      </w:pPr>
      <w:r w:rsidRPr="00AC590A">
        <w:rPr>
          <w:rFonts w:ascii="Times New Roman" w:hAnsi="Times New Roman" w:cs="Times New Roman"/>
          <w:sz w:val="24"/>
          <w:szCs w:val="24"/>
          <w:u w:val="single"/>
        </w:rPr>
        <w:t>Disposition</w:t>
      </w:r>
    </w:p>
    <w:p w:rsidR="004F7EC8" w:rsidRDefault="00AC590A" w:rsidP="00666E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accordingly ordered that:</w:t>
      </w:r>
    </w:p>
    <w:p w:rsidR="00AC590A" w:rsidRDefault="00AC590A" w:rsidP="0052104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by the appellant against the principal tax liability charged and interest imposed thereon </w:t>
      </w:r>
      <w:r w:rsidR="003114C0">
        <w:rPr>
          <w:rFonts w:ascii="Times New Roman" w:hAnsi="Times New Roman" w:cs="Times New Roman"/>
          <w:sz w:val="24"/>
          <w:szCs w:val="24"/>
        </w:rPr>
        <w:t xml:space="preserve">in respect of the 2009, 2010 and 2014 tax years </w:t>
      </w:r>
      <w:r>
        <w:rPr>
          <w:rFonts w:ascii="Times New Roman" w:hAnsi="Times New Roman" w:cs="Times New Roman"/>
          <w:sz w:val="24"/>
          <w:szCs w:val="24"/>
        </w:rPr>
        <w:t xml:space="preserve">be and is hereby dismissed. </w:t>
      </w:r>
    </w:p>
    <w:p w:rsidR="003D793C" w:rsidRDefault="00AC590A" w:rsidP="0052104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consent, the penalty imposed on the amended assessments issued by the respondent against the appellant on 10 October 2017 </w:t>
      </w:r>
      <w:r w:rsidR="003E2643">
        <w:rPr>
          <w:rFonts w:ascii="Times New Roman" w:hAnsi="Times New Roman" w:cs="Times New Roman"/>
          <w:sz w:val="24"/>
          <w:szCs w:val="24"/>
        </w:rPr>
        <w:t xml:space="preserve">in respect of the 2009, 2010 and 2014 tax years </w:t>
      </w:r>
      <w:r>
        <w:rPr>
          <w:rFonts w:ascii="Times New Roman" w:hAnsi="Times New Roman" w:cs="Times New Roman"/>
          <w:sz w:val="24"/>
          <w:szCs w:val="24"/>
        </w:rPr>
        <w:t xml:space="preserve">be and </w:t>
      </w:r>
      <w:r w:rsidR="003D793C">
        <w:rPr>
          <w:rFonts w:ascii="Times New Roman" w:hAnsi="Times New Roman" w:cs="Times New Roman"/>
          <w:sz w:val="24"/>
          <w:szCs w:val="24"/>
        </w:rPr>
        <w:t>is hereby reduced from 50% to 10%.</w:t>
      </w:r>
    </w:p>
    <w:p w:rsidR="003D793C" w:rsidRDefault="003D793C" w:rsidP="0052104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notice</w:t>
      </w:r>
      <w:r w:rsidR="008E377E">
        <w:rPr>
          <w:rFonts w:ascii="Times New Roman" w:hAnsi="Times New Roman" w:cs="Times New Roman"/>
          <w:sz w:val="24"/>
          <w:szCs w:val="24"/>
        </w:rPr>
        <w:t xml:space="preserve">s of amended assessments issued </w:t>
      </w:r>
      <w:r>
        <w:rPr>
          <w:rFonts w:ascii="Times New Roman" w:hAnsi="Times New Roman" w:cs="Times New Roman"/>
          <w:sz w:val="24"/>
          <w:szCs w:val="24"/>
        </w:rPr>
        <w:t xml:space="preserve">by the respondent against the appellant on 10 October </w:t>
      </w:r>
      <w:r w:rsidR="003E2643">
        <w:rPr>
          <w:rFonts w:ascii="Times New Roman" w:hAnsi="Times New Roman" w:cs="Times New Roman"/>
          <w:sz w:val="24"/>
          <w:szCs w:val="24"/>
        </w:rPr>
        <w:t xml:space="preserve">2017 in respect of the 2009, </w:t>
      </w:r>
      <w:r>
        <w:rPr>
          <w:rFonts w:ascii="Times New Roman" w:hAnsi="Times New Roman" w:cs="Times New Roman"/>
          <w:sz w:val="24"/>
          <w:szCs w:val="24"/>
        </w:rPr>
        <w:t>2010</w:t>
      </w:r>
      <w:r w:rsidR="003E2643">
        <w:rPr>
          <w:rFonts w:ascii="Times New Roman" w:hAnsi="Times New Roman" w:cs="Times New Roman"/>
          <w:sz w:val="24"/>
          <w:szCs w:val="24"/>
        </w:rPr>
        <w:t xml:space="preserve"> and 2014</w:t>
      </w:r>
      <w:r>
        <w:rPr>
          <w:rFonts w:ascii="Times New Roman" w:hAnsi="Times New Roman" w:cs="Times New Roman"/>
          <w:sz w:val="24"/>
          <w:szCs w:val="24"/>
        </w:rPr>
        <w:t xml:space="preserve"> tax years be and are hereby set aside.</w:t>
      </w:r>
    </w:p>
    <w:p w:rsidR="00AC590A" w:rsidRDefault="003D793C" w:rsidP="0052104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041FC0">
        <w:rPr>
          <w:rFonts w:ascii="Times New Roman" w:hAnsi="Times New Roman" w:cs="Times New Roman"/>
          <w:sz w:val="24"/>
          <w:szCs w:val="24"/>
        </w:rPr>
        <w:t xml:space="preserve"> respondent shall issue </w:t>
      </w:r>
      <w:r>
        <w:rPr>
          <w:rFonts w:ascii="Times New Roman" w:hAnsi="Times New Roman" w:cs="Times New Roman"/>
          <w:sz w:val="24"/>
          <w:szCs w:val="24"/>
        </w:rPr>
        <w:t>amen</w:t>
      </w:r>
      <w:r w:rsidR="003E2643">
        <w:rPr>
          <w:rFonts w:ascii="Times New Roman" w:hAnsi="Times New Roman" w:cs="Times New Roman"/>
          <w:sz w:val="24"/>
          <w:szCs w:val="24"/>
        </w:rPr>
        <w:t>ded assessments for the 2009,</w:t>
      </w:r>
      <w:r>
        <w:rPr>
          <w:rFonts w:ascii="Times New Roman" w:hAnsi="Times New Roman" w:cs="Times New Roman"/>
          <w:sz w:val="24"/>
          <w:szCs w:val="24"/>
        </w:rPr>
        <w:t xml:space="preserve"> 2010</w:t>
      </w:r>
      <w:r w:rsidR="003E2643">
        <w:rPr>
          <w:rFonts w:ascii="Times New Roman" w:hAnsi="Times New Roman" w:cs="Times New Roman"/>
          <w:sz w:val="24"/>
          <w:szCs w:val="24"/>
        </w:rPr>
        <w:t xml:space="preserve"> and 2014</w:t>
      </w:r>
      <w:r>
        <w:rPr>
          <w:rFonts w:ascii="Times New Roman" w:hAnsi="Times New Roman" w:cs="Times New Roman"/>
          <w:sz w:val="24"/>
          <w:szCs w:val="24"/>
        </w:rPr>
        <w:t xml:space="preserve"> tax years in keeping with this judgment </w:t>
      </w:r>
    </w:p>
    <w:p w:rsidR="003D793C" w:rsidRDefault="003D793C" w:rsidP="00521041">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Each party shall bear its own costs.</w:t>
      </w:r>
    </w:p>
    <w:p w:rsidR="003D793C" w:rsidRDefault="003D793C" w:rsidP="00521041">
      <w:pPr>
        <w:spacing w:line="360" w:lineRule="auto"/>
        <w:jc w:val="both"/>
        <w:rPr>
          <w:rFonts w:ascii="Times New Roman" w:hAnsi="Times New Roman" w:cs="Times New Roman"/>
          <w:sz w:val="24"/>
          <w:szCs w:val="24"/>
        </w:rPr>
      </w:pPr>
    </w:p>
    <w:p w:rsidR="00D01D2D" w:rsidRDefault="00895B46" w:rsidP="00521041">
      <w:pPr>
        <w:spacing w:line="360" w:lineRule="auto"/>
        <w:jc w:val="both"/>
        <w:rPr>
          <w:rFonts w:ascii="Times New Roman" w:hAnsi="Times New Roman" w:cs="Times New Roman"/>
          <w:sz w:val="24"/>
          <w:szCs w:val="24"/>
        </w:rPr>
      </w:pPr>
      <w:r>
        <w:rPr>
          <w:rFonts w:ascii="Times New Roman" w:hAnsi="Times New Roman" w:cs="Times New Roman"/>
          <w:i/>
          <w:sz w:val="24"/>
          <w:szCs w:val="24"/>
        </w:rPr>
        <w:t>Mawere</w:t>
      </w:r>
      <w:r w:rsidR="003D793C" w:rsidRPr="00024331">
        <w:rPr>
          <w:rFonts w:ascii="Times New Roman" w:hAnsi="Times New Roman" w:cs="Times New Roman"/>
          <w:i/>
          <w:sz w:val="24"/>
          <w:szCs w:val="24"/>
        </w:rPr>
        <w:t>Sibanda</w:t>
      </w:r>
      <w:r w:rsidR="003D793C">
        <w:rPr>
          <w:rFonts w:ascii="Times New Roman" w:hAnsi="Times New Roman" w:cs="Times New Roman"/>
          <w:sz w:val="24"/>
          <w:szCs w:val="24"/>
        </w:rPr>
        <w:t xml:space="preserve">, legal practitioners for the appellant. </w:t>
      </w:r>
    </w:p>
    <w:p w:rsidR="00DB2230" w:rsidRPr="00D51A8D" w:rsidRDefault="00DB2230" w:rsidP="00521041">
      <w:pPr>
        <w:spacing w:line="360" w:lineRule="auto"/>
        <w:jc w:val="both"/>
        <w:rPr>
          <w:rFonts w:ascii="Times New Roman" w:hAnsi="Times New Roman" w:cs="Times New Roman"/>
          <w:sz w:val="24"/>
          <w:szCs w:val="24"/>
        </w:rPr>
      </w:pPr>
    </w:p>
    <w:p w:rsidR="00316D96" w:rsidRPr="00D15FED" w:rsidRDefault="005E6829" w:rsidP="0052104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C6D03" w:rsidRDefault="000C6D03" w:rsidP="00521041">
      <w:pPr>
        <w:spacing w:line="360" w:lineRule="auto"/>
        <w:jc w:val="both"/>
        <w:rPr>
          <w:rFonts w:ascii="Times New Roman" w:hAnsi="Times New Roman" w:cs="Times New Roman"/>
          <w:b/>
          <w:sz w:val="24"/>
          <w:szCs w:val="24"/>
        </w:rPr>
      </w:pPr>
    </w:p>
    <w:p w:rsidR="00ED1989" w:rsidRDefault="00ED1989" w:rsidP="00521041">
      <w:pPr>
        <w:spacing w:line="360" w:lineRule="auto"/>
        <w:jc w:val="both"/>
        <w:rPr>
          <w:rFonts w:ascii="Times New Roman" w:hAnsi="Times New Roman" w:cs="Times New Roman"/>
          <w:sz w:val="24"/>
          <w:szCs w:val="24"/>
        </w:rPr>
      </w:pPr>
    </w:p>
    <w:p w:rsidR="00527499" w:rsidRDefault="00527499" w:rsidP="00521041">
      <w:pPr>
        <w:spacing w:line="360" w:lineRule="auto"/>
        <w:jc w:val="both"/>
        <w:rPr>
          <w:rFonts w:ascii="Times New Roman" w:hAnsi="Times New Roman" w:cs="Times New Roman"/>
          <w:b/>
          <w:sz w:val="24"/>
          <w:szCs w:val="24"/>
        </w:rPr>
      </w:pPr>
    </w:p>
    <w:p w:rsidR="00B14C97" w:rsidRPr="00B14C97" w:rsidRDefault="00B14C97" w:rsidP="00521041">
      <w:pPr>
        <w:pStyle w:val="ListParagraph"/>
        <w:spacing w:line="360" w:lineRule="auto"/>
        <w:jc w:val="both"/>
        <w:rPr>
          <w:rFonts w:ascii="Times New Roman" w:hAnsi="Times New Roman" w:cs="Times New Roman"/>
          <w:b/>
          <w:sz w:val="24"/>
          <w:szCs w:val="24"/>
        </w:rPr>
      </w:pPr>
    </w:p>
    <w:p w:rsidR="002506C4" w:rsidRPr="00202E3C" w:rsidRDefault="002506C4" w:rsidP="00521041">
      <w:pPr>
        <w:spacing w:line="360" w:lineRule="auto"/>
        <w:jc w:val="both"/>
        <w:rPr>
          <w:rFonts w:ascii="Times New Roman" w:hAnsi="Times New Roman" w:cs="Times New Roman"/>
          <w:b/>
          <w:sz w:val="24"/>
          <w:szCs w:val="24"/>
        </w:rPr>
      </w:pPr>
    </w:p>
    <w:p w:rsidR="00AC4948" w:rsidRPr="00A400DD" w:rsidRDefault="00AC4948" w:rsidP="00521041">
      <w:pPr>
        <w:spacing w:line="360" w:lineRule="auto"/>
        <w:jc w:val="both"/>
        <w:rPr>
          <w:rFonts w:ascii="Times New Roman" w:hAnsi="Times New Roman" w:cs="Times New Roman"/>
          <w:sz w:val="24"/>
          <w:szCs w:val="24"/>
        </w:rPr>
      </w:pPr>
    </w:p>
    <w:p w:rsidR="00AC4948" w:rsidRPr="00AC4948" w:rsidRDefault="00AC4948" w:rsidP="00521041">
      <w:pPr>
        <w:pStyle w:val="ListParagraph"/>
        <w:spacing w:line="360" w:lineRule="auto"/>
        <w:ind w:left="1440"/>
        <w:jc w:val="both"/>
        <w:rPr>
          <w:rFonts w:ascii="Times New Roman" w:hAnsi="Times New Roman" w:cs="Times New Roman"/>
          <w:sz w:val="24"/>
          <w:szCs w:val="24"/>
        </w:rPr>
      </w:pPr>
    </w:p>
    <w:p w:rsidR="00EB0FB1" w:rsidRDefault="00EB0FB1" w:rsidP="00521041">
      <w:pPr>
        <w:spacing w:line="360" w:lineRule="auto"/>
        <w:jc w:val="both"/>
        <w:rPr>
          <w:rFonts w:ascii="Times New Roman" w:hAnsi="Times New Roman" w:cs="Times New Roman"/>
          <w:sz w:val="24"/>
          <w:szCs w:val="24"/>
        </w:rPr>
      </w:pPr>
    </w:p>
    <w:p w:rsidR="00316D96" w:rsidRPr="00DC61DA" w:rsidRDefault="00316D96" w:rsidP="00521041">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p>
    <w:p w:rsidR="00316D96" w:rsidRDefault="00316D96" w:rsidP="00521041">
      <w:pPr>
        <w:spacing w:after="280" w:line="360" w:lineRule="auto"/>
        <w:jc w:val="both"/>
        <w:rPr>
          <w:rFonts w:ascii="Times New Roman" w:hAnsi="Times New Roman" w:cs="Times New Roman"/>
          <w:sz w:val="24"/>
          <w:szCs w:val="24"/>
        </w:rPr>
      </w:pPr>
    </w:p>
    <w:p w:rsidR="00316D96" w:rsidRPr="008666A0" w:rsidRDefault="00316D96" w:rsidP="00521041">
      <w:pPr>
        <w:spacing w:after="280" w:line="360" w:lineRule="auto"/>
        <w:ind w:firstLine="720"/>
        <w:jc w:val="both"/>
        <w:rPr>
          <w:rFonts w:ascii="Times New Roman" w:hAnsi="Times New Roman" w:cs="Times New Roman"/>
          <w:sz w:val="24"/>
          <w:szCs w:val="24"/>
        </w:rPr>
      </w:pPr>
    </w:p>
    <w:p w:rsidR="00316D96" w:rsidRDefault="00316D96" w:rsidP="00521041">
      <w:pPr>
        <w:spacing w:line="360" w:lineRule="auto"/>
        <w:jc w:val="both"/>
        <w:rPr>
          <w:rFonts w:ascii="Times New Roman" w:hAnsi="Times New Roman" w:cs="Times New Roman"/>
          <w:sz w:val="24"/>
          <w:szCs w:val="24"/>
        </w:rPr>
      </w:pPr>
    </w:p>
    <w:p w:rsidR="00316D96" w:rsidRDefault="00316D96" w:rsidP="00521041">
      <w:pPr>
        <w:spacing w:line="360" w:lineRule="auto"/>
      </w:pPr>
    </w:p>
    <w:sectPr w:rsidR="00316D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12" w:rsidRDefault="006A1E12" w:rsidP="00E45506">
      <w:pPr>
        <w:spacing w:after="0" w:line="240" w:lineRule="auto"/>
      </w:pPr>
      <w:r>
        <w:separator/>
      </w:r>
    </w:p>
  </w:endnote>
  <w:endnote w:type="continuationSeparator" w:id="0">
    <w:p w:rsidR="006A1E12" w:rsidRDefault="006A1E12" w:rsidP="00E45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12" w:rsidRDefault="006A1E12" w:rsidP="00E45506">
      <w:pPr>
        <w:spacing w:after="0" w:line="240" w:lineRule="auto"/>
      </w:pPr>
      <w:r>
        <w:separator/>
      </w:r>
    </w:p>
  </w:footnote>
  <w:footnote w:type="continuationSeparator" w:id="0">
    <w:p w:rsidR="006A1E12" w:rsidRDefault="006A1E12" w:rsidP="00E45506">
      <w:pPr>
        <w:spacing w:after="0" w:line="240" w:lineRule="auto"/>
      </w:pPr>
      <w:r>
        <w:continuationSeparator/>
      </w:r>
    </w:p>
  </w:footnote>
  <w:footnote w:id="1">
    <w:p w:rsidR="00377FDD" w:rsidRDefault="00377FDD" w:rsidP="00071F5F">
      <w:pPr>
        <w:pStyle w:val="FootnoteText"/>
        <w:jc w:val="both"/>
      </w:pPr>
      <w:r>
        <w:rPr>
          <w:rStyle w:val="FootnoteReference"/>
        </w:rPr>
        <w:footnoteRef/>
      </w:r>
      <w:r>
        <w:t xml:space="preserve"> Comprised of principal of US$11 699 768.11, penalty at 50% of US$5 849 884.06 and interest of US$4 743 717.46 computed at p 190 and summarized at summarized at p 191 of appellant’s case.</w:t>
      </w:r>
    </w:p>
  </w:footnote>
  <w:footnote w:id="2">
    <w:p w:rsidR="00377FDD" w:rsidRDefault="00377FDD" w:rsidP="00071F5F">
      <w:pPr>
        <w:pStyle w:val="FootnoteText"/>
        <w:jc w:val="both"/>
      </w:pPr>
      <w:r>
        <w:rPr>
          <w:rStyle w:val="FootnoteReference"/>
        </w:rPr>
        <w:footnoteRef/>
      </w:r>
      <w:r>
        <w:t xml:space="preserve"> At p 215-219 of appellant’s case but computed at p 213 and summarized at p 214 thereof and pp 63 and 64 of r 11 documents.</w:t>
      </w:r>
    </w:p>
  </w:footnote>
  <w:footnote w:id="3">
    <w:p w:rsidR="00377FDD" w:rsidRDefault="00377FDD" w:rsidP="002D11EA">
      <w:pPr>
        <w:pStyle w:val="FootnoteText"/>
        <w:jc w:val="both"/>
      </w:pPr>
      <w:r>
        <w:rPr>
          <w:rStyle w:val="FootnoteReference"/>
        </w:rPr>
        <w:footnoteRef/>
      </w:r>
      <w:r>
        <w:t xml:space="preserve"> P220 of appellant’s case and 63 and 64 of r 11 documents.</w:t>
      </w:r>
    </w:p>
  </w:footnote>
  <w:footnote w:id="4">
    <w:p w:rsidR="00377FDD" w:rsidRDefault="00377FDD" w:rsidP="002D11EA">
      <w:pPr>
        <w:pStyle w:val="FootnoteText"/>
        <w:jc w:val="both"/>
      </w:pPr>
      <w:r>
        <w:rPr>
          <w:rStyle w:val="FootnoteReference"/>
        </w:rPr>
        <w:footnoteRef/>
      </w:r>
      <w:r>
        <w:t xml:space="preserve"> P220 of appellant’s case and 53 of r 11 documents.</w:t>
      </w:r>
    </w:p>
  </w:footnote>
  <w:footnote w:id="5">
    <w:p w:rsidR="00377FDD" w:rsidRDefault="00377FDD" w:rsidP="002D11EA">
      <w:pPr>
        <w:pStyle w:val="FootnoteText"/>
        <w:jc w:val="both"/>
      </w:pPr>
      <w:r>
        <w:rPr>
          <w:rStyle w:val="FootnoteReference"/>
        </w:rPr>
        <w:footnoteRef/>
      </w:r>
      <w:r>
        <w:t xml:space="preserve"> Summary of income tax due on p 225 of appellant’s case and para1.15 and 1.16 of appellant’s case.</w:t>
      </w:r>
    </w:p>
  </w:footnote>
  <w:footnote w:id="6">
    <w:p w:rsidR="00377FDD" w:rsidRDefault="00377FDD" w:rsidP="002D11EA">
      <w:pPr>
        <w:pStyle w:val="FootnoteText"/>
        <w:jc w:val="both"/>
      </w:pPr>
      <w:r>
        <w:rPr>
          <w:rStyle w:val="FootnoteReference"/>
        </w:rPr>
        <w:footnoteRef/>
      </w:r>
      <w:r>
        <w:t xml:space="preserve"> P224 of appellant’s case.</w:t>
      </w:r>
    </w:p>
  </w:footnote>
  <w:footnote w:id="7">
    <w:p w:rsidR="00377FDD" w:rsidRDefault="00377FDD" w:rsidP="00465BE6">
      <w:pPr>
        <w:pStyle w:val="FootnoteText"/>
        <w:jc w:val="both"/>
      </w:pPr>
      <w:r>
        <w:rPr>
          <w:rStyle w:val="FootnoteReference"/>
        </w:rPr>
        <w:footnoteRef/>
      </w:r>
      <w:r>
        <w:t xml:space="preserve"> P192 to 212 of Appellant’s case replicated without appellant’s computations on p 68to 75 of r 11 documents.</w:t>
      </w:r>
    </w:p>
  </w:footnote>
  <w:footnote w:id="8">
    <w:p w:rsidR="00377FDD" w:rsidRDefault="00377FDD" w:rsidP="00465BE6">
      <w:pPr>
        <w:pStyle w:val="FootnoteText"/>
        <w:jc w:val="both"/>
      </w:pPr>
      <w:r>
        <w:rPr>
          <w:rStyle w:val="FootnoteReference"/>
        </w:rPr>
        <w:footnoteRef/>
      </w:r>
      <w:r>
        <w:t xml:space="preserve"> P 67 of r 11 documents.</w:t>
      </w:r>
    </w:p>
  </w:footnote>
  <w:footnote w:id="9">
    <w:p w:rsidR="00377FDD" w:rsidRDefault="00377FDD" w:rsidP="00465BE6">
      <w:pPr>
        <w:pStyle w:val="FootnoteText"/>
        <w:jc w:val="both"/>
      </w:pPr>
      <w:r>
        <w:rPr>
          <w:rStyle w:val="FootnoteReference"/>
        </w:rPr>
        <w:footnoteRef/>
      </w:r>
      <w:r>
        <w:t xml:space="preserve"> P24 of r 11 documents, agreement to withdraw reached on 10 February 2017 on p 25 and 26 of r 11 documents.</w:t>
      </w:r>
    </w:p>
  </w:footnote>
  <w:footnote w:id="10">
    <w:p w:rsidR="00377FDD" w:rsidRDefault="00377FDD" w:rsidP="00465BE6">
      <w:pPr>
        <w:pStyle w:val="FootnoteText"/>
        <w:jc w:val="both"/>
      </w:pPr>
      <w:r>
        <w:rPr>
          <w:rStyle w:val="FootnoteReference"/>
        </w:rPr>
        <w:footnoteRef/>
      </w:r>
      <w:r>
        <w:t xml:space="preserve"> P 28, last 3 lines thereof of r 11 documents.</w:t>
      </w:r>
    </w:p>
  </w:footnote>
  <w:footnote w:id="11">
    <w:p w:rsidR="00377FDD" w:rsidRPr="00070208" w:rsidRDefault="00377FDD" w:rsidP="002E63F6">
      <w:pPr>
        <w:pStyle w:val="FootnoteText"/>
        <w:jc w:val="both"/>
        <w:rPr>
          <w:lang w:val="en-ZW"/>
        </w:rPr>
      </w:pPr>
      <w:r>
        <w:rPr>
          <w:rStyle w:val="FootnoteReference"/>
        </w:rPr>
        <w:footnoteRef/>
      </w:r>
      <w:r>
        <w:t xml:space="preserve"> </w:t>
      </w:r>
      <w:r>
        <w:rPr>
          <w:lang w:val="en-ZW"/>
        </w:rPr>
        <w:t xml:space="preserve">P48, at the bottom, of the appellant’s case. </w:t>
      </w:r>
    </w:p>
  </w:footnote>
  <w:footnote w:id="12">
    <w:p w:rsidR="00377FDD" w:rsidRPr="00070208" w:rsidRDefault="00377FDD" w:rsidP="002E63F6">
      <w:pPr>
        <w:pStyle w:val="FootnoteText"/>
        <w:jc w:val="both"/>
        <w:rPr>
          <w:lang w:val="en-ZW"/>
        </w:rPr>
      </w:pPr>
      <w:r>
        <w:rPr>
          <w:rStyle w:val="FootnoteReference"/>
        </w:rPr>
        <w:footnoteRef/>
      </w:r>
      <w:r>
        <w:t xml:space="preserve"> </w:t>
      </w:r>
      <w:r>
        <w:rPr>
          <w:lang w:val="en-ZW"/>
        </w:rPr>
        <w:t xml:space="preserve">Bottom of p 46 of appellant’s case. </w:t>
      </w:r>
    </w:p>
  </w:footnote>
  <w:footnote w:id="13">
    <w:p w:rsidR="00377FDD" w:rsidRPr="00563EE2" w:rsidRDefault="00377FDD" w:rsidP="002E63F6">
      <w:pPr>
        <w:pStyle w:val="FootnoteText"/>
        <w:jc w:val="both"/>
        <w:rPr>
          <w:lang w:val="en-ZW"/>
        </w:rPr>
      </w:pPr>
      <w:r>
        <w:rPr>
          <w:rStyle w:val="FootnoteReference"/>
        </w:rPr>
        <w:footnoteRef/>
      </w:r>
      <w:r>
        <w:t xml:space="preserve"> </w:t>
      </w:r>
      <w:r>
        <w:rPr>
          <w:lang w:val="en-ZW"/>
        </w:rPr>
        <w:t xml:space="preserve">P 77, last sentence, of appellant’s case. </w:t>
      </w:r>
    </w:p>
  </w:footnote>
  <w:footnote w:id="14">
    <w:p w:rsidR="00377FDD" w:rsidRPr="006B2FFE" w:rsidRDefault="00377FDD" w:rsidP="002E63F6">
      <w:pPr>
        <w:pStyle w:val="FootnoteText"/>
        <w:jc w:val="both"/>
        <w:rPr>
          <w:lang w:val="en-ZW"/>
        </w:rPr>
      </w:pPr>
      <w:r>
        <w:rPr>
          <w:rStyle w:val="FootnoteReference"/>
        </w:rPr>
        <w:footnoteRef/>
      </w:r>
      <w:r>
        <w:t xml:space="preserve"> Pp 102 and </w:t>
      </w:r>
      <w:r>
        <w:rPr>
          <w:lang w:val="en-ZW"/>
        </w:rPr>
        <w:t>100 of the appellant’s case.</w:t>
      </w:r>
    </w:p>
  </w:footnote>
  <w:footnote w:id="15">
    <w:p w:rsidR="004D16A2" w:rsidRDefault="004D16A2" w:rsidP="00FD5641">
      <w:pPr>
        <w:pStyle w:val="FootnoteText"/>
        <w:jc w:val="both"/>
      </w:pPr>
      <w:r>
        <w:rPr>
          <w:rStyle w:val="FootnoteReference"/>
        </w:rPr>
        <w:footnoteRef/>
      </w:r>
      <w:r>
        <w:t xml:space="preserve"> </w:t>
      </w:r>
      <w:r w:rsidRPr="00FD5641">
        <w:rPr>
          <w:i/>
        </w:rPr>
        <w:t>The Dictionary of Legal Words and Phrases</w:t>
      </w:r>
      <w:r w:rsidR="00FD5641">
        <w:t>.</w:t>
      </w:r>
    </w:p>
  </w:footnote>
  <w:footnote w:id="16">
    <w:p w:rsidR="004D16A2" w:rsidRDefault="004D16A2" w:rsidP="00FD5641">
      <w:pPr>
        <w:pStyle w:val="FootnoteText"/>
        <w:jc w:val="both"/>
      </w:pPr>
      <w:r>
        <w:rPr>
          <w:rStyle w:val="FootnoteReference"/>
        </w:rPr>
        <w:footnoteRef/>
      </w:r>
      <w:r>
        <w:t xml:space="preserve"> </w:t>
      </w:r>
      <w:r w:rsidRPr="00FD5641">
        <w:rPr>
          <w:i/>
        </w:rPr>
        <w:t xml:space="preserve">Black’s </w:t>
      </w:r>
      <w:r w:rsidR="00FD5641">
        <w:rPr>
          <w:i/>
        </w:rPr>
        <w:t>L</w:t>
      </w:r>
      <w:r w:rsidRPr="00FD5641">
        <w:rPr>
          <w:i/>
        </w:rPr>
        <w:t>aw Dictionary</w:t>
      </w:r>
      <w:r>
        <w:t xml:space="preserve"> (2014) p1152</w:t>
      </w:r>
      <w:r w:rsidR="00FD5641">
        <w:t>.</w:t>
      </w:r>
    </w:p>
  </w:footnote>
  <w:footnote w:id="17">
    <w:p w:rsidR="004D16A2" w:rsidRDefault="004D16A2" w:rsidP="004D16A2">
      <w:pPr>
        <w:pStyle w:val="FootnoteText"/>
        <w:jc w:val="both"/>
      </w:pPr>
      <w:r>
        <w:rPr>
          <w:rStyle w:val="FootnoteReference"/>
        </w:rPr>
        <w:footnoteRef/>
      </w:r>
      <w:r>
        <w:t xml:space="preserve"> </w:t>
      </w:r>
      <w:r w:rsidRPr="004D16A2">
        <w:rPr>
          <w:i/>
        </w:rPr>
        <w:t>Australian Law Dictionary</w:t>
      </w:r>
      <w:r>
        <w:t>, 2010, 1</w:t>
      </w:r>
      <w:r w:rsidRPr="004D16A2">
        <w:rPr>
          <w:vertAlign w:val="superscript"/>
        </w:rPr>
        <w:t>st</w:t>
      </w:r>
      <w:r>
        <w:t xml:space="preserve"> Ed.</w:t>
      </w:r>
    </w:p>
  </w:footnote>
  <w:footnote w:id="18">
    <w:p w:rsidR="00377FDD" w:rsidRPr="004001C5" w:rsidRDefault="00377FDD" w:rsidP="00D22EC7">
      <w:pPr>
        <w:pStyle w:val="FootnoteText"/>
        <w:jc w:val="both"/>
        <w:rPr>
          <w:lang w:val="en-ZW"/>
        </w:rPr>
      </w:pPr>
      <w:r>
        <w:rPr>
          <w:rStyle w:val="FootnoteReference"/>
        </w:rPr>
        <w:footnoteRef/>
      </w:r>
      <w:r>
        <w:t xml:space="preserve"> </w:t>
      </w:r>
      <w:r>
        <w:rPr>
          <w:lang w:val="en-ZW"/>
        </w:rPr>
        <w:t>Where it was said: “it is clear that the granting of discounts at year ends had not been revealed to the Commissioner and that this was a relevant material fact in order to determine the taxpayer’s liability for tax.”</w:t>
      </w:r>
    </w:p>
  </w:footnote>
  <w:footnote w:id="19">
    <w:p w:rsidR="00377FDD" w:rsidRPr="00087D41" w:rsidRDefault="00377FDD" w:rsidP="00D22EC7">
      <w:pPr>
        <w:pStyle w:val="FootnoteText"/>
        <w:jc w:val="both"/>
        <w:rPr>
          <w:lang w:val="en-ZW"/>
        </w:rPr>
      </w:pPr>
      <w:r>
        <w:rPr>
          <w:rStyle w:val="FootnoteReference"/>
        </w:rPr>
        <w:footnoteRef/>
      </w:r>
      <w:r>
        <w:t xml:space="preserve"> </w:t>
      </w:r>
      <w:r>
        <w:rPr>
          <w:lang w:val="en-ZW"/>
        </w:rPr>
        <w:t>P 194 of appellant’s case replicated at p 70 of r 11 documents where under leave pay the tax advisors wrote: “This one area where we differ in the interpretation of s 15 (2) (a) and in particular the tax implication of the word incurred for the purposes of trade. Given the current ZIMRA practice of treating accrued leave pay as a mere provision we concede to your current tax treatment of disallowing it as deduction. It is however, the movement of the accrued leave that has tax implication and not the accumulated balance.”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099810"/>
      <w:docPartObj>
        <w:docPartGallery w:val="Page Numbers (Top of Page)"/>
        <w:docPartUnique/>
      </w:docPartObj>
    </w:sdtPr>
    <w:sdtEndPr>
      <w:rPr>
        <w:noProof/>
      </w:rPr>
    </w:sdtEndPr>
    <w:sdtContent>
      <w:p w:rsidR="00521041" w:rsidRDefault="00521041">
        <w:pPr>
          <w:pStyle w:val="Header"/>
          <w:jc w:val="right"/>
          <w:rPr>
            <w:noProof/>
          </w:rPr>
        </w:pPr>
        <w:r>
          <w:fldChar w:fldCharType="begin"/>
        </w:r>
        <w:r>
          <w:instrText xml:space="preserve"> PAGE   \* MERGEFORMAT </w:instrText>
        </w:r>
        <w:r>
          <w:fldChar w:fldCharType="separate"/>
        </w:r>
        <w:r w:rsidR="00483A1C">
          <w:rPr>
            <w:noProof/>
          </w:rPr>
          <w:t>1</w:t>
        </w:r>
        <w:r>
          <w:rPr>
            <w:noProof/>
          </w:rPr>
          <w:fldChar w:fldCharType="end"/>
        </w:r>
      </w:p>
      <w:p w:rsidR="00521041" w:rsidRDefault="00521041">
        <w:pPr>
          <w:pStyle w:val="Header"/>
          <w:jc w:val="right"/>
          <w:rPr>
            <w:noProof/>
          </w:rPr>
        </w:pPr>
        <w:r>
          <w:rPr>
            <w:noProof/>
          </w:rPr>
          <w:t>H</w:t>
        </w:r>
        <w:r w:rsidR="0048799D">
          <w:rPr>
            <w:noProof/>
          </w:rPr>
          <w:t>H 552-20</w:t>
        </w:r>
      </w:p>
      <w:p w:rsidR="00521041" w:rsidRDefault="00521041">
        <w:pPr>
          <w:pStyle w:val="Header"/>
          <w:jc w:val="right"/>
        </w:pPr>
        <w:r>
          <w:rPr>
            <w:noProof/>
          </w:rPr>
          <w:t>ITC 02/18</w:t>
        </w:r>
      </w:p>
    </w:sdtContent>
  </w:sdt>
  <w:p w:rsidR="00377FDD" w:rsidRDefault="00377F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2DCF"/>
    <w:multiLevelType w:val="hybridMultilevel"/>
    <w:tmpl w:val="5126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76A31"/>
    <w:multiLevelType w:val="hybridMultilevel"/>
    <w:tmpl w:val="40E885A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55C2193"/>
    <w:multiLevelType w:val="hybridMultilevel"/>
    <w:tmpl w:val="4132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34A78"/>
    <w:multiLevelType w:val="hybridMultilevel"/>
    <w:tmpl w:val="5126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F7D4D"/>
    <w:multiLevelType w:val="hybridMultilevel"/>
    <w:tmpl w:val="BE98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6D06"/>
    <w:multiLevelType w:val="hybridMultilevel"/>
    <w:tmpl w:val="5126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10F92"/>
    <w:multiLevelType w:val="hybridMultilevel"/>
    <w:tmpl w:val="5126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06"/>
    <w:rsid w:val="000001D5"/>
    <w:rsid w:val="00001D43"/>
    <w:rsid w:val="000030BC"/>
    <w:rsid w:val="00003B8B"/>
    <w:rsid w:val="00005C2B"/>
    <w:rsid w:val="00006BAE"/>
    <w:rsid w:val="000117E0"/>
    <w:rsid w:val="00017CF2"/>
    <w:rsid w:val="0002241F"/>
    <w:rsid w:val="00023485"/>
    <w:rsid w:val="00024331"/>
    <w:rsid w:val="000247E1"/>
    <w:rsid w:val="00030DBF"/>
    <w:rsid w:val="00031BFD"/>
    <w:rsid w:val="000345DE"/>
    <w:rsid w:val="00041FC0"/>
    <w:rsid w:val="00044BDD"/>
    <w:rsid w:val="00045AEB"/>
    <w:rsid w:val="0005049F"/>
    <w:rsid w:val="000519F3"/>
    <w:rsid w:val="000544F3"/>
    <w:rsid w:val="0005604E"/>
    <w:rsid w:val="000604F9"/>
    <w:rsid w:val="00061F01"/>
    <w:rsid w:val="00062499"/>
    <w:rsid w:val="00070208"/>
    <w:rsid w:val="00071F5F"/>
    <w:rsid w:val="00076EA0"/>
    <w:rsid w:val="00080427"/>
    <w:rsid w:val="000819F8"/>
    <w:rsid w:val="00084466"/>
    <w:rsid w:val="00086947"/>
    <w:rsid w:val="00087D41"/>
    <w:rsid w:val="0009100E"/>
    <w:rsid w:val="00092C56"/>
    <w:rsid w:val="00093A6B"/>
    <w:rsid w:val="00097B58"/>
    <w:rsid w:val="000A22F1"/>
    <w:rsid w:val="000A581E"/>
    <w:rsid w:val="000B1AE5"/>
    <w:rsid w:val="000B2B9D"/>
    <w:rsid w:val="000B3E0A"/>
    <w:rsid w:val="000B573E"/>
    <w:rsid w:val="000B5A71"/>
    <w:rsid w:val="000B6B3F"/>
    <w:rsid w:val="000B6BCC"/>
    <w:rsid w:val="000C01E8"/>
    <w:rsid w:val="000C206E"/>
    <w:rsid w:val="000C3EE0"/>
    <w:rsid w:val="000C3FDA"/>
    <w:rsid w:val="000C3FF6"/>
    <w:rsid w:val="000C6D03"/>
    <w:rsid w:val="000D1CFB"/>
    <w:rsid w:val="000D263F"/>
    <w:rsid w:val="000D336B"/>
    <w:rsid w:val="000D3FA0"/>
    <w:rsid w:val="000D42E0"/>
    <w:rsid w:val="000D5EEE"/>
    <w:rsid w:val="000D731D"/>
    <w:rsid w:val="000E06F6"/>
    <w:rsid w:val="000E506D"/>
    <w:rsid w:val="000E5540"/>
    <w:rsid w:val="000E63B6"/>
    <w:rsid w:val="000E6A06"/>
    <w:rsid w:val="000E7340"/>
    <w:rsid w:val="000F0233"/>
    <w:rsid w:val="000F57A2"/>
    <w:rsid w:val="0010046F"/>
    <w:rsid w:val="00101F67"/>
    <w:rsid w:val="00104668"/>
    <w:rsid w:val="00107B43"/>
    <w:rsid w:val="00113C8D"/>
    <w:rsid w:val="00113D1E"/>
    <w:rsid w:val="00121B07"/>
    <w:rsid w:val="00126149"/>
    <w:rsid w:val="00126A2B"/>
    <w:rsid w:val="00141583"/>
    <w:rsid w:val="0014355B"/>
    <w:rsid w:val="00144B64"/>
    <w:rsid w:val="001458BB"/>
    <w:rsid w:val="00147307"/>
    <w:rsid w:val="00150199"/>
    <w:rsid w:val="00150D47"/>
    <w:rsid w:val="001542E9"/>
    <w:rsid w:val="00157A6F"/>
    <w:rsid w:val="0016293C"/>
    <w:rsid w:val="001660FB"/>
    <w:rsid w:val="00171D37"/>
    <w:rsid w:val="00181330"/>
    <w:rsid w:val="00182F36"/>
    <w:rsid w:val="001840E7"/>
    <w:rsid w:val="001842FA"/>
    <w:rsid w:val="001852B3"/>
    <w:rsid w:val="001869EE"/>
    <w:rsid w:val="001933A5"/>
    <w:rsid w:val="001A43E8"/>
    <w:rsid w:val="001B058F"/>
    <w:rsid w:val="001B076B"/>
    <w:rsid w:val="001B09B2"/>
    <w:rsid w:val="001B255F"/>
    <w:rsid w:val="001B26F5"/>
    <w:rsid w:val="001C0A94"/>
    <w:rsid w:val="001C4633"/>
    <w:rsid w:val="001C5EF7"/>
    <w:rsid w:val="001D10AD"/>
    <w:rsid w:val="001E0298"/>
    <w:rsid w:val="001F1F06"/>
    <w:rsid w:val="001F305E"/>
    <w:rsid w:val="001F4F3F"/>
    <w:rsid w:val="001F61DD"/>
    <w:rsid w:val="00200E26"/>
    <w:rsid w:val="00201F99"/>
    <w:rsid w:val="00202E3C"/>
    <w:rsid w:val="00210FDF"/>
    <w:rsid w:val="00212A39"/>
    <w:rsid w:val="0021717E"/>
    <w:rsid w:val="002218F5"/>
    <w:rsid w:val="00223996"/>
    <w:rsid w:val="00226E2B"/>
    <w:rsid w:val="00226EBC"/>
    <w:rsid w:val="00227FDE"/>
    <w:rsid w:val="00231CD9"/>
    <w:rsid w:val="00233E8E"/>
    <w:rsid w:val="002341AE"/>
    <w:rsid w:val="002411DF"/>
    <w:rsid w:val="002443DB"/>
    <w:rsid w:val="0025058D"/>
    <w:rsid w:val="002506C4"/>
    <w:rsid w:val="0025117E"/>
    <w:rsid w:val="0025333D"/>
    <w:rsid w:val="00254009"/>
    <w:rsid w:val="002659A1"/>
    <w:rsid w:val="00275FDE"/>
    <w:rsid w:val="00277B1B"/>
    <w:rsid w:val="002814B7"/>
    <w:rsid w:val="00282A59"/>
    <w:rsid w:val="00282FCB"/>
    <w:rsid w:val="002830DB"/>
    <w:rsid w:val="00284408"/>
    <w:rsid w:val="002860E2"/>
    <w:rsid w:val="0028797F"/>
    <w:rsid w:val="002905E1"/>
    <w:rsid w:val="00292425"/>
    <w:rsid w:val="00292CB8"/>
    <w:rsid w:val="002A0699"/>
    <w:rsid w:val="002A6456"/>
    <w:rsid w:val="002B17D7"/>
    <w:rsid w:val="002B61B0"/>
    <w:rsid w:val="002B6360"/>
    <w:rsid w:val="002B69EF"/>
    <w:rsid w:val="002B6B9A"/>
    <w:rsid w:val="002C09DD"/>
    <w:rsid w:val="002C132A"/>
    <w:rsid w:val="002C76F1"/>
    <w:rsid w:val="002C7EB4"/>
    <w:rsid w:val="002D11EA"/>
    <w:rsid w:val="002D1B3A"/>
    <w:rsid w:val="002D580E"/>
    <w:rsid w:val="002D5E4F"/>
    <w:rsid w:val="002E5D03"/>
    <w:rsid w:val="002E63F6"/>
    <w:rsid w:val="002F0D16"/>
    <w:rsid w:val="002F0E26"/>
    <w:rsid w:val="002F16C2"/>
    <w:rsid w:val="002F41B1"/>
    <w:rsid w:val="002F56DD"/>
    <w:rsid w:val="00300A59"/>
    <w:rsid w:val="00305E1C"/>
    <w:rsid w:val="00306850"/>
    <w:rsid w:val="003068D7"/>
    <w:rsid w:val="00306CB1"/>
    <w:rsid w:val="00306D13"/>
    <w:rsid w:val="0031092E"/>
    <w:rsid w:val="003114C0"/>
    <w:rsid w:val="00316D96"/>
    <w:rsid w:val="003205B0"/>
    <w:rsid w:val="00323049"/>
    <w:rsid w:val="00327A98"/>
    <w:rsid w:val="00332681"/>
    <w:rsid w:val="00337B0F"/>
    <w:rsid w:val="003437ED"/>
    <w:rsid w:val="00345896"/>
    <w:rsid w:val="00345E03"/>
    <w:rsid w:val="00346488"/>
    <w:rsid w:val="003475C5"/>
    <w:rsid w:val="0035229F"/>
    <w:rsid w:val="00354782"/>
    <w:rsid w:val="00354B80"/>
    <w:rsid w:val="003666D2"/>
    <w:rsid w:val="00366ABB"/>
    <w:rsid w:val="00374F32"/>
    <w:rsid w:val="00375078"/>
    <w:rsid w:val="003755EF"/>
    <w:rsid w:val="003761BF"/>
    <w:rsid w:val="00376F26"/>
    <w:rsid w:val="00377FDD"/>
    <w:rsid w:val="00387BF0"/>
    <w:rsid w:val="00396221"/>
    <w:rsid w:val="003A10BC"/>
    <w:rsid w:val="003A4F95"/>
    <w:rsid w:val="003A5459"/>
    <w:rsid w:val="003A65E7"/>
    <w:rsid w:val="003B3387"/>
    <w:rsid w:val="003C316B"/>
    <w:rsid w:val="003D0942"/>
    <w:rsid w:val="003D126A"/>
    <w:rsid w:val="003D3853"/>
    <w:rsid w:val="003D76AC"/>
    <w:rsid w:val="003D793C"/>
    <w:rsid w:val="003E2643"/>
    <w:rsid w:val="003E2826"/>
    <w:rsid w:val="003F007B"/>
    <w:rsid w:val="003F2861"/>
    <w:rsid w:val="003F2E85"/>
    <w:rsid w:val="003F6CDD"/>
    <w:rsid w:val="004001C5"/>
    <w:rsid w:val="00400227"/>
    <w:rsid w:val="00421811"/>
    <w:rsid w:val="00422DCF"/>
    <w:rsid w:val="004237DC"/>
    <w:rsid w:val="00425B2B"/>
    <w:rsid w:val="0042682C"/>
    <w:rsid w:val="00427699"/>
    <w:rsid w:val="004317F2"/>
    <w:rsid w:val="00431884"/>
    <w:rsid w:val="00431E05"/>
    <w:rsid w:val="00436F07"/>
    <w:rsid w:val="00444254"/>
    <w:rsid w:val="004449AC"/>
    <w:rsid w:val="00445DDB"/>
    <w:rsid w:val="00446652"/>
    <w:rsid w:val="004470EC"/>
    <w:rsid w:val="00447283"/>
    <w:rsid w:val="00456D4A"/>
    <w:rsid w:val="00457118"/>
    <w:rsid w:val="004646A0"/>
    <w:rsid w:val="00465AA6"/>
    <w:rsid w:val="00465BE6"/>
    <w:rsid w:val="00465DDC"/>
    <w:rsid w:val="00470DDB"/>
    <w:rsid w:val="0047471E"/>
    <w:rsid w:val="004759B2"/>
    <w:rsid w:val="0047632E"/>
    <w:rsid w:val="004826D7"/>
    <w:rsid w:val="00483A1C"/>
    <w:rsid w:val="00485457"/>
    <w:rsid w:val="00486956"/>
    <w:rsid w:val="0048799D"/>
    <w:rsid w:val="0049632A"/>
    <w:rsid w:val="00497016"/>
    <w:rsid w:val="00497264"/>
    <w:rsid w:val="00497330"/>
    <w:rsid w:val="004A124A"/>
    <w:rsid w:val="004A1D5E"/>
    <w:rsid w:val="004A4A11"/>
    <w:rsid w:val="004A4AA6"/>
    <w:rsid w:val="004B5033"/>
    <w:rsid w:val="004B5CCD"/>
    <w:rsid w:val="004B5DFE"/>
    <w:rsid w:val="004B62D4"/>
    <w:rsid w:val="004B62F5"/>
    <w:rsid w:val="004C17DB"/>
    <w:rsid w:val="004C2203"/>
    <w:rsid w:val="004C4728"/>
    <w:rsid w:val="004C526E"/>
    <w:rsid w:val="004C5907"/>
    <w:rsid w:val="004C6288"/>
    <w:rsid w:val="004C7B78"/>
    <w:rsid w:val="004D072A"/>
    <w:rsid w:val="004D16A2"/>
    <w:rsid w:val="004D51A7"/>
    <w:rsid w:val="004D7EF1"/>
    <w:rsid w:val="004E0383"/>
    <w:rsid w:val="004E33E6"/>
    <w:rsid w:val="004E34F2"/>
    <w:rsid w:val="004F0B25"/>
    <w:rsid w:val="004F7EC8"/>
    <w:rsid w:val="005025E8"/>
    <w:rsid w:val="00514396"/>
    <w:rsid w:val="005164C5"/>
    <w:rsid w:val="00521041"/>
    <w:rsid w:val="00521B4E"/>
    <w:rsid w:val="00524445"/>
    <w:rsid w:val="00527499"/>
    <w:rsid w:val="00530526"/>
    <w:rsid w:val="005327CB"/>
    <w:rsid w:val="00532FBD"/>
    <w:rsid w:val="00533ACF"/>
    <w:rsid w:val="005352E4"/>
    <w:rsid w:val="00542477"/>
    <w:rsid w:val="00544657"/>
    <w:rsid w:val="0054517E"/>
    <w:rsid w:val="00546FDC"/>
    <w:rsid w:val="005520AB"/>
    <w:rsid w:val="00553600"/>
    <w:rsid w:val="0055677A"/>
    <w:rsid w:val="00560F4A"/>
    <w:rsid w:val="00561E4E"/>
    <w:rsid w:val="0056375D"/>
    <w:rsid w:val="00563EE2"/>
    <w:rsid w:val="0056438D"/>
    <w:rsid w:val="00574A0E"/>
    <w:rsid w:val="005756EA"/>
    <w:rsid w:val="0057653D"/>
    <w:rsid w:val="005829A6"/>
    <w:rsid w:val="00585467"/>
    <w:rsid w:val="00587A77"/>
    <w:rsid w:val="005921B0"/>
    <w:rsid w:val="0059590F"/>
    <w:rsid w:val="005A114D"/>
    <w:rsid w:val="005A5912"/>
    <w:rsid w:val="005B2427"/>
    <w:rsid w:val="005B3B47"/>
    <w:rsid w:val="005B3C11"/>
    <w:rsid w:val="005B3FA9"/>
    <w:rsid w:val="005B5F51"/>
    <w:rsid w:val="005C1482"/>
    <w:rsid w:val="005C2855"/>
    <w:rsid w:val="005C4018"/>
    <w:rsid w:val="005C6A38"/>
    <w:rsid w:val="005C7C4C"/>
    <w:rsid w:val="005D16E5"/>
    <w:rsid w:val="005D1B22"/>
    <w:rsid w:val="005D3AF0"/>
    <w:rsid w:val="005E179C"/>
    <w:rsid w:val="005E379B"/>
    <w:rsid w:val="005E6829"/>
    <w:rsid w:val="005E7158"/>
    <w:rsid w:val="005E7697"/>
    <w:rsid w:val="005F0BF0"/>
    <w:rsid w:val="005F6D7C"/>
    <w:rsid w:val="006013C8"/>
    <w:rsid w:val="006017D5"/>
    <w:rsid w:val="00603243"/>
    <w:rsid w:val="00605D1E"/>
    <w:rsid w:val="00607015"/>
    <w:rsid w:val="0061348E"/>
    <w:rsid w:val="006135AB"/>
    <w:rsid w:val="00615C0F"/>
    <w:rsid w:val="00615ED7"/>
    <w:rsid w:val="00616EDF"/>
    <w:rsid w:val="00617164"/>
    <w:rsid w:val="00617C07"/>
    <w:rsid w:val="00620ACA"/>
    <w:rsid w:val="00622A44"/>
    <w:rsid w:val="00622F6B"/>
    <w:rsid w:val="006306F0"/>
    <w:rsid w:val="00631D83"/>
    <w:rsid w:val="00633565"/>
    <w:rsid w:val="00633683"/>
    <w:rsid w:val="00634AB7"/>
    <w:rsid w:val="00637514"/>
    <w:rsid w:val="006400D9"/>
    <w:rsid w:val="006456B3"/>
    <w:rsid w:val="00646E3E"/>
    <w:rsid w:val="00650436"/>
    <w:rsid w:val="0065136F"/>
    <w:rsid w:val="00651CF2"/>
    <w:rsid w:val="00653D3A"/>
    <w:rsid w:val="0065618B"/>
    <w:rsid w:val="006577A6"/>
    <w:rsid w:val="006607FB"/>
    <w:rsid w:val="00661C88"/>
    <w:rsid w:val="00662D42"/>
    <w:rsid w:val="00662DFF"/>
    <w:rsid w:val="00666E07"/>
    <w:rsid w:val="006734C1"/>
    <w:rsid w:val="00681534"/>
    <w:rsid w:val="00682504"/>
    <w:rsid w:val="00682FB4"/>
    <w:rsid w:val="006834A9"/>
    <w:rsid w:val="006915FA"/>
    <w:rsid w:val="00691F2B"/>
    <w:rsid w:val="00692A4E"/>
    <w:rsid w:val="00696D43"/>
    <w:rsid w:val="00697414"/>
    <w:rsid w:val="006A1E12"/>
    <w:rsid w:val="006A2219"/>
    <w:rsid w:val="006A2883"/>
    <w:rsid w:val="006A290E"/>
    <w:rsid w:val="006A3B0F"/>
    <w:rsid w:val="006B2FFE"/>
    <w:rsid w:val="006B3F75"/>
    <w:rsid w:val="006B674F"/>
    <w:rsid w:val="006C23F5"/>
    <w:rsid w:val="006C658D"/>
    <w:rsid w:val="006C7CF0"/>
    <w:rsid w:val="006D154C"/>
    <w:rsid w:val="006E012F"/>
    <w:rsid w:val="006F1437"/>
    <w:rsid w:val="00703585"/>
    <w:rsid w:val="007108C3"/>
    <w:rsid w:val="00716A12"/>
    <w:rsid w:val="00717732"/>
    <w:rsid w:val="007204FB"/>
    <w:rsid w:val="00721232"/>
    <w:rsid w:val="00721D2A"/>
    <w:rsid w:val="00722B7C"/>
    <w:rsid w:val="0072319D"/>
    <w:rsid w:val="0072497D"/>
    <w:rsid w:val="00730057"/>
    <w:rsid w:val="00731C23"/>
    <w:rsid w:val="00733FC5"/>
    <w:rsid w:val="00735563"/>
    <w:rsid w:val="00737D11"/>
    <w:rsid w:val="007425C8"/>
    <w:rsid w:val="0074448D"/>
    <w:rsid w:val="007572C7"/>
    <w:rsid w:val="00757FA8"/>
    <w:rsid w:val="007601F4"/>
    <w:rsid w:val="00760941"/>
    <w:rsid w:val="00760C58"/>
    <w:rsid w:val="00761537"/>
    <w:rsid w:val="00763A55"/>
    <w:rsid w:val="007670A4"/>
    <w:rsid w:val="00767ECE"/>
    <w:rsid w:val="00770288"/>
    <w:rsid w:val="007734AF"/>
    <w:rsid w:val="00773621"/>
    <w:rsid w:val="00773CB7"/>
    <w:rsid w:val="00780418"/>
    <w:rsid w:val="00783F26"/>
    <w:rsid w:val="00784351"/>
    <w:rsid w:val="0078597D"/>
    <w:rsid w:val="00790E57"/>
    <w:rsid w:val="0079248C"/>
    <w:rsid w:val="00796F32"/>
    <w:rsid w:val="007A1D34"/>
    <w:rsid w:val="007A3F4E"/>
    <w:rsid w:val="007A517F"/>
    <w:rsid w:val="007A5E78"/>
    <w:rsid w:val="007A60EC"/>
    <w:rsid w:val="007A7386"/>
    <w:rsid w:val="007B0CD8"/>
    <w:rsid w:val="007B2632"/>
    <w:rsid w:val="007B60EA"/>
    <w:rsid w:val="007C0FE0"/>
    <w:rsid w:val="007C2C47"/>
    <w:rsid w:val="007C4DE1"/>
    <w:rsid w:val="007C7B59"/>
    <w:rsid w:val="007D211C"/>
    <w:rsid w:val="007D2D58"/>
    <w:rsid w:val="007D610F"/>
    <w:rsid w:val="007D6FC6"/>
    <w:rsid w:val="007D757A"/>
    <w:rsid w:val="007D7BD3"/>
    <w:rsid w:val="007E039C"/>
    <w:rsid w:val="007E083E"/>
    <w:rsid w:val="007E2F10"/>
    <w:rsid w:val="007E3BFC"/>
    <w:rsid w:val="007E60F9"/>
    <w:rsid w:val="007F0099"/>
    <w:rsid w:val="007F2326"/>
    <w:rsid w:val="007F4F7F"/>
    <w:rsid w:val="007F7E4D"/>
    <w:rsid w:val="00803DA0"/>
    <w:rsid w:val="00804A3C"/>
    <w:rsid w:val="00806DA9"/>
    <w:rsid w:val="00806F9A"/>
    <w:rsid w:val="00812534"/>
    <w:rsid w:val="00813C0C"/>
    <w:rsid w:val="00817737"/>
    <w:rsid w:val="008201FB"/>
    <w:rsid w:val="00821029"/>
    <w:rsid w:val="008274D6"/>
    <w:rsid w:val="008324C0"/>
    <w:rsid w:val="00832770"/>
    <w:rsid w:val="00843C03"/>
    <w:rsid w:val="008446E8"/>
    <w:rsid w:val="00847252"/>
    <w:rsid w:val="00847D1E"/>
    <w:rsid w:val="00853A3A"/>
    <w:rsid w:val="00857267"/>
    <w:rsid w:val="00860AAA"/>
    <w:rsid w:val="00860CA3"/>
    <w:rsid w:val="00863D4B"/>
    <w:rsid w:val="008666A0"/>
    <w:rsid w:val="00866916"/>
    <w:rsid w:val="00874F75"/>
    <w:rsid w:val="00877908"/>
    <w:rsid w:val="00880A46"/>
    <w:rsid w:val="00887646"/>
    <w:rsid w:val="00891B55"/>
    <w:rsid w:val="00895B46"/>
    <w:rsid w:val="008A22C9"/>
    <w:rsid w:val="008A3068"/>
    <w:rsid w:val="008B1127"/>
    <w:rsid w:val="008B2547"/>
    <w:rsid w:val="008B3525"/>
    <w:rsid w:val="008B3E7E"/>
    <w:rsid w:val="008B4ADD"/>
    <w:rsid w:val="008C2800"/>
    <w:rsid w:val="008C2833"/>
    <w:rsid w:val="008C6768"/>
    <w:rsid w:val="008C7A73"/>
    <w:rsid w:val="008D048A"/>
    <w:rsid w:val="008D0A28"/>
    <w:rsid w:val="008D4B84"/>
    <w:rsid w:val="008D54E5"/>
    <w:rsid w:val="008D621A"/>
    <w:rsid w:val="008E282A"/>
    <w:rsid w:val="008E377E"/>
    <w:rsid w:val="008E51BD"/>
    <w:rsid w:val="008E5E7A"/>
    <w:rsid w:val="008E7F44"/>
    <w:rsid w:val="008F211D"/>
    <w:rsid w:val="008F5DDF"/>
    <w:rsid w:val="008F6E62"/>
    <w:rsid w:val="00903720"/>
    <w:rsid w:val="00907E98"/>
    <w:rsid w:val="00913F21"/>
    <w:rsid w:val="00914E93"/>
    <w:rsid w:val="00915702"/>
    <w:rsid w:val="00923E6C"/>
    <w:rsid w:val="0093247D"/>
    <w:rsid w:val="00936709"/>
    <w:rsid w:val="009416DA"/>
    <w:rsid w:val="00941A80"/>
    <w:rsid w:val="00945D50"/>
    <w:rsid w:val="00946466"/>
    <w:rsid w:val="0095198D"/>
    <w:rsid w:val="00951C66"/>
    <w:rsid w:val="0095479D"/>
    <w:rsid w:val="009602D9"/>
    <w:rsid w:val="00963491"/>
    <w:rsid w:val="009643C2"/>
    <w:rsid w:val="00965FEA"/>
    <w:rsid w:val="00966C7F"/>
    <w:rsid w:val="00970471"/>
    <w:rsid w:val="00970857"/>
    <w:rsid w:val="00971A63"/>
    <w:rsid w:val="00973FD1"/>
    <w:rsid w:val="00983096"/>
    <w:rsid w:val="0098790C"/>
    <w:rsid w:val="0099046B"/>
    <w:rsid w:val="00990936"/>
    <w:rsid w:val="009934F4"/>
    <w:rsid w:val="009940C2"/>
    <w:rsid w:val="00995477"/>
    <w:rsid w:val="00996370"/>
    <w:rsid w:val="009A3938"/>
    <w:rsid w:val="009A41D0"/>
    <w:rsid w:val="009B150C"/>
    <w:rsid w:val="009B1969"/>
    <w:rsid w:val="009C0B36"/>
    <w:rsid w:val="009C406A"/>
    <w:rsid w:val="009C5A7F"/>
    <w:rsid w:val="009C7BD5"/>
    <w:rsid w:val="009D4B37"/>
    <w:rsid w:val="009D55BF"/>
    <w:rsid w:val="009D7254"/>
    <w:rsid w:val="009D79DF"/>
    <w:rsid w:val="009E1B0F"/>
    <w:rsid w:val="009E4CE4"/>
    <w:rsid w:val="009E6F91"/>
    <w:rsid w:val="009F0904"/>
    <w:rsid w:val="009F6F77"/>
    <w:rsid w:val="00A005DB"/>
    <w:rsid w:val="00A06A51"/>
    <w:rsid w:val="00A10037"/>
    <w:rsid w:val="00A12ABC"/>
    <w:rsid w:val="00A219D5"/>
    <w:rsid w:val="00A3057D"/>
    <w:rsid w:val="00A35C81"/>
    <w:rsid w:val="00A400DD"/>
    <w:rsid w:val="00A41219"/>
    <w:rsid w:val="00A43FD7"/>
    <w:rsid w:val="00A451E3"/>
    <w:rsid w:val="00A47009"/>
    <w:rsid w:val="00A5256A"/>
    <w:rsid w:val="00A54E7D"/>
    <w:rsid w:val="00A570F2"/>
    <w:rsid w:val="00A617C7"/>
    <w:rsid w:val="00A70C7F"/>
    <w:rsid w:val="00A72D62"/>
    <w:rsid w:val="00A73275"/>
    <w:rsid w:val="00A74E4B"/>
    <w:rsid w:val="00A77EE1"/>
    <w:rsid w:val="00A77F4C"/>
    <w:rsid w:val="00A8112B"/>
    <w:rsid w:val="00A8403F"/>
    <w:rsid w:val="00A86C1A"/>
    <w:rsid w:val="00A94F88"/>
    <w:rsid w:val="00A95F6F"/>
    <w:rsid w:val="00AA413E"/>
    <w:rsid w:val="00AA53BB"/>
    <w:rsid w:val="00AB0398"/>
    <w:rsid w:val="00AB0B50"/>
    <w:rsid w:val="00AB3819"/>
    <w:rsid w:val="00AB41A6"/>
    <w:rsid w:val="00AB493B"/>
    <w:rsid w:val="00AB6B08"/>
    <w:rsid w:val="00AC365C"/>
    <w:rsid w:val="00AC460F"/>
    <w:rsid w:val="00AC4948"/>
    <w:rsid w:val="00AC590A"/>
    <w:rsid w:val="00AC6D4B"/>
    <w:rsid w:val="00AD32AA"/>
    <w:rsid w:val="00AD337C"/>
    <w:rsid w:val="00AE08BC"/>
    <w:rsid w:val="00AE09EC"/>
    <w:rsid w:val="00AE35E5"/>
    <w:rsid w:val="00AE447A"/>
    <w:rsid w:val="00AE6DF1"/>
    <w:rsid w:val="00AE6E2B"/>
    <w:rsid w:val="00AE6F52"/>
    <w:rsid w:val="00AF351E"/>
    <w:rsid w:val="00B03F13"/>
    <w:rsid w:val="00B06585"/>
    <w:rsid w:val="00B12D45"/>
    <w:rsid w:val="00B14C97"/>
    <w:rsid w:val="00B20ED0"/>
    <w:rsid w:val="00B23F5F"/>
    <w:rsid w:val="00B25078"/>
    <w:rsid w:val="00B26E19"/>
    <w:rsid w:val="00B27028"/>
    <w:rsid w:val="00B31A21"/>
    <w:rsid w:val="00B35412"/>
    <w:rsid w:val="00B3718D"/>
    <w:rsid w:val="00B4040A"/>
    <w:rsid w:val="00B52B3F"/>
    <w:rsid w:val="00B5407A"/>
    <w:rsid w:val="00B61B0A"/>
    <w:rsid w:val="00B63740"/>
    <w:rsid w:val="00B67B0E"/>
    <w:rsid w:val="00B722CF"/>
    <w:rsid w:val="00B7761C"/>
    <w:rsid w:val="00B80A93"/>
    <w:rsid w:val="00B8694E"/>
    <w:rsid w:val="00B8719D"/>
    <w:rsid w:val="00B91ECC"/>
    <w:rsid w:val="00B9243F"/>
    <w:rsid w:val="00B95B1D"/>
    <w:rsid w:val="00BA1103"/>
    <w:rsid w:val="00BA12C3"/>
    <w:rsid w:val="00BA6A9E"/>
    <w:rsid w:val="00BB2F4E"/>
    <w:rsid w:val="00BB3F0E"/>
    <w:rsid w:val="00BB413D"/>
    <w:rsid w:val="00BB541E"/>
    <w:rsid w:val="00BB5DE4"/>
    <w:rsid w:val="00BB604F"/>
    <w:rsid w:val="00BC02F4"/>
    <w:rsid w:val="00BC2E15"/>
    <w:rsid w:val="00BD5214"/>
    <w:rsid w:val="00BD5535"/>
    <w:rsid w:val="00BE76EE"/>
    <w:rsid w:val="00BF70BE"/>
    <w:rsid w:val="00C00C51"/>
    <w:rsid w:val="00C0159E"/>
    <w:rsid w:val="00C06FE7"/>
    <w:rsid w:val="00C11BF8"/>
    <w:rsid w:val="00C2028E"/>
    <w:rsid w:val="00C21B9B"/>
    <w:rsid w:val="00C27AAF"/>
    <w:rsid w:val="00C41CEB"/>
    <w:rsid w:val="00C44225"/>
    <w:rsid w:val="00C44595"/>
    <w:rsid w:val="00C45FEC"/>
    <w:rsid w:val="00C50BFB"/>
    <w:rsid w:val="00C50DF3"/>
    <w:rsid w:val="00C57C98"/>
    <w:rsid w:val="00C61E4B"/>
    <w:rsid w:val="00C64BE1"/>
    <w:rsid w:val="00C653D4"/>
    <w:rsid w:val="00C6611B"/>
    <w:rsid w:val="00C66D58"/>
    <w:rsid w:val="00C67AE1"/>
    <w:rsid w:val="00C70363"/>
    <w:rsid w:val="00C72AA4"/>
    <w:rsid w:val="00C743FA"/>
    <w:rsid w:val="00C80C76"/>
    <w:rsid w:val="00C81272"/>
    <w:rsid w:val="00C816A9"/>
    <w:rsid w:val="00C82071"/>
    <w:rsid w:val="00C82E47"/>
    <w:rsid w:val="00C85324"/>
    <w:rsid w:val="00C92236"/>
    <w:rsid w:val="00C93307"/>
    <w:rsid w:val="00C93521"/>
    <w:rsid w:val="00C953FC"/>
    <w:rsid w:val="00CA08E5"/>
    <w:rsid w:val="00CA2AB8"/>
    <w:rsid w:val="00CA696C"/>
    <w:rsid w:val="00CA6FF7"/>
    <w:rsid w:val="00CB4432"/>
    <w:rsid w:val="00CB507D"/>
    <w:rsid w:val="00CB60DC"/>
    <w:rsid w:val="00CC1405"/>
    <w:rsid w:val="00CC3101"/>
    <w:rsid w:val="00CC32CF"/>
    <w:rsid w:val="00CC38A1"/>
    <w:rsid w:val="00CC4631"/>
    <w:rsid w:val="00CC50E3"/>
    <w:rsid w:val="00CC560E"/>
    <w:rsid w:val="00CC6228"/>
    <w:rsid w:val="00CD01C6"/>
    <w:rsid w:val="00CD4ED1"/>
    <w:rsid w:val="00CD52CF"/>
    <w:rsid w:val="00CE11EF"/>
    <w:rsid w:val="00CE2623"/>
    <w:rsid w:val="00CE2E66"/>
    <w:rsid w:val="00CE3222"/>
    <w:rsid w:val="00CE5C10"/>
    <w:rsid w:val="00CE66D6"/>
    <w:rsid w:val="00CE7C0D"/>
    <w:rsid w:val="00CF5674"/>
    <w:rsid w:val="00D01D2D"/>
    <w:rsid w:val="00D01E01"/>
    <w:rsid w:val="00D067B8"/>
    <w:rsid w:val="00D0765A"/>
    <w:rsid w:val="00D07BAD"/>
    <w:rsid w:val="00D11D4D"/>
    <w:rsid w:val="00D14F13"/>
    <w:rsid w:val="00D15FED"/>
    <w:rsid w:val="00D164B7"/>
    <w:rsid w:val="00D1659E"/>
    <w:rsid w:val="00D20E1B"/>
    <w:rsid w:val="00D22EC7"/>
    <w:rsid w:val="00D255F5"/>
    <w:rsid w:val="00D26278"/>
    <w:rsid w:val="00D27BD1"/>
    <w:rsid w:val="00D343C7"/>
    <w:rsid w:val="00D403AC"/>
    <w:rsid w:val="00D41241"/>
    <w:rsid w:val="00D41D97"/>
    <w:rsid w:val="00D4369E"/>
    <w:rsid w:val="00D51A8D"/>
    <w:rsid w:val="00D55194"/>
    <w:rsid w:val="00D5651B"/>
    <w:rsid w:val="00D626BC"/>
    <w:rsid w:val="00D63705"/>
    <w:rsid w:val="00D653F5"/>
    <w:rsid w:val="00D7036B"/>
    <w:rsid w:val="00D71A17"/>
    <w:rsid w:val="00D7342B"/>
    <w:rsid w:val="00D734C9"/>
    <w:rsid w:val="00D74A67"/>
    <w:rsid w:val="00D76C9B"/>
    <w:rsid w:val="00D76EDF"/>
    <w:rsid w:val="00D774B2"/>
    <w:rsid w:val="00D83959"/>
    <w:rsid w:val="00D845F4"/>
    <w:rsid w:val="00D875F9"/>
    <w:rsid w:val="00D94937"/>
    <w:rsid w:val="00DA08F0"/>
    <w:rsid w:val="00DA7659"/>
    <w:rsid w:val="00DB0F35"/>
    <w:rsid w:val="00DB2230"/>
    <w:rsid w:val="00DB2494"/>
    <w:rsid w:val="00DB296E"/>
    <w:rsid w:val="00DB35AA"/>
    <w:rsid w:val="00DB42EC"/>
    <w:rsid w:val="00DB4DCC"/>
    <w:rsid w:val="00DC0C42"/>
    <w:rsid w:val="00DC17A3"/>
    <w:rsid w:val="00DC1FE4"/>
    <w:rsid w:val="00DC2DFE"/>
    <w:rsid w:val="00DC3232"/>
    <w:rsid w:val="00DC32F1"/>
    <w:rsid w:val="00DC4655"/>
    <w:rsid w:val="00DC61DA"/>
    <w:rsid w:val="00DC6BC6"/>
    <w:rsid w:val="00DD26C3"/>
    <w:rsid w:val="00DD2976"/>
    <w:rsid w:val="00DD4F98"/>
    <w:rsid w:val="00DE0D2B"/>
    <w:rsid w:val="00DE13E1"/>
    <w:rsid w:val="00DE7977"/>
    <w:rsid w:val="00DF1F0A"/>
    <w:rsid w:val="00DF6A39"/>
    <w:rsid w:val="00DF70A4"/>
    <w:rsid w:val="00E041FB"/>
    <w:rsid w:val="00E05207"/>
    <w:rsid w:val="00E11DA9"/>
    <w:rsid w:val="00E12AC3"/>
    <w:rsid w:val="00E20889"/>
    <w:rsid w:val="00E2170D"/>
    <w:rsid w:val="00E23BCE"/>
    <w:rsid w:val="00E24BAF"/>
    <w:rsid w:val="00E25E69"/>
    <w:rsid w:val="00E27D88"/>
    <w:rsid w:val="00E30592"/>
    <w:rsid w:val="00E34258"/>
    <w:rsid w:val="00E3539E"/>
    <w:rsid w:val="00E4007F"/>
    <w:rsid w:val="00E4090C"/>
    <w:rsid w:val="00E4335E"/>
    <w:rsid w:val="00E4343F"/>
    <w:rsid w:val="00E45506"/>
    <w:rsid w:val="00E45679"/>
    <w:rsid w:val="00E55C0A"/>
    <w:rsid w:val="00E6079D"/>
    <w:rsid w:val="00E6114F"/>
    <w:rsid w:val="00E6220B"/>
    <w:rsid w:val="00E67420"/>
    <w:rsid w:val="00E730C1"/>
    <w:rsid w:val="00E7378B"/>
    <w:rsid w:val="00E7441E"/>
    <w:rsid w:val="00E84DD2"/>
    <w:rsid w:val="00E84F7D"/>
    <w:rsid w:val="00EA0A69"/>
    <w:rsid w:val="00EA1AB4"/>
    <w:rsid w:val="00EA4ADD"/>
    <w:rsid w:val="00EA616A"/>
    <w:rsid w:val="00EA78EC"/>
    <w:rsid w:val="00EB0FB1"/>
    <w:rsid w:val="00EB1748"/>
    <w:rsid w:val="00EB5162"/>
    <w:rsid w:val="00EC3DC5"/>
    <w:rsid w:val="00EC4410"/>
    <w:rsid w:val="00ED03DE"/>
    <w:rsid w:val="00ED1989"/>
    <w:rsid w:val="00ED330C"/>
    <w:rsid w:val="00EE4537"/>
    <w:rsid w:val="00EE45BF"/>
    <w:rsid w:val="00EF6E50"/>
    <w:rsid w:val="00F00497"/>
    <w:rsid w:val="00F00F6A"/>
    <w:rsid w:val="00F013A0"/>
    <w:rsid w:val="00F02370"/>
    <w:rsid w:val="00F067EC"/>
    <w:rsid w:val="00F10806"/>
    <w:rsid w:val="00F12B30"/>
    <w:rsid w:val="00F137FB"/>
    <w:rsid w:val="00F14262"/>
    <w:rsid w:val="00F163E6"/>
    <w:rsid w:val="00F219A8"/>
    <w:rsid w:val="00F2648A"/>
    <w:rsid w:val="00F277B9"/>
    <w:rsid w:val="00F3206D"/>
    <w:rsid w:val="00F36650"/>
    <w:rsid w:val="00F37983"/>
    <w:rsid w:val="00F4216F"/>
    <w:rsid w:val="00F43000"/>
    <w:rsid w:val="00F437BB"/>
    <w:rsid w:val="00F510F8"/>
    <w:rsid w:val="00F54E33"/>
    <w:rsid w:val="00F6089D"/>
    <w:rsid w:val="00F63DC7"/>
    <w:rsid w:val="00F6535A"/>
    <w:rsid w:val="00F65C2D"/>
    <w:rsid w:val="00F72F44"/>
    <w:rsid w:val="00F76732"/>
    <w:rsid w:val="00F804C9"/>
    <w:rsid w:val="00F808EB"/>
    <w:rsid w:val="00F826B5"/>
    <w:rsid w:val="00F83957"/>
    <w:rsid w:val="00F90324"/>
    <w:rsid w:val="00F90965"/>
    <w:rsid w:val="00F91342"/>
    <w:rsid w:val="00F913D0"/>
    <w:rsid w:val="00F91A86"/>
    <w:rsid w:val="00F92BCD"/>
    <w:rsid w:val="00F93162"/>
    <w:rsid w:val="00F9457D"/>
    <w:rsid w:val="00F95B4A"/>
    <w:rsid w:val="00F96B04"/>
    <w:rsid w:val="00FA5CED"/>
    <w:rsid w:val="00FB0AAF"/>
    <w:rsid w:val="00FB0EBB"/>
    <w:rsid w:val="00FB1AEF"/>
    <w:rsid w:val="00FB261C"/>
    <w:rsid w:val="00FB32DE"/>
    <w:rsid w:val="00FB4853"/>
    <w:rsid w:val="00FB66C5"/>
    <w:rsid w:val="00FB7B15"/>
    <w:rsid w:val="00FC2D60"/>
    <w:rsid w:val="00FC5A84"/>
    <w:rsid w:val="00FC6960"/>
    <w:rsid w:val="00FD01AF"/>
    <w:rsid w:val="00FD26AF"/>
    <w:rsid w:val="00FD5641"/>
    <w:rsid w:val="00FE2407"/>
    <w:rsid w:val="00FE2748"/>
    <w:rsid w:val="00FE4490"/>
    <w:rsid w:val="00FE60D9"/>
    <w:rsid w:val="00FE67EF"/>
    <w:rsid w:val="00FF1C3F"/>
    <w:rsid w:val="00FF3454"/>
    <w:rsid w:val="00FF6591"/>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76C04-A9EC-46C0-9023-127D1218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06"/>
  </w:style>
  <w:style w:type="paragraph" w:styleId="Footer">
    <w:name w:val="footer"/>
    <w:basedOn w:val="Normal"/>
    <w:link w:val="FooterChar"/>
    <w:uiPriority w:val="99"/>
    <w:unhideWhenUsed/>
    <w:rsid w:val="00E45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06"/>
  </w:style>
  <w:style w:type="paragraph" w:styleId="ListParagraph">
    <w:name w:val="List Paragraph"/>
    <w:basedOn w:val="Normal"/>
    <w:uiPriority w:val="34"/>
    <w:qFormat/>
    <w:rsid w:val="007D6FC6"/>
    <w:pPr>
      <w:ind w:left="720"/>
      <w:contextualSpacing/>
    </w:pPr>
  </w:style>
  <w:style w:type="paragraph" w:styleId="FootnoteText">
    <w:name w:val="footnote text"/>
    <w:basedOn w:val="Normal"/>
    <w:link w:val="FootnoteTextChar"/>
    <w:uiPriority w:val="99"/>
    <w:semiHidden/>
    <w:unhideWhenUsed/>
    <w:rsid w:val="007D6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C6"/>
    <w:rPr>
      <w:sz w:val="20"/>
      <w:szCs w:val="20"/>
    </w:rPr>
  </w:style>
  <w:style w:type="character" w:styleId="FootnoteReference">
    <w:name w:val="footnote reference"/>
    <w:basedOn w:val="DefaultParagraphFont"/>
    <w:uiPriority w:val="99"/>
    <w:semiHidden/>
    <w:unhideWhenUsed/>
    <w:rsid w:val="007D6FC6"/>
    <w:rPr>
      <w:vertAlign w:val="superscript"/>
    </w:rPr>
  </w:style>
  <w:style w:type="paragraph" w:styleId="BalloonText">
    <w:name w:val="Balloon Text"/>
    <w:basedOn w:val="Normal"/>
    <w:link w:val="BalloonTextChar"/>
    <w:uiPriority w:val="99"/>
    <w:semiHidden/>
    <w:unhideWhenUsed/>
    <w:rsid w:val="0031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D96"/>
    <w:rPr>
      <w:rFonts w:ascii="Segoe UI" w:hAnsi="Segoe UI" w:cs="Segoe UI"/>
      <w:sz w:val="18"/>
      <w:szCs w:val="18"/>
    </w:rPr>
  </w:style>
  <w:style w:type="table" w:styleId="TableGrid">
    <w:name w:val="Table Grid"/>
    <w:basedOn w:val="TableNormal"/>
    <w:uiPriority w:val="39"/>
    <w:rsid w:val="003D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2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F541-1F41-42BF-BF14-EA86EE79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6102</Words>
  <Characters>34783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JSC</cp:lastModifiedBy>
  <cp:revision>2</cp:revision>
  <dcterms:created xsi:type="dcterms:W3CDTF">2020-08-31T08:09:00Z</dcterms:created>
  <dcterms:modified xsi:type="dcterms:W3CDTF">2020-08-31T08:09:00Z</dcterms:modified>
</cp:coreProperties>
</file>